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60"/>
        <w:jc w:val="center"/>
      </w:pPr>
      <w:r>
        <w:rPr>
          <w:rFonts w:ascii="Calibri" w:cs="Calibri" w:eastAsia="Calibri" w:hAnsi="Calibri"/>
          <w:b/>
          <w:bCs/>
          <w:i w:val="false"/>
          <w:iCs w:val="false"/>
          <w:sz w:val="30"/>
          <w:szCs w:val="30"/>
        </w:rPr>
        <w:t xml:space="preserve">Response to Reviewer's Comments</w:t>
      </w:r>
    </w:p>
    <w:p>
      <w:pPr>
        <w:spacing w:after="200" w:before="0" w:line="260"/>
        <w:jc w:val="center"/>
      </w:pPr>
      <w:r>
        <w:rPr>
          <w:rFonts w:ascii="Calibri" w:cs="Calibri" w:eastAsia="Calibri" w:hAnsi="Calibri"/>
          <w:b/>
          <w:bCs/>
          <w:i w:val="false"/>
          <w:iCs w:val="false"/>
          <w:sz w:val="26"/>
          <w:szCs w:val="26"/>
        </w:rPr>
        <w:t xml:space="preserve">Reviewer 1</w:t>
      </w:r>
    </w:p>
    <w:p>
      <w:pPr>
        <w:spacing w:after="60" w:before="0" w:line="260"/>
        <w:jc w:val="left"/>
      </w:pPr>
      <w:r>
        <w:rPr>
          <w:rFonts w:ascii="Calibri" w:cs="Calibri" w:eastAsia="Calibri" w:hAnsi="Calibri"/>
          <w:b/>
          <w:bCs/>
          <w:i w:val="false"/>
          <w:iCs w:val="false"/>
          <w:sz w:val="20"/>
          <w:szCs w:val="20"/>
        </w:rPr>
        <w:t xml:space="preserve">Paper ID: </w:t>
      </w:r>
      <w:r>
        <w:rPr>
          <w:rFonts w:ascii="Calibri" w:cs="Calibri" w:eastAsia="Calibri" w:hAnsi="Calibri"/>
          <w:b w:val="false"/>
          <w:bCs w:val="false"/>
          <w:i w:val="false"/>
          <w:iCs w:val="false"/>
          <w:sz w:val="20"/>
          <w:szCs w:val="20"/>
        </w:rPr>
        <w:t xml:space="preserve">#17 (1571278052)</w:t>
      </w:r>
    </w:p>
    <w:p>
      <w:pPr>
        <w:spacing w:after="60" w:before="0" w:line="260"/>
        <w:jc w:val="left"/>
      </w:pPr>
      <w:r>
        <w:rPr>
          <w:rFonts w:ascii="Calibri" w:cs="Calibri" w:eastAsia="Calibri" w:hAnsi="Calibri"/>
          <w:b/>
          <w:bCs/>
          <w:i w:val="false"/>
          <w:iCs w:val="false"/>
          <w:sz w:val="20"/>
          <w:szCs w:val="20"/>
        </w:rPr>
        <w:t xml:space="preserve">Title: </w:t>
      </w:r>
      <w:r>
        <w:rPr>
          <w:rFonts w:ascii="Calibri" w:cs="Calibri" w:eastAsia="Calibri" w:hAnsi="Calibri"/>
          <w:b w:val="false"/>
          <w:bCs w:val="false"/>
          <w:i w:val="false"/>
          <w:iCs w:val="false"/>
          <w:sz w:val="20"/>
          <w:szCs w:val="20"/>
        </w:rPr>
        <w:t xml:space="preserve">Enhancing Pedagogical Feedback Quality of Large Language Models via Learning Analytics in a Kanban-Based Platform for Student Self-Regulated Learning Support</w:t>
      </w:r>
    </w:p>
    <w:p>
      <w:pPr>
        <w:spacing w:after="60" w:before="0" w:line="260"/>
        <w:jc w:val="left"/>
      </w:pPr>
      <w:r>
        <w:rPr>
          <w:rFonts w:ascii="Calibri" w:cs="Calibri" w:eastAsia="Calibri" w:hAnsi="Calibri"/>
          <w:b/>
          <w:bCs/>
          <w:i w:val="false"/>
          <w:iCs w:val="false"/>
          <w:sz w:val="20"/>
          <w:szCs w:val="20"/>
        </w:rPr>
        <w:t xml:space="preserve">Authors: </w:t>
      </w:r>
      <w:r>
        <w:rPr>
          <w:rFonts w:ascii="Calibri" w:cs="Calibri" w:eastAsia="Calibri" w:hAnsi="Calibri"/>
          <w:b w:val="false"/>
          <w:bCs w:val="false"/>
          <w:i w:val="false"/>
          <w:iCs w:val="false"/>
          <w:sz w:val="20"/>
          <w:szCs w:val="20"/>
        </w:rPr>
        <w:t xml:space="preserve">Qornain Aji, Indriana Hidayah, and Syukron Abu Ishaq Alfarozi (Universitas Gadjah Mada, Indonesia)</w:t>
      </w:r>
    </w:p>
    <w:p>
      <w:pPr>
        <w:spacing w:after="160" w:before="0" w:line="260"/>
        <w:jc w:val="left"/>
      </w:pPr>
      <w:r>
        <w:rPr>
          <w:rFonts w:ascii="Calibri" w:cs="Calibri" w:eastAsia="Calibri" w:hAnsi="Calibri"/>
          <w:b/>
          <w:bCs/>
          <w:i w:val="false"/>
          <w:iCs w:val="false"/>
          <w:sz w:val="20"/>
          <w:szCs w:val="20"/>
        </w:rPr>
        <w:t xml:space="preserve">Conference: </w:t>
      </w:r>
      <w:r>
        <w:rPr>
          <w:rFonts w:ascii="Calibri" w:cs="Calibri" w:eastAsia="Calibri" w:hAnsi="Calibri"/>
          <w:b w:val="false"/>
          <w:bCs w:val="false"/>
          <w:i w:val="false"/>
          <w:iCs w:val="false"/>
          <w:sz w:val="20"/>
          <w:szCs w:val="20"/>
        </w:rPr>
        <w:t xml:space="preserve">2026 18th International Conference on Information Technology and Electrical Engineering (ICITEE), Signal Processing and Machine Intelligence track</w:t>
      </w:r>
    </w:p>
    <w:p>
      <w:pPr>
        <w:spacing w:after="200" w:before="0" w:line="260"/>
        <w:jc w:val="left"/>
      </w:pPr>
      <w:r>
        <w:rPr>
          <w:rFonts w:ascii="Calibri" w:cs="Calibri" w:eastAsia="Calibri" w:hAnsi="Calibri"/>
          <w:b/>
          <w:bCs/>
          <w:i w:val="false"/>
          <w:iCs w:val="false"/>
          <w:sz w:val="20"/>
          <w:szCs w:val="20"/>
        </w:rPr>
        <w:t xml:space="preserve">Reviewer ratings: </w:t>
      </w:r>
      <w:r>
        <w:rPr>
          <w:rFonts w:ascii="Calibri" w:cs="Calibri" w:eastAsia="Calibri" w:hAnsi="Calibri"/>
          <w:b w:val="false"/>
          <w:bCs w:val="false"/>
          <w:i/>
          <w:iCs/>
          <w:sz w:val="20"/>
          <w:szCs w:val="20"/>
        </w:rPr>
        <w:t xml:space="preserve">Relevance and timeliness: Good (4)  |  Technical content and scientific rigour: Valid work but limited contribution (3)  |  Novelty and originality: Some interesting ideas and results on a subject well investigated (3)  |  Quality of presentation: Well written (4)</w:t>
      </w:r>
    </w:p>
    <w:p>
      <w:pPr>
        <w:spacing w:after="220" w:before="0" w:line="260"/>
        <w:jc w:val="left"/>
      </w:pPr>
      <w:r>
        <w:rPr>
          <w:rFonts w:ascii="Calibri" w:cs="Calibri" w:eastAsia="Calibri" w:hAnsi="Calibri"/>
          <w:b w:val="false"/>
          <w:bCs w:val="false"/>
          <w:i w:val="false"/>
          <w:iCs w:val="false"/>
          <w:sz w:val="20"/>
          <w:szCs w:val="20"/>
        </w:rPr>
        <w:t xml:space="preserve">We thank the reviewer for the careful and constructive assessment of our manuscript. Each comment is addressed below, with the corresponding revision quoted from the revised manuscript and its location indicated. All revisions were made within the six-page camera-ready limit.</w:t>
      </w:r>
    </w:p>
    <w:tbl>
      <w:tblPr>
        <w:tblW w:type="dxa" w:w="9746"/>
        <w:tblBorders>
          <w:top w:val="single" w:color="7F7F7F" w:sz="6"/>
          <w:left w:val="single" w:color="7F7F7F" w:sz="6"/>
          <w:bottom w:val="single" w:color="7F7F7F" w:sz="6"/>
          <w:right w:val="single" w:color="7F7F7F" w:sz="6"/>
          <w:insideH w:val="single" w:color="A6A6A6" w:sz="4"/>
          <w:insideV w:val="single" w:color="A6A6A6" w:sz="4"/>
        </w:tblBorders>
      </w:tblPr>
      <w:tblGrid>
        <w:gridCol w:w="620"/>
        <w:gridCol w:w="4180"/>
        <w:gridCol w:w="4946"/>
      </w:tblGrid>
      <w:tr>
        <w:trPr>
          <w:tblHeader/>
        </w:trPr>
        <w:tc>
          <w:tcPr>
            <w:tcW w:type="dxa" w:w="620"/>
            <w:shd w:fill="D9E2F3"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b/>
                <w:bCs/>
                <w:i w:val="false"/>
                <w:iCs w:val="false"/>
                <w:sz w:val="20"/>
                <w:szCs w:val="20"/>
              </w:rPr>
              <w:t xml:space="preserve">No.</w:t>
            </w:r>
          </w:p>
        </w:tc>
        <w:tc>
          <w:tcPr>
            <w:tcW w:type="dxa" w:w="4180"/>
            <w:shd w:fill="D9E2F3"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i w:val="false"/>
                <w:iCs w:val="false"/>
                <w:sz w:val="20"/>
                <w:szCs w:val="20"/>
              </w:rPr>
              <w:t xml:space="preserve">Reviewer's Comment</w:t>
            </w:r>
          </w:p>
        </w:tc>
        <w:tc>
          <w:tcPr>
            <w:tcW w:type="dxa" w:w="4946"/>
            <w:shd w:fill="D9E2F3" w:color="auto" w:val="clear"/>
            <w:tcMar>
              <w:top w:type="dxa" w:w="80"/>
              <w:left w:type="dxa" w:w="110"/>
              <w:bottom w:type="dxa" w:w="80"/>
              <w:right w:type="dxa" w:w="110"/>
            </w:tcMar>
            <w:vAlign w:val="top"/>
          </w:tcPr>
          <w:p>
            <w:pPr>
              <w:spacing w:after="40" w:before="40" w:line="260"/>
              <w:jc w:val="left"/>
            </w:pPr>
            <w:r>
              <w:rPr>
                <w:rFonts w:ascii="Calibri" w:cs="Calibri" w:eastAsia="Calibri" w:hAnsi="Calibri"/>
                <w:b/>
                <w:bCs/>
                <w:i w:val="false"/>
                <w:iCs w:val="false"/>
                <w:sz w:val="20"/>
                <w:szCs w:val="20"/>
              </w:rPr>
              <w:t xml:space="preserve">Author's Response and Revision Made</w:t>
            </w:r>
          </w:p>
        </w:tc>
      </w:tr>
      <w:tr>
        <w:tc>
          <w:tcPr>
            <w:tcW w:type="dxa" w:w="620"/>
            <w:shd w:fill="F2F2F2"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b/>
                <w:bCs/>
                <w:i w:val="false"/>
                <w:iCs w:val="false"/>
                <w:sz w:val="20"/>
                <w:szCs w:val="20"/>
              </w:rPr>
              <w:t xml:space="preserve">1</w:t>
            </w:r>
          </w:p>
        </w:tc>
        <w:tc>
          <w:tcPr>
            <w:tcW w:type="dxa" w:w="4180"/>
            <w:tcMar>
              <w:top w:type="dxa" w:w="80"/>
              <w:left w:type="dxa" w:w="110"/>
              <w:bottom w:type="dxa" w:w="80"/>
              <w:right w:type="dxa" w:w="110"/>
            </w:tcMar>
            <w:vAlign w:val="top"/>
          </w:tcPr>
          <w:p>
            <w:pPr>
              <w:spacing w:after="40" w:before="40" w:line="260"/>
              <w:jc w:val="left"/>
            </w:pPr>
            <w:r>
              <w:rPr>
                <w:rFonts w:ascii="Calibri" w:cs="Calibri" w:eastAsia="Calibri" w:hAnsi="Calibri"/>
                <w:b/>
                <w:bCs/>
                <w:i w:val="false"/>
                <w:iCs w:val="false"/>
                <w:sz w:val="20"/>
                <w:szCs w:val="20"/>
              </w:rPr>
              <w:t xml:space="preserve">On dataset size and generalizability</w:t>
            </w:r>
          </w:p>
          <w:p>
            <w:pPr>
              <w:spacing w:after="40" w:before="80" w:line="260"/>
              <w:jc w:val="left"/>
            </w:pPr>
            <w:r>
              <w:rPr>
                <w:rFonts w:ascii="Calibri" w:cs="Calibri" w:eastAsia="Calibri" w:hAnsi="Calibri"/>
                <w:b w:val="false"/>
                <w:bCs w:val="false"/>
                <w:i/>
                <w:iCs/>
                <w:sz w:val="20"/>
                <w:szCs w:val="20"/>
              </w:rPr>
              <w:t xml:space="preserve">“The evaluation is based on a relatively small synthetic dataset (40 instances), which may limit the generalizability of the results.”</w:t>
            </w:r>
          </w:p>
        </w:tc>
        <w:tc>
          <w:tcPr>
            <w:tcW w:type="dxa" w:w="4946"/>
            <w:tcMar>
              <w:top w:type="dxa" w:w="80"/>
              <w:left w:type="dxa" w:w="110"/>
              <w:bottom w:type="dxa" w:w="80"/>
              <w:right w:type="dxa" w:w="110"/>
            </w:tcMar>
            <w:vAlign w:val="top"/>
          </w:tcPr>
          <w:p>
            <w:pPr>
              <w:spacing w:after="40" w:before="40" w:line="260"/>
              <w:jc w:val="left"/>
            </w:pPr>
            <w:r>
              <w:rPr>
                <w:rFonts w:ascii="Calibri" w:cs="Calibri" w:eastAsia="Calibri" w:hAnsi="Calibri"/>
                <w:b w:val="false"/>
                <w:bCs w:val="false"/>
                <w:i w:val="false"/>
                <w:iCs w:val="false"/>
                <w:sz w:val="20"/>
                <w:szCs w:val="20"/>
              </w:rPr>
              <w:t xml:space="preserve">We agree, and we have made this constraint explicit rather than leaving it implicit. Two changes were made.</w:t>
            </w:r>
          </w:p>
          <w:p>
            <w:pPr>
              <w:spacing w:after="40" w:before="80" w:line="260"/>
              <w:jc w:val="left"/>
            </w:pPr>
            <w:r>
              <w:rPr>
                <w:rFonts w:ascii="Calibri" w:cs="Calibri" w:eastAsia="Calibri" w:hAnsi="Calibri"/>
                <w:b w:val="false"/>
                <w:bCs w:val="false"/>
                <w:i w:val="false"/>
                <w:iCs w:val="false"/>
                <w:sz w:val="20"/>
                <w:szCs w:val="20"/>
              </w:rPr>
              <w:t xml:space="preserve">First, the Dataset Construction subsection now documents the full generation procedure so that the sample is auditable: the five behavioural profiles and their counts, the explicit rules governing card counts and checklist-completion percentages, the domain coverage, the prompting techniques used, the generator model, and the provenance of the ground truth.</w:t>
            </w:r>
          </w:p>
          <w:p>
            <w:pPr>
              <w:spacing w:after="40" w:before="80" w:line="260"/>
              <w:jc w:val="left"/>
            </w:pPr>
            <w:r>
              <w:rPr>
                <w:rFonts w:ascii="Calibri" w:cs="Calibri" w:eastAsia="Calibri" w:hAnsi="Calibri"/>
                <w:b w:val="false"/>
                <w:bCs w:val="false"/>
                <w:i w:val="false"/>
                <w:iCs w:val="false"/>
                <w:sz w:val="20"/>
                <w:szCs w:val="20"/>
              </w:rPr>
              <w:t xml:space="preserve">Second, the limitation is now stated in both the Discussion and the Conclusion, and the strength of our claims has been reduced accordingly.</w:t>
            </w:r>
          </w:p>
          <w:p>
            <w:pPr>
              <w:spacing w:after="40" w:before="80" w:line="260"/>
              <w:jc w:val="left"/>
            </w:pPr>
            <w:r>
              <w:rPr>
                <w:rFonts w:ascii="Calibri" w:cs="Calibri" w:eastAsia="Calibri" w:hAnsi="Calibri"/>
                <w:b/>
                <w:bCs/>
                <w:i w:val="false"/>
                <w:iCs w:val="false"/>
                <w:sz w:val="20"/>
                <w:szCs w:val="20"/>
              </w:rPr>
              <w:t xml:space="preserve">Revised text (Discussion): </w:t>
            </w:r>
            <w:r>
              <w:rPr>
                <w:rFonts w:ascii="Calibri" w:cs="Calibri" w:eastAsia="Calibri" w:hAnsi="Calibri"/>
                <w:b w:val="false"/>
                <w:bCs w:val="false"/>
                <w:i/>
                <w:iCs/>
                <w:sz w:val="20"/>
                <w:szCs w:val="20"/>
              </w:rPr>
              <w:t xml:space="preserve">“Together with the synthetic dataset (N = 40) and the single expert validator, these constraints mean the results establish feasibility and direction rather than deployment-ready effect sizes.”</w:t>
            </w:r>
          </w:p>
          <w:p>
            <w:pPr>
              <w:spacing w:after="40" w:before="80" w:line="260"/>
              <w:jc w:val="left"/>
            </w:pPr>
            <w:r>
              <w:rPr>
                <w:rFonts w:ascii="Calibri" w:cs="Calibri" w:eastAsia="Calibri" w:hAnsi="Calibri"/>
                <w:b/>
                <w:bCs/>
                <w:i w:val="false"/>
                <w:iCs w:val="false"/>
                <w:sz w:val="20"/>
                <w:szCs w:val="20"/>
              </w:rPr>
              <w:t xml:space="preserve">Revised text (Conclusion): </w:t>
            </w:r>
            <w:r>
              <w:rPr>
                <w:rFonts w:ascii="Calibri" w:cs="Calibri" w:eastAsia="Calibri" w:hAnsi="Calibri"/>
                <w:b w:val="false"/>
                <w:bCs w:val="false"/>
                <w:i/>
                <w:iCs/>
                <w:sz w:val="20"/>
                <w:szCs w:val="20"/>
              </w:rPr>
              <w:t xml:space="preserve">“Limitations remain: a synthetic dataset (N = 40), a single expert validator, two model scales within one family, and no significance testing.”</w:t>
            </w:r>
          </w:p>
          <w:p>
            <w:pPr>
              <w:spacing w:after="40" w:before="80" w:line="260"/>
              <w:jc w:val="left"/>
            </w:pPr>
            <w:r>
              <w:rPr>
                <w:rFonts w:ascii="Calibri" w:cs="Calibri" w:eastAsia="Calibri" w:hAnsi="Calibri"/>
                <w:b w:val="false"/>
                <w:bCs w:val="false"/>
                <w:i w:val="false"/>
                <w:iCs w:val="false"/>
                <w:sz w:val="20"/>
                <w:szCs w:val="20"/>
              </w:rPr>
              <w:t xml:space="preserve">Future Work now commits to replicating the experiments on real student Kanban interaction logs.</w:t>
            </w:r>
          </w:p>
        </w:tc>
      </w:tr>
      <w:tr>
        <w:tc>
          <w:tcPr>
            <w:tcW w:type="dxa" w:w="620"/>
            <w:shd w:fill="F2F2F2"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b/>
                <w:bCs/>
                <w:i w:val="false"/>
                <w:iCs w:val="false"/>
                <w:sz w:val="20"/>
                <w:szCs w:val="20"/>
              </w:rPr>
              <w:t xml:space="preserve">2</w:t>
            </w:r>
          </w:p>
        </w:tc>
        <w:tc>
          <w:tcPr>
            <w:tcW w:type="dxa" w:w="4180"/>
            <w:tcMar>
              <w:top w:type="dxa" w:w="80"/>
              <w:left w:type="dxa" w:w="110"/>
              <w:bottom w:type="dxa" w:w="80"/>
              <w:right w:type="dxa" w:w="110"/>
            </w:tcMar>
            <w:vAlign w:val="top"/>
          </w:tcPr>
          <w:p>
            <w:pPr>
              <w:spacing w:after="40" w:before="40" w:line="260"/>
              <w:jc w:val="left"/>
            </w:pPr>
            <w:r>
              <w:rPr>
                <w:rFonts w:ascii="Calibri" w:cs="Calibri" w:eastAsia="Calibri" w:hAnsi="Calibri"/>
                <w:b/>
                <w:bCs/>
                <w:i w:val="false"/>
                <w:iCs w:val="false"/>
                <w:sz w:val="20"/>
                <w:szCs w:val="20"/>
              </w:rPr>
              <w:t xml:space="preserve">On the absence of statistical significance testing</w:t>
            </w:r>
          </w:p>
          <w:p>
            <w:pPr>
              <w:spacing w:after="40" w:before="80" w:line="260"/>
              <w:jc w:val="left"/>
            </w:pPr>
            <w:r>
              <w:rPr>
                <w:rFonts w:ascii="Calibri" w:cs="Calibri" w:eastAsia="Calibri" w:hAnsi="Calibri"/>
                <w:b w:val="false"/>
                <w:bCs w:val="false"/>
                <w:i/>
                <w:iCs/>
                <w:sz w:val="20"/>
                <w:szCs w:val="20"/>
              </w:rPr>
              <w:t xml:space="preserve">“Furthermore, the absence of statistical significance testing makes it difficult to assess the robustness of the reported improvements.”</w:t>
            </w:r>
          </w:p>
        </w:tc>
        <w:tc>
          <w:tcPr>
            <w:tcW w:type="dxa" w:w="4946"/>
            <w:tcMar>
              <w:top w:type="dxa" w:w="80"/>
              <w:left w:type="dxa" w:w="110"/>
              <w:bottom w:type="dxa" w:w="80"/>
              <w:right w:type="dxa" w:w="110"/>
            </w:tcMar>
            <w:vAlign w:val="top"/>
          </w:tcPr>
          <w:p>
            <w:pPr>
              <w:spacing w:after="40" w:before="40" w:line="260"/>
              <w:jc w:val="left"/>
            </w:pPr>
            <w:r>
              <w:rPr>
                <w:rFonts w:ascii="Calibri" w:cs="Calibri" w:eastAsia="Calibri" w:hAnsi="Calibri"/>
                <w:b w:val="false"/>
                <w:bCs w:val="false"/>
                <w:i w:val="false"/>
                <w:iCs w:val="false"/>
                <w:sz w:val="20"/>
                <w:szCs w:val="20"/>
              </w:rPr>
              <w:t xml:space="preserve">We accept this point. Within the six-page camera-ready limit we could not accommodate a full statistical testing section without removing substantive content. Rather than leave the claims unchanged, we calibrated the paper's claims to the strength of evidence actually available, so that the manuscript no longer asserts reliability it cannot support.</w:t>
            </w:r>
          </w:p>
          <w:p>
            <w:pPr>
              <w:spacing w:after="40" w:before="80" w:line="260"/>
              <w:jc w:val="left"/>
            </w:pPr>
            <w:r>
              <w:rPr>
                <w:rFonts w:ascii="Calibri" w:cs="Calibri" w:eastAsia="Calibri" w:hAnsi="Calibri"/>
                <w:b/>
                <w:bCs/>
                <w:i w:val="false"/>
                <w:iCs w:val="false"/>
                <w:sz w:val="20"/>
                <w:szCs w:val="20"/>
              </w:rPr>
              <w:t xml:space="preserve">Revised text (Discussion): </w:t>
            </w:r>
            <w:r>
              <w:rPr>
                <w:rFonts w:ascii="Calibri" w:cs="Calibri" w:eastAsia="Calibri" w:hAnsi="Calibri"/>
                <w:b w:val="false"/>
                <w:bCs w:val="false"/>
                <w:i/>
                <w:iCs/>
                <w:sz w:val="20"/>
                <w:szCs w:val="20"/>
              </w:rPr>
              <w:t xml:space="preserve">“The narrow BERTScore and BARTScore margins, by contrast, should be read as exploratory: this study reports no statistical significance testing, so differences of that magnitude cannot be separated from run-to-run variance, and only the larger LLM-as-a-Judge and expert-rated differences support cautious interpretation.”</w:t>
            </w:r>
          </w:p>
          <w:p>
            <w:pPr>
              <w:spacing w:after="40" w:before="80" w:line="260"/>
              <w:jc w:val="left"/>
            </w:pPr>
            <w:r>
              <w:rPr>
                <w:rFonts w:ascii="Calibri" w:cs="Calibri" w:eastAsia="Calibri" w:hAnsi="Calibri"/>
                <w:b w:val="false"/>
                <w:bCs w:val="false"/>
                <w:i w:val="false"/>
                <w:iCs w:val="false"/>
                <w:sz w:val="20"/>
                <w:szCs w:val="20"/>
              </w:rPr>
              <w:t xml:space="preserve">The planned procedure is now named specifically rather than left vague.</w:t>
            </w:r>
          </w:p>
          <w:p>
            <w:pPr>
              <w:spacing w:after="40" w:before="80" w:line="260"/>
              <w:jc w:val="left"/>
            </w:pPr>
            <w:r>
              <w:rPr>
                <w:rFonts w:ascii="Calibri" w:cs="Calibri" w:eastAsia="Calibri" w:hAnsi="Calibri"/>
                <w:b/>
                <w:bCs/>
                <w:i w:val="false"/>
                <w:iCs w:val="false"/>
                <w:sz w:val="20"/>
                <w:szCs w:val="20"/>
              </w:rPr>
              <w:t xml:space="preserve">Revised text (Future Work): </w:t>
            </w:r>
            <w:r>
              <w:rPr>
                <w:rFonts w:ascii="Calibri" w:cs="Calibri" w:eastAsia="Calibri" w:hAnsi="Calibri"/>
                <w:b w:val="false"/>
                <w:bCs w:val="false"/>
                <w:i/>
                <w:iCs/>
                <w:sz w:val="20"/>
                <w:szCs w:val="20"/>
              </w:rPr>
              <w:t xml:space="preserve">“apply paired significance testing over per-instance scores (paired t-test or Wilcoxon signed-rank with bootstrap confidence intervals) to establish which margins are reliable”</w:t>
            </w:r>
          </w:p>
          <w:p>
            <w:pPr>
              <w:spacing w:after="40" w:before="80" w:line="260"/>
              <w:jc w:val="left"/>
            </w:pPr>
            <w:r>
              <w:rPr>
                <w:rFonts w:ascii="Calibri" w:cs="Calibri" w:eastAsia="Calibri" w:hAnsi="Calibri"/>
                <w:b w:val="false"/>
                <w:bCs w:val="false"/>
                <w:i w:val="false"/>
                <w:iCs w:val="false"/>
                <w:sz w:val="20"/>
                <w:szCs w:val="20"/>
              </w:rPr>
              <w:t xml:space="preserve">The net effect is that the interpretation now rests only on the largest observed effects and on the expert validation, not on the small numeric margins.</w:t>
            </w:r>
          </w:p>
        </w:tc>
      </w:tr>
      <w:tr>
        <w:tc>
          <w:tcPr>
            <w:tcW w:type="dxa" w:w="620"/>
            <w:shd w:fill="F2F2F2"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b/>
                <w:bCs/>
                <w:i w:val="false"/>
                <w:iCs w:val="false"/>
                <w:sz w:val="20"/>
                <w:szCs w:val="20"/>
              </w:rPr>
              <w:t xml:space="preserve">3</w:t>
            </w:r>
          </w:p>
        </w:tc>
        <w:tc>
          <w:tcPr>
            <w:tcW w:type="dxa" w:w="4180"/>
            <w:tcMar>
              <w:top w:type="dxa" w:w="80"/>
              <w:left w:type="dxa" w:w="110"/>
              <w:bottom w:type="dxa" w:w="80"/>
              <w:right w:type="dxa" w:w="110"/>
            </w:tcMar>
            <w:vAlign w:val="top"/>
          </w:tcPr>
          <w:p>
            <w:pPr>
              <w:spacing w:after="40" w:before="40" w:line="260"/>
              <w:jc w:val="left"/>
            </w:pPr>
            <w:r>
              <w:rPr>
                <w:rFonts w:ascii="Calibri" w:cs="Calibri" w:eastAsia="Calibri" w:hAnsi="Calibri"/>
                <w:b/>
                <w:bCs/>
                <w:i w:val="false"/>
                <w:iCs w:val="false"/>
                <w:sz w:val="20"/>
                <w:szCs w:val="20"/>
              </w:rPr>
              <w:t xml:space="preserve">On the scale of expert validation and inter-rater agreement</w:t>
            </w:r>
          </w:p>
          <w:p>
            <w:pPr>
              <w:spacing w:after="40" w:before="80" w:line="260"/>
              <w:jc w:val="left"/>
            </w:pPr>
            <w:r>
              <w:rPr>
                <w:rFonts w:ascii="Calibri" w:cs="Calibri" w:eastAsia="Calibri" w:hAnsi="Calibri"/>
                <w:b w:val="false"/>
                <w:bCs w:val="false"/>
                <w:i/>
                <w:iCs/>
                <w:sz w:val="20"/>
                <w:szCs w:val="20"/>
              </w:rPr>
              <w:t xml:space="preserve">“The expert validation is also limited in scale, and reporting inter-rater agreement would strengthen the credibility of the evaluation.”</w:t>
            </w:r>
          </w:p>
        </w:tc>
        <w:tc>
          <w:tcPr>
            <w:tcW w:type="dxa" w:w="4946"/>
            <w:tcMar>
              <w:top w:type="dxa" w:w="80"/>
              <w:left w:type="dxa" w:w="110"/>
              <w:bottom w:type="dxa" w:w="80"/>
              <w:right w:type="dxa" w:w="110"/>
            </w:tcMar>
            <w:vAlign w:val="top"/>
          </w:tcPr>
          <w:p>
            <w:pPr>
              <w:spacing w:after="40" w:before="40" w:line="260"/>
              <w:jc w:val="left"/>
            </w:pPr>
            <w:r>
              <w:rPr>
                <w:rFonts w:ascii="Calibri" w:cs="Calibri" w:eastAsia="Calibri" w:hAnsi="Calibri"/>
                <w:b w:val="false"/>
                <w:bCs w:val="false"/>
                <w:i w:val="false"/>
                <w:iCs w:val="false"/>
                <w:sz w:val="20"/>
                <w:szCs w:val="20"/>
              </w:rPr>
              <w:t xml:space="preserve">We agree. We note that with a single independent validator, inter-rater agreement cannot be computed at all, so expanding the panel is the necessary prerequisite step rather than an additional analysis we could have run on the existing data.</w:t>
            </w:r>
          </w:p>
          <w:p>
            <w:pPr>
              <w:spacing w:after="40" w:before="80" w:line="260"/>
              <w:jc w:val="left"/>
            </w:pPr>
            <w:r>
              <w:rPr>
                <w:rFonts w:ascii="Calibri" w:cs="Calibri" w:eastAsia="Calibri" w:hAnsi="Calibri"/>
                <w:b w:val="false"/>
                <w:bCs w:val="false"/>
                <w:i w:val="false"/>
                <w:iCs w:val="false"/>
                <w:sz w:val="20"/>
                <w:szCs w:val="20"/>
              </w:rPr>
              <w:t xml:space="preserve">The limitation is now stated explicitly in both the Discussion and the Conclusion, and the remedy is committed to in Future Work.</w:t>
            </w:r>
          </w:p>
          <w:p>
            <w:pPr>
              <w:spacing w:after="40" w:before="80" w:line="260"/>
              <w:jc w:val="left"/>
            </w:pPr>
            <w:r>
              <w:rPr>
                <w:rFonts w:ascii="Calibri" w:cs="Calibri" w:eastAsia="Calibri" w:hAnsi="Calibri"/>
                <w:b/>
                <w:bCs/>
                <w:i w:val="false"/>
                <w:iCs w:val="false"/>
                <w:sz w:val="20"/>
                <w:szCs w:val="20"/>
              </w:rPr>
              <w:t xml:space="preserve">Revised text (Future Work): </w:t>
            </w:r>
            <w:r>
              <w:rPr>
                <w:rFonts w:ascii="Calibri" w:cs="Calibri" w:eastAsia="Calibri" w:hAnsi="Calibri"/>
                <w:b w:val="false"/>
                <w:bCs w:val="false"/>
                <w:i/>
                <w:iCs/>
                <w:sz w:val="20"/>
                <w:szCs w:val="20"/>
              </w:rPr>
              <w:t xml:space="preserve">“expand the expert panel to enable statistically robust inter-rater agreement analysis”</w:t>
            </w:r>
          </w:p>
        </w:tc>
      </w:tr>
      <w:tr>
        <w:tc>
          <w:tcPr>
            <w:tcW w:type="dxa" w:w="620"/>
            <w:shd w:fill="F2F2F2"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b/>
                <w:bCs/>
                <w:i w:val="false"/>
                <w:iCs w:val="false"/>
                <w:sz w:val="20"/>
                <w:szCs w:val="20"/>
              </w:rPr>
              <w:t xml:space="preserve">4</w:t>
            </w:r>
          </w:p>
        </w:tc>
        <w:tc>
          <w:tcPr>
            <w:tcW w:type="dxa" w:w="4180"/>
            <w:tcMar>
              <w:top w:type="dxa" w:w="80"/>
              <w:left w:type="dxa" w:w="110"/>
              <w:bottom w:type="dxa" w:w="80"/>
              <w:right w:type="dxa" w:w="110"/>
            </w:tcMar>
            <w:vAlign w:val="top"/>
          </w:tcPr>
          <w:p>
            <w:pPr>
              <w:spacing w:after="40" w:before="40" w:line="260"/>
              <w:jc w:val="left"/>
            </w:pPr>
            <w:r>
              <w:rPr>
                <w:rFonts w:ascii="Calibri" w:cs="Calibri" w:eastAsia="Calibri" w:hAnsi="Calibri"/>
                <w:b/>
                <w:bCs/>
                <w:i w:val="false"/>
                <w:iCs w:val="false"/>
                <w:sz w:val="20"/>
                <w:szCs w:val="20"/>
              </w:rPr>
              <w:t xml:space="preserve">On deeper interpretation of model behaviour and linkage to prior literature</w:t>
            </w:r>
          </w:p>
          <w:p>
            <w:pPr>
              <w:spacing w:after="40" w:before="80" w:line="260"/>
              <w:jc w:val="left"/>
            </w:pPr>
            <w:r>
              <w:rPr>
                <w:rFonts w:ascii="Calibri" w:cs="Calibri" w:eastAsia="Calibri" w:hAnsi="Calibri"/>
                <w:b w:val="false"/>
                <w:bCs w:val="false"/>
                <w:i/>
                <w:iCs/>
                <w:sz w:val="20"/>
                <w:szCs w:val="20"/>
              </w:rPr>
              <w:t xml:space="preserve">“The discussion could be further improved by providing deeper interpretations of the observed model behaviors, particularly the contrasting performance of the 8B and 70B models under increasingly complex prompting conditions. Relating the findings more explicitly to prior literature and exploring potential explanations for these performance differences would enhance the scientific contribution of the paper.”</w:t>
            </w:r>
          </w:p>
        </w:tc>
        <w:tc>
          <w:tcPr>
            <w:tcW w:type="dxa" w:w="4946"/>
            <w:tcMar>
              <w:top w:type="dxa" w:w="80"/>
              <w:left w:type="dxa" w:w="110"/>
              <w:bottom w:type="dxa" w:w="80"/>
              <w:right w:type="dxa" w:w="110"/>
            </w:tcMar>
            <w:vAlign w:val="top"/>
          </w:tcPr>
          <w:p>
            <w:pPr>
              <w:spacing w:after="40" w:before="40" w:line="260"/>
              <w:jc w:val="left"/>
            </w:pPr>
            <w:r>
              <w:rPr>
                <w:rFonts w:ascii="Calibri" w:cs="Calibri" w:eastAsia="Calibri" w:hAnsi="Calibri"/>
                <w:b w:val="false"/>
                <w:bCs w:val="false"/>
                <w:i w:val="false"/>
                <w:iCs w:val="false"/>
                <w:sz w:val="20"/>
                <w:szCs w:val="20"/>
              </w:rPr>
              <w:t xml:space="preserve">This comment prompted the most substantial revision to the manuscript. In the original version, the degradation of the 70B model under ReAct + LA was explained by a single conjecture with no supporting literature. The Discussion now offers two complementary explanations, each anchored to prior work.</w:t>
            </w:r>
          </w:p>
          <w:p>
            <w:pPr>
              <w:spacing w:after="40" w:before="80" w:line="260"/>
              <w:jc w:val="left"/>
            </w:pPr>
            <w:r>
              <w:rPr>
                <w:rFonts w:ascii="Calibri" w:cs="Calibri" w:eastAsia="Calibri" w:hAnsi="Calibri"/>
                <w:b/>
                <w:bCs/>
                <w:i w:val="false"/>
                <w:iCs w:val="false"/>
                <w:sz w:val="20"/>
                <w:szCs w:val="20"/>
              </w:rPr>
              <w:t xml:space="preserve">Revised text (Discussion), first explanation: </w:t>
            </w:r>
            <w:r>
              <w:rPr>
                <w:rFonts w:ascii="Calibri" w:cs="Calibri" w:eastAsia="Calibri" w:hAnsi="Calibri"/>
                <w:b w:val="false"/>
                <w:bCs w:val="false"/>
                <w:i/>
                <w:iCs/>
                <w:sz w:val="20"/>
                <w:szCs w:val="20"/>
              </w:rPr>
              <w:t xml:space="preserve">“the prescriptive ReAct loop over-constrains the 70B model's generation distribution, forcing it to mimic the step-by-step, descriptive style characteristic of the 8B model rather than leveraging its superior generation capacity, consistent with the over-prompting effect in which added scaffolding degrades performance once a model already possesses the required competence [18].”</w:t>
            </w:r>
          </w:p>
          <w:p>
            <w:pPr>
              <w:spacing w:after="40" w:before="80" w:line="260"/>
              <w:jc w:val="left"/>
            </w:pPr>
            <w:r>
              <w:rPr>
                <w:rFonts w:ascii="Calibri" w:cs="Calibri" w:eastAsia="Calibri" w:hAnsi="Calibri"/>
                <w:b/>
                <w:bCs/>
                <w:i w:val="false"/>
                <w:iCs w:val="false"/>
                <w:sz w:val="20"/>
                <w:szCs w:val="20"/>
              </w:rPr>
              <w:t xml:space="preserve">Revised text (Discussion), second explanation: </w:t>
            </w:r>
            <w:r>
              <w:rPr>
                <w:rFonts w:ascii="Calibri" w:cs="Calibri" w:eastAsia="Calibri" w:hAnsi="Calibri"/>
                <w:b w:val="false"/>
                <w:bCs w:val="false"/>
                <w:i/>
                <w:iCs/>
                <w:sz w:val="20"/>
                <w:szCs w:val="20"/>
              </w:rPr>
              <w:t xml:space="preserve">“Second, under the implicit Bayesian view of in-context learning [16], context is informative only insofar as it sharpens an otherwise diffuse posterior; the 70B model's strong Baseline pedagogical performance indicates a prior already concentrated on criterion-satisfying feedback, so prescriptive context adds little signal while imposing stylistic constraints that pull generation away from it.”</w:t>
            </w:r>
          </w:p>
          <w:p>
            <w:pPr>
              <w:spacing w:after="40" w:before="80" w:line="260"/>
              <w:jc w:val="left"/>
            </w:pPr>
            <w:r>
              <w:rPr>
                <w:rFonts w:ascii="Calibri" w:cs="Calibri" w:eastAsia="Calibri" w:hAnsi="Calibri"/>
                <w:b w:val="false"/>
                <w:bCs w:val="false"/>
                <w:i w:val="false"/>
                <w:iCs w:val="false"/>
                <w:sz w:val="20"/>
                <w:szCs w:val="20"/>
              </w:rPr>
              <w:t xml:space="preserve">The second explanation also connects the empirical finding back to the Bayesian formulation already introduced in the Theoretical Framework, giving the paper a single consistent mechanistic account. The contrasting behaviour of the 8B model retains its existing anchors to the over-prompting and prompt-sensitivity literature [18], [19].</w:t>
            </w:r>
          </w:p>
        </w:tc>
      </w:tr>
      <w:tr>
        <w:tc>
          <w:tcPr>
            <w:tcW w:type="dxa" w:w="620"/>
            <w:shd w:fill="F2F2F2" w:color="auto" w:val="clear"/>
            <w:tcMar>
              <w:top w:type="dxa" w:w="80"/>
              <w:left w:type="dxa" w:w="110"/>
              <w:bottom w:type="dxa" w:w="80"/>
              <w:right w:type="dxa" w:w="110"/>
            </w:tcMar>
            <w:vAlign w:val="top"/>
          </w:tcPr>
          <w:p>
            <w:pPr>
              <w:spacing w:after="40" w:before="40" w:line="260"/>
              <w:jc w:val="center"/>
            </w:pPr>
            <w:r>
              <w:rPr>
                <w:rFonts w:ascii="Calibri" w:cs="Calibri" w:eastAsia="Calibri" w:hAnsi="Calibri"/>
                <w:b/>
                <w:bCs/>
                <w:i w:val="false"/>
                <w:iCs w:val="false"/>
                <w:sz w:val="20"/>
                <w:szCs w:val="20"/>
              </w:rPr>
              <w:t xml:space="preserve">5</w:t>
            </w:r>
          </w:p>
        </w:tc>
        <w:tc>
          <w:tcPr>
            <w:tcW w:type="dxa" w:w="4180"/>
            <w:tcMar>
              <w:top w:type="dxa" w:w="80"/>
              <w:left w:type="dxa" w:w="110"/>
              <w:bottom w:type="dxa" w:w="80"/>
              <w:right w:type="dxa" w:w="110"/>
            </w:tcMar>
            <w:vAlign w:val="top"/>
          </w:tcPr>
          <w:p>
            <w:pPr>
              <w:spacing w:after="40" w:before="40" w:line="260"/>
              <w:jc w:val="left"/>
            </w:pPr>
            <w:r>
              <w:rPr>
                <w:rFonts w:ascii="Calibri" w:cs="Calibri" w:eastAsia="Calibri" w:hAnsi="Calibri"/>
                <w:b/>
                <w:bCs/>
                <w:i w:val="false"/>
                <w:iCs w:val="false"/>
                <w:sz w:val="20"/>
                <w:szCs w:val="20"/>
              </w:rPr>
              <w:t xml:space="preserve">On practical significance and the implications of the limitations</w:t>
            </w:r>
          </w:p>
          <w:p>
            <w:pPr>
              <w:spacing w:after="40" w:before="80" w:line="260"/>
              <w:jc w:val="left"/>
            </w:pPr>
            <w:r>
              <w:rPr>
                <w:rFonts w:ascii="Calibri" w:cs="Calibri" w:eastAsia="Calibri" w:hAnsi="Calibri"/>
                <w:b w:val="false"/>
                <w:bCs w:val="false"/>
                <w:i/>
                <w:iCs/>
                <w:sz w:val="20"/>
                <w:szCs w:val="20"/>
              </w:rPr>
              <w:t xml:space="preserve">“In addition, a more detailed discussion of the practical significance of the improvements and the implications of the study's limitations would strengthen the overall discussion.”</w:t>
            </w:r>
          </w:p>
        </w:tc>
        <w:tc>
          <w:tcPr>
            <w:tcW w:type="dxa" w:w="4946"/>
            <w:tcMar>
              <w:top w:type="dxa" w:w="80"/>
              <w:left w:type="dxa" w:w="110"/>
              <w:bottom w:type="dxa" w:w="80"/>
              <w:right w:type="dxa" w:w="110"/>
            </w:tcMar>
            <w:vAlign w:val="top"/>
          </w:tcPr>
          <w:p>
            <w:pPr>
              <w:spacing w:after="40" w:before="40" w:line="260"/>
              <w:jc w:val="left"/>
            </w:pPr>
            <w:r>
              <w:rPr>
                <w:rFonts w:ascii="Calibri" w:cs="Calibri" w:eastAsia="Calibri" w:hAnsi="Calibri"/>
                <w:b w:val="false"/>
                <w:bCs w:val="false"/>
                <w:i w:val="false"/>
                <w:iCs w:val="false"/>
                <w:sz w:val="20"/>
                <w:szCs w:val="20"/>
              </w:rPr>
              <w:t xml:space="preserve">A new paragraph has been added to the Discussion addressing both halves of this comment.</w:t>
            </w:r>
          </w:p>
          <w:p>
            <w:pPr>
              <w:spacing w:after="40" w:before="80" w:line="260"/>
              <w:jc w:val="left"/>
            </w:pPr>
            <w:r>
              <w:rPr>
                <w:rFonts w:ascii="Calibri" w:cs="Calibri" w:eastAsia="Calibri" w:hAnsi="Calibri"/>
                <w:b/>
                <w:bCs/>
                <w:i w:val="false"/>
                <w:iCs w:val="false"/>
                <w:sz w:val="20"/>
                <w:szCs w:val="20"/>
              </w:rPr>
              <w:t xml:space="preserve">Revised text (practical significance): </w:t>
            </w:r>
            <w:r>
              <w:rPr>
                <w:rFonts w:ascii="Calibri" w:cs="Calibri" w:eastAsia="Calibri" w:hAnsi="Calibri"/>
                <w:b w:val="false"/>
                <w:bCs w:val="false"/>
                <w:i/>
                <w:iCs/>
                <w:sz w:val="20"/>
                <w:szCs w:val="20"/>
              </w:rPr>
              <w:t xml:space="preserve">“Practically, the gains matter most where they are largest. The 8B ReAct + LA configuration raises pedagogical criterion satisfaction by ΔF1 = 0.0750, recovering part of the gap to the untuned 70B Baseline at a fraction of the deployment cost, which is the operative trade-off for institutions that cannot host large models.”</w:t>
            </w:r>
          </w:p>
          <w:p>
            <w:pPr>
              <w:spacing w:after="40" w:before="80" w:line="260"/>
              <w:jc w:val="left"/>
            </w:pPr>
            <w:r>
              <w:rPr>
                <w:rFonts w:ascii="Calibri" w:cs="Calibri" w:eastAsia="Calibri" w:hAnsi="Calibri"/>
                <w:b/>
                <w:bCs/>
                <w:i w:val="false"/>
                <w:iCs w:val="false"/>
                <w:sz w:val="20"/>
                <w:szCs w:val="20"/>
              </w:rPr>
              <w:t xml:space="preserve">Revised text (implications of limitations): </w:t>
            </w:r>
            <w:r>
              <w:rPr>
                <w:rFonts w:ascii="Calibri" w:cs="Calibri" w:eastAsia="Calibri" w:hAnsi="Calibri"/>
                <w:b w:val="false"/>
                <w:bCs w:val="false"/>
                <w:i/>
                <w:iCs/>
                <w:sz w:val="20"/>
                <w:szCs w:val="20"/>
              </w:rPr>
              <w:t xml:space="preserve">“Together with the synthetic dataset (N = 40) and the single expert validator, these constraints mean the results establish feasibility and direction rather than deployment-ready effect sizes.”</w:t>
            </w:r>
          </w:p>
          <w:p>
            <w:pPr>
              <w:spacing w:after="40" w:before="80" w:line="260"/>
              <w:jc w:val="left"/>
            </w:pPr>
            <w:r>
              <w:rPr>
                <w:rFonts w:ascii="Calibri" w:cs="Calibri" w:eastAsia="Calibri" w:hAnsi="Calibri"/>
                <w:b w:val="false"/>
                <w:bCs w:val="false"/>
                <w:i w:val="false"/>
                <w:iCs w:val="false"/>
                <w:sz w:val="20"/>
                <w:szCs w:val="20"/>
              </w:rPr>
              <w:t xml:space="preserve">This frames the contribution as establishing feasibility and direction for resource-constrained deployment, which we believe is the honest reading of what the evidence currently supports.</w:t>
            </w:r>
          </w:p>
        </w:tc>
      </w:tr>
    </w:tbl>
    <w:p>
      <w:pPr>
        <w:spacing w:after="160" w:before="0" w:line="260"/>
        <w:jc w:val="left"/>
      </w:pPr>
      <w:r>
        <w:rPr>
          <w:rFonts w:ascii="Calibri" w:cs="Calibri" w:eastAsia="Calibri" w:hAnsi="Calibri"/>
          <w:b w:val="false"/>
          <w:bCs w:val="false"/>
          <w:i w:val="false"/>
          <w:iCs w:val="false"/>
          <w:sz w:val="20"/>
          <w:szCs w:val="20"/>
        </w:rPr>
        <w:t xml:space="preserve"/>
      </w:r>
    </w:p>
    <w:p>
      <w:pPr>
        <w:spacing w:after="0" w:before="0" w:line="260"/>
        <w:jc w:val="left"/>
      </w:pPr>
      <w:r>
        <w:rPr>
          <w:rFonts w:ascii="Calibri" w:cs="Calibri" w:eastAsia="Calibri" w:hAnsi="Calibri"/>
          <w:b w:val="false"/>
          <w:bCs w:val="false"/>
          <w:i w:val="false"/>
          <w:iCs w:val="false"/>
          <w:sz w:val="20"/>
          <w:szCs w:val="20"/>
        </w:rPr>
        <w:t xml:space="preserve">We believe these revisions have materially strengthened the manuscript, and we thank the reviewer again for the time and expertise invested in this review.</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 1</dc:title>
  <dc:creator>Qornain Aji</dc:creator>
  <cp:lastModifiedBy>Un-named</cp:lastModifiedBy>
  <cp:revision>1</cp:revision>
  <dcterms:created xsi:type="dcterms:W3CDTF">2026-09-02T11:30:32.188Z</dcterms:created>
  <dcterms:modified xsi:type="dcterms:W3CDTF">2026-09-02T11:30:32.189Z</dcterms:modified>
</cp:coreProperties>
</file>

<file path=docProps/custom.xml><?xml version="1.0" encoding="utf-8"?>
<Properties xmlns="http://schemas.openxmlformats.org/officeDocument/2006/custom-properties" xmlns:vt="http://schemas.openxmlformats.org/officeDocument/2006/docPropsVTypes"/>
</file>