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13A68" w14:textId="1A349C6C" w:rsidR="00BB0D04" w:rsidRPr="00A4530C" w:rsidRDefault="00BB0D04" w:rsidP="00A4530C">
      <w:pPr>
        <w:pStyle w:val="IntenseQuote"/>
        <w:rPr>
          <w:color w:val="000000" w:themeColor="text1"/>
          <w:sz w:val="36"/>
          <w:szCs w:val="36"/>
        </w:rPr>
      </w:pPr>
      <w:r w:rsidRPr="00A4530C">
        <w:rPr>
          <w:color w:val="000000" w:themeColor="text1"/>
          <w:sz w:val="36"/>
          <w:szCs w:val="36"/>
        </w:rPr>
        <w:t>Bitcoin stock-to-flow model</w:t>
      </w:r>
      <w:r w:rsidR="00056A72" w:rsidRPr="00A4530C">
        <w:rPr>
          <w:color w:val="000000" w:themeColor="text1"/>
          <w:sz w:val="36"/>
          <w:szCs w:val="36"/>
        </w:rPr>
        <w:t xml:space="preserve"> </w:t>
      </w:r>
      <w:r w:rsidR="00596709" w:rsidRPr="00A4530C">
        <w:rPr>
          <w:color w:val="000000" w:themeColor="text1"/>
          <w:sz w:val="36"/>
          <w:szCs w:val="36"/>
        </w:rPr>
        <w:t>(Why is it a bad model?)</w:t>
      </w:r>
    </w:p>
    <w:p w14:paraId="15A689AD" w14:textId="762BC32C" w:rsidR="00EE0D7A" w:rsidRDefault="00EE0D7A" w:rsidP="00EE0D7A">
      <w:pPr>
        <w:pStyle w:val="h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Bitcoin (BTC) Stock-to-Flow model wa</w:t>
      </w:r>
      <w:r>
        <w:rPr>
          <w:rFonts w:ascii="Georgia" w:hAnsi="Georgia"/>
          <w:color w:val="292929"/>
          <w:spacing w:val="-1"/>
          <w:sz w:val="32"/>
          <w:szCs w:val="32"/>
        </w:rPr>
        <w:t>s published March 2019</w:t>
      </w:r>
    </w:p>
    <w:p w14:paraId="30FC6E77" w14:textId="3E2F739F" w:rsidR="00EE0D7A" w:rsidRDefault="00EE0D7A" w:rsidP="00EE0D7A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original BTC Stock-to-Flow model is a formula based on monthly </w:t>
      </w:r>
      <w:r w:rsidR="00A4530C">
        <w:rPr>
          <w:rFonts w:ascii="Georgia" w:hAnsi="Georgia"/>
          <w:color w:val="292929"/>
          <w:spacing w:val="-1"/>
          <w:sz w:val="32"/>
          <w:szCs w:val="32"/>
        </w:rPr>
        <w:t>Stock-to-Flow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and price data. Since the data points are indexed in time order, it is a time series model. This model has activated quantitative analysts around the world. Many have verified the non-spurious relationship between S2F and BTC price</w:t>
      </w:r>
      <w:r w:rsidR="00A4530C"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3D737C18" w14:textId="77777777" w:rsidR="00A4530C" w:rsidRDefault="00A4530C" w:rsidP="00EE0D7A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07979425" w14:textId="77777777" w:rsidR="00056A72" w:rsidRDefault="00056A72" w:rsidP="00BB0D04">
      <w:pPr>
        <w:jc w:val="center"/>
        <w:rPr>
          <w:sz w:val="48"/>
          <w:szCs w:val="48"/>
        </w:rPr>
      </w:pPr>
    </w:p>
    <w:p w14:paraId="63565DE4" w14:textId="7415DFDB" w:rsidR="00BB0D04" w:rsidRPr="00BB0D04" w:rsidRDefault="00BB0D04" w:rsidP="00BB0D04">
      <w:pPr>
        <w:rPr>
          <w:sz w:val="24"/>
          <w:szCs w:val="24"/>
        </w:rPr>
      </w:pPr>
    </w:p>
    <w:sectPr w:rsidR="00BB0D04" w:rsidRPr="00BB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BA"/>
    <w:rsid w:val="00056A72"/>
    <w:rsid w:val="001148FB"/>
    <w:rsid w:val="00596709"/>
    <w:rsid w:val="006C4053"/>
    <w:rsid w:val="00A324BA"/>
    <w:rsid w:val="00A4530C"/>
    <w:rsid w:val="00BB0D04"/>
    <w:rsid w:val="00E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A8D9"/>
  <w15:chartTrackingRefBased/>
  <w15:docId w15:val="{8334F627-1B1E-4A53-9137-B24EE6D6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EE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0D7A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Qozeem Odeniran</dc:creator>
  <cp:keywords/>
  <dc:description/>
  <cp:lastModifiedBy>Qozeem Odeniran</cp:lastModifiedBy>
  <cp:revision>12</cp:revision>
  <dcterms:created xsi:type="dcterms:W3CDTF">2020-09-18T20:53:00Z</dcterms:created>
  <dcterms:modified xsi:type="dcterms:W3CDTF">2020-09-18T23:38:00Z</dcterms:modified>
</cp:coreProperties>
</file>