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 vs LLM agreement by metric (n = 1,376)</w:t>
      </w:r>
    </w:p>
    <w:p>
      <w:r>
        <w:t>Each table shows one agreement metric across taxon scopes (rows) and comparison types (columns). Keep vs drop = Primary/Secondary vs Not target-taxon-focused. The GPT∩Gemini agree column uses only rows where both models matched on focus and theme (subset n shown in footnote).</w:t>
      </w:r>
    </w:p>
    <w:p>
      <w:pPr>
        <w:pStyle w:val="Heading2"/>
      </w:pPr>
      <w:r>
        <w:t>Table 1. Keep vs drop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Gemini Pro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GPT∩Gemini agree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Gemini Pro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91.9% (κ 0.73)</w:t>
            </w:r>
          </w:p>
        </w:tc>
        <w:tc>
          <w:tcPr>
            <w:tcW w:type="dxa" w:w="1728"/>
          </w:tcPr>
          <w:p>
            <w:r>
              <w:t>90.8% (κ 0.71)</w:t>
            </w:r>
          </w:p>
        </w:tc>
        <w:tc>
          <w:tcPr>
            <w:tcW w:type="dxa" w:w="1728"/>
          </w:tcPr>
          <w:p>
            <w:r>
              <w:t>96.7% (κ 0.88)</w:t>
            </w:r>
          </w:p>
        </w:tc>
        <w:tc>
          <w:tcPr>
            <w:tcW w:type="dxa" w:w="1728"/>
          </w:tcPr>
          <w:p>
            <w:r>
              <w:t>91.1% (κ 0.72)</w:t>
            </w:r>
          </w:p>
        </w:tc>
      </w:tr>
      <w:tr>
        <w:tc>
          <w:tcPr>
            <w:tcW w:type="dxa" w:w="1728"/>
          </w:tcPr>
          <w:p>
            <w:r>
              <w:t>Culicidae only</w:t>
            </w:r>
          </w:p>
        </w:tc>
        <w:tc>
          <w:tcPr>
            <w:tcW w:type="dxa" w:w="1728"/>
          </w:tcPr>
          <w:p>
            <w:r>
              <w:t>77.0% (κ 0.45)</w:t>
            </w:r>
          </w:p>
        </w:tc>
        <w:tc>
          <w:tcPr>
            <w:tcW w:type="dxa" w:w="1728"/>
          </w:tcPr>
          <w:p>
            <w:r>
              <w:t>78.1% (κ 0.53)</w:t>
            </w:r>
          </w:p>
        </w:tc>
        <w:tc>
          <w:tcPr>
            <w:tcW w:type="dxa" w:w="1728"/>
          </w:tcPr>
          <w:p>
            <w:r>
              <w:t>89.3% (κ 0.74)</w:t>
            </w:r>
          </w:p>
        </w:tc>
        <w:tc>
          <w:tcPr>
            <w:tcW w:type="dxa" w:w="1728"/>
          </w:tcPr>
          <w:p>
            <w:r>
              <w:t>79.5% (κ 0.54)</w:t>
            </w:r>
          </w:p>
        </w:tc>
      </w:tr>
      <w:tr>
        <w:tc>
          <w:tcPr>
            <w:tcW w:type="dxa" w:w="1728"/>
          </w:tcPr>
          <w:p>
            <w:r>
              <w:t>Rest (no Culicidae)</w:t>
            </w:r>
          </w:p>
        </w:tc>
        <w:tc>
          <w:tcPr>
            <w:tcW w:type="dxa" w:w="1728"/>
          </w:tcPr>
          <w:p>
            <w:r>
              <w:t>95.6% (κ 0.83)</w:t>
            </w:r>
          </w:p>
        </w:tc>
        <w:tc>
          <w:tcPr>
            <w:tcW w:type="dxa" w:w="1728"/>
          </w:tcPr>
          <w:p>
            <w:r>
              <w:t>93.9% (κ 0.77)</w:t>
            </w:r>
          </w:p>
        </w:tc>
        <w:tc>
          <w:tcPr>
            <w:tcW w:type="dxa" w:w="1728"/>
          </w:tcPr>
          <w:p>
            <w:r>
              <w:t>98.1% (κ 0.93)</w:t>
            </w:r>
          </w:p>
        </w:tc>
        <w:tc>
          <w:tcPr>
            <w:tcW w:type="dxa" w:w="1728"/>
          </w:tcPr>
          <w:p>
            <w:r>
              <w:t>94.0% (κ 0.78)</w:t>
            </w:r>
          </w:p>
        </w:tc>
      </w:tr>
    </w:tbl>
    <w:p>
      <w:r>
        <w:rPr>
          <w:i/>
        </w:rPr>
        <w:t xml:space="preserve">Subset n (GPT∩Gemini agree): </w:t>
      </w:r>
      <w:r>
        <w:t>ALL 958; Culicidae 159; Rest 799.</w:t>
      </w:r>
    </w:p>
    <w:p/>
    <w:p>
      <w:pPr>
        <w:pStyle w:val="Heading2"/>
      </w:pPr>
      <w:r>
        <w:t>Table 2. Taxon focus label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Gemini Pro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GPT∩Gemini agree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Gemini Pro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85.0% (κ 0.76)</w:t>
            </w:r>
          </w:p>
        </w:tc>
        <w:tc>
          <w:tcPr>
            <w:tcW w:type="dxa" w:w="1728"/>
          </w:tcPr>
          <w:p>
            <w:r>
              <w:t>87.6% (κ 0.81)</w:t>
            </w:r>
          </w:p>
        </w:tc>
        <w:tc>
          <w:tcPr>
            <w:tcW w:type="dxa" w:w="1728"/>
          </w:tcPr>
          <w:p>
            <w:r>
              <w:t>94.0% (κ 0.90)</w:t>
            </w:r>
          </w:p>
        </w:tc>
        <w:tc>
          <w:tcPr>
            <w:tcW w:type="dxa" w:w="1728"/>
          </w:tcPr>
          <w:p>
            <w:r>
              <w:t>86.9% (κ 0.79)</w:t>
            </w:r>
          </w:p>
        </w:tc>
      </w:tr>
      <w:tr>
        <w:tc>
          <w:tcPr>
            <w:tcW w:type="dxa" w:w="1728"/>
          </w:tcPr>
          <w:p>
            <w:r>
              <w:t>Culicidae only</w:t>
            </w:r>
          </w:p>
        </w:tc>
        <w:tc>
          <w:tcPr>
            <w:tcW w:type="dxa" w:w="1728"/>
          </w:tcPr>
          <w:p>
            <w:r>
              <w:t>61.7% (κ 0.35)</w:t>
            </w:r>
          </w:p>
        </w:tc>
        <w:tc>
          <w:tcPr>
            <w:tcW w:type="dxa" w:w="1728"/>
          </w:tcPr>
          <w:p>
            <w:r>
              <w:t>69.1% (κ 0.50)</w:t>
            </w:r>
          </w:p>
        </w:tc>
        <w:tc>
          <w:tcPr>
            <w:tcW w:type="dxa" w:w="1728"/>
          </w:tcPr>
          <w:p>
            <w:r>
              <w:t>78.0% (κ 0.60)</w:t>
            </w:r>
          </w:p>
        </w:tc>
        <w:tc>
          <w:tcPr>
            <w:tcW w:type="dxa" w:w="1728"/>
          </w:tcPr>
          <w:p>
            <w:r>
              <w:t>74.7% (κ 0.51)</w:t>
            </w:r>
          </w:p>
        </w:tc>
      </w:tr>
      <w:tr>
        <w:tc>
          <w:tcPr>
            <w:tcW w:type="dxa" w:w="1728"/>
          </w:tcPr>
          <w:p>
            <w:r>
              <w:t>Rest (no Culicidae)</w:t>
            </w:r>
          </w:p>
        </w:tc>
        <w:tc>
          <w:tcPr>
            <w:tcW w:type="dxa" w:w="1728"/>
          </w:tcPr>
          <w:p>
            <w:r>
              <w:t>90.7% (κ 0.85)</w:t>
            </w:r>
          </w:p>
        </w:tc>
        <w:tc>
          <w:tcPr>
            <w:tcW w:type="dxa" w:w="1728"/>
          </w:tcPr>
          <w:p>
            <w:r>
              <w:t>92.0% (κ 0.87)</w:t>
            </w:r>
          </w:p>
        </w:tc>
        <w:tc>
          <w:tcPr>
            <w:tcW w:type="dxa" w:w="1728"/>
          </w:tcPr>
          <w:p>
            <w:r>
              <w:t>97.1% (κ 0.95)</w:t>
            </w:r>
          </w:p>
        </w:tc>
        <w:tc>
          <w:tcPr>
            <w:tcW w:type="dxa" w:w="1728"/>
          </w:tcPr>
          <w:p>
            <w:r>
              <w:t>89.9% (κ 0.84)</w:t>
            </w:r>
          </w:p>
        </w:tc>
      </w:tr>
    </w:tbl>
    <w:p>
      <w:r>
        <w:rPr>
          <w:i/>
        </w:rPr>
        <w:t xml:space="preserve">Subset n (GPT∩Gemini agree): </w:t>
      </w:r>
      <w:r>
        <w:t>ALL 958; Culicidae 159; Rest 799.</w:t>
      </w:r>
    </w:p>
    <w:p/>
    <w:p>
      <w:pPr>
        <w:pStyle w:val="Heading2"/>
      </w:pPr>
      <w:r>
        <w:t>Table 3. Research theme agreement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Gemini Pro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GPT∩Gemini agree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Gemini Pro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74.6% (κ 0.69)</w:t>
            </w:r>
          </w:p>
        </w:tc>
        <w:tc>
          <w:tcPr>
            <w:tcW w:type="dxa" w:w="1728"/>
          </w:tcPr>
          <w:p>
            <w:r>
              <w:t>73.0% (κ 0.68)</w:t>
            </w:r>
          </w:p>
        </w:tc>
        <w:tc>
          <w:tcPr>
            <w:tcW w:type="dxa" w:w="1728"/>
          </w:tcPr>
          <w:p>
            <w:r>
              <w:t>86.2% (κ 0.83)</w:t>
            </w:r>
          </w:p>
        </w:tc>
        <w:tc>
          <w:tcPr>
            <w:tcW w:type="dxa" w:w="1728"/>
          </w:tcPr>
          <w:p>
            <w:r>
              <w:t>76.2% (κ 0.71)</w:t>
            </w:r>
          </w:p>
        </w:tc>
      </w:tr>
      <w:tr>
        <w:tc>
          <w:tcPr>
            <w:tcW w:type="dxa" w:w="1728"/>
          </w:tcPr>
          <w:p>
            <w:r>
              <w:t>Culicidae only</w:t>
            </w:r>
          </w:p>
        </w:tc>
        <w:tc>
          <w:tcPr>
            <w:tcW w:type="dxa" w:w="1728"/>
          </w:tcPr>
          <w:p>
            <w:r>
              <w:t>55.0% (κ 0.40)</w:t>
            </w:r>
          </w:p>
        </w:tc>
        <w:tc>
          <w:tcPr>
            <w:tcW w:type="dxa" w:w="1728"/>
          </w:tcPr>
          <w:p>
            <w:r>
              <w:t>62.1% (κ 0.48)</w:t>
            </w:r>
          </w:p>
        </w:tc>
        <w:tc>
          <w:tcPr>
            <w:tcW w:type="dxa" w:w="1728"/>
          </w:tcPr>
          <w:p>
            <w:r>
              <w:t>72.3% (κ 0.61)</w:t>
            </w:r>
          </w:p>
        </w:tc>
        <w:tc>
          <w:tcPr>
            <w:tcW w:type="dxa" w:w="1728"/>
          </w:tcPr>
          <w:p>
            <w:r>
              <w:t>69.5% (κ 0.58)</w:t>
            </w:r>
          </w:p>
        </w:tc>
      </w:tr>
      <w:tr>
        <w:tc>
          <w:tcPr>
            <w:tcW w:type="dxa" w:w="1728"/>
          </w:tcPr>
          <w:p>
            <w:r>
              <w:t>Rest (no Culicidae)</w:t>
            </w:r>
          </w:p>
        </w:tc>
        <w:tc>
          <w:tcPr>
            <w:tcW w:type="dxa" w:w="1728"/>
          </w:tcPr>
          <w:p>
            <w:r>
              <w:t>79.4% (κ 0.74)</w:t>
            </w:r>
          </w:p>
        </w:tc>
        <w:tc>
          <w:tcPr>
            <w:tcW w:type="dxa" w:w="1728"/>
          </w:tcPr>
          <w:p>
            <w:r>
              <w:t>75.6% (κ 0.70)</w:t>
            </w:r>
          </w:p>
        </w:tc>
        <w:tc>
          <w:tcPr>
            <w:tcW w:type="dxa" w:w="1728"/>
          </w:tcPr>
          <w:p>
            <w:r>
              <w:t>89.0% (κ 0.86)</w:t>
            </w:r>
          </w:p>
        </w:tc>
        <w:tc>
          <w:tcPr>
            <w:tcW w:type="dxa" w:w="1728"/>
          </w:tcPr>
          <w:p>
            <w:r>
              <w:t>77.8% (κ 0.73)</w:t>
            </w:r>
          </w:p>
        </w:tc>
      </w:tr>
    </w:tbl>
    <w:p>
      <w:r>
        <w:rPr>
          <w:i/>
        </w:rPr>
        <w:t xml:space="preserve">Subset n (GPT∩Gemini agree): </w:t>
      </w:r>
      <w:r>
        <w:t>ALL 958; Culicidae 159; Rest 799.</w:t>
      </w:r>
    </w:p>
    <w:p/>
    <w:p>
      <w:pPr>
        <w:pStyle w:val="Heading2"/>
      </w:pPr>
      <w:r>
        <w:t>Table 4. Focus label and theme both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Gemini Pro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GPT∩Gemini agree vs human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GPT-4o-mini vs Gemini Pro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68.0%</w:t>
            </w:r>
          </w:p>
        </w:tc>
        <w:tc>
          <w:tcPr>
            <w:tcW w:type="dxa" w:w="1728"/>
          </w:tcPr>
          <w:p>
            <w:r>
              <w:t>68.0%</w:t>
            </w:r>
          </w:p>
        </w:tc>
        <w:tc>
          <w:tcPr>
            <w:tcW w:type="dxa" w:w="1728"/>
          </w:tcPr>
          <w:p>
            <w:r>
              <w:t>83.0%</w:t>
            </w:r>
          </w:p>
        </w:tc>
        <w:tc>
          <w:tcPr>
            <w:tcW w:type="dxa" w:w="1728"/>
          </w:tcPr>
          <w:p>
            <w:r>
              <w:t>69.6%</w:t>
            </w:r>
          </w:p>
        </w:tc>
      </w:tr>
      <w:tr>
        <w:tc>
          <w:tcPr>
            <w:tcW w:type="dxa" w:w="1728"/>
          </w:tcPr>
          <w:p>
            <w:r>
              <w:t>Culicidae only</w:t>
            </w:r>
          </w:p>
        </w:tc>
        <w:tc>
          <w:tcPr>
            <w:tcW w:type="dxa" w:w="1728"/>
          </w:tcPr>
          <w:p>
            <w:r>
              <w:t>42.4%</w:t>
            </w:r>
          </w:p>
        </w:tc>
        <w:tc>
          <w:tcPr>
            <w:tcW w:type="dxa" w:w="1728"/>
          </w:tcPr>
          <w:p>
            <w:r>
              <w:t>50.6%</w:t>
            </w:r>
          </w:p>
        </w:tc>
        <w:tc>
          <w:tcPr>
            <w:tcW w:type="dxa" w:w="1728"/>
          </w:tcPr>
          <w:p>
            <w:r>
              <w:t>61.6%</w:t>
            </w:r>
          </w:p>
        </w:tc>
        <w:tc>
          <w:tcPr>
            <w:tcW w:type="dxa" w:w="1728"/>
          </w:tcPr>
          <w:p>
            <w:r>
              <w:t>59.1%</w:t>
            </w:r>
          </w:p>
        </w:tc>
      </w:tr>
      <w:tr>
        <w:tc>
          <w:tcPr>
            <w:tcW w:type="dxa" w:w="1728"/>
          </w:tcPr>
          <w:p>
            <w:r>
              <w:t>Rest (no Culicidae)</w:t>
            </w:r>
          </w:p>
        </w:tc>
        <w:tc>
          <w:tcPr>
            <w:tcW w:type="dxa" w:w="1728"/>
          </w:tcPr>
          <w:p>
            <w:r>
              <w:t>74.2%</w:t>
            </w:r>
          </w:p>
        </w:tc>
        <w:tc>
          <w:tcPr>
            <w:tcW w:type="dxa" w:w="1728"/>
          </w:tcPr>
          <w:p>
            <w:r>
              <w:t>72.3%</w:t>
            </w:r>
          </w:p>
        </w:tc>
        <w:tc>
          <w:tcPr>
            <w:tcW w:type="dxa" w:w="1728"/>
          </w:tcPr>
          <w:p>
            <w:r>
              <w:t>87.2%</w:t>
            </w:r>
          </w:p>
        </w:tc>
        <w:tc>
          <w:tcPr>
            <w:tcW w:type="dxa" w:w="1728"/>
          </w:tcPr>
          <w:p>
            <w:r>
              <w:t>72.2%</w:t>
            </w:r>
          </w:p>
        </w:tc>
      </w:tr>
    </w:tbl>
    <w:p>
      <w:r>
        <w:rPr>
          <w:i/>
        </w:rPr>
        <w:t xml:space="preserve">Subset n (GPT∩Gemini agree): </w:t>
      </w:r>
      <w:r>
        <w:t>ALL 958; Culicidae 159; Rest 799.</w:t>
      </w:r>
    </w:p>
    <w:p/>
    <w:p>
      <w:pPr>
        <w:pStyle w:val="Heading2"/>
      </w:pPr>
      <w:r>
        <w:t>Notes</w:t>
      </w:r>
    </w:p>
    <w:p>
      <w:pPr>
        <w:pStyle w:val="ListBullet"/>
      </w:pPr>
      <w:r>
        <w:t>Human labels are the reference for the first three columns.</w:t>
      </w:r>
    </w:p>
    <w:p>
      <w:pPr>
        <w:pStyle w:val="ListBullet"/>
      </w:pPr>
      <w:r>
        <w:t>GPT-4o-mini vs Gemini Pro is dual-model consistency (no human reference).</w:t>
      </w:r>
    </w:p>
    <w:p>
      <w:pPr>
        <w:pStyle w:val="ListBullet"/>
      </w:pPr>
      <w:r>
        <w:t>Culicidae shows lower agreement than the other aquatic insect groups.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