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86A1C" w14:textId="77777777" w:rsidR="00EB55E0" w:rsidRDefault="00EB55E0" w:rsidP="00FD1D55"/>
    <w:p w14:paraId="21E62866" w14:textId="0DB03881" w:rsidR="00EB55E0" w:rsidRPr="003B23D7" w:rsidRDefault="00EB55E0" w:rsidP="00BA54C0">
      <w:pPr>
        <w:jc w:val="center"/>
        <w:outlineLvl w:val="0"/>
        <w:rPr>
          <w:sz w:val="36"/>
        </w:rPr>
      </w:pPr>
      <w:r w:rsidRPr="003B23D7">
        <w:rPr>
          <w:sz w:val="36"/>
        </w:rPr>
        <w:t>Travaux Pratiques</w:t>
      </w:r>
    </w:p>
    <w:p w14:paraId="423DE1DE" w14:textId="77777777" w:rsidR="00EB55E0" w:rsidRDefault="00EB55E0" w:rsidP="00FD1D55"/>
    <w:p w14:paraId="444745A5" w14:textId="6857D026" w:rsidR="006567E9" w:rsidRDefault="00671DFD" w:rsidP="00BA54C0">
      <w:pPr>
        <w:outlineLvl w:val="0"/>
        <w:rPr>
          <w:sz w:val="32"/>
        </w:rPr>
      </w:pPr>
      <w:r>
        <w:rPr>
          <w:sz w:val="32"/>
        </w:rPr>
        <w:t>Etape 1</w:t>
      </w:r>
      <w:r w:rsidR="003046A8">
        <w:rPr>
          <w:sz w:val="32"/>
        </w:rPr>
        <w:t xml:space="preserve"> </w:t>
      </w:r>
    </w:p>
    <w:p w14:paraId="1D97EC7A" w14:textId="78814B0F" w:rsidR="003046A8" w:rsidRPr="003046A8" w:rsidRDefault="003046A8" w:rsidP="00FD1D55">
      <w:pPr>
        <w:rPr>
          <w:sz w:val="28"/>
        </w:rPr>
      </w:pPr>
      <w:r w:rsidRPr="003046A8">
        <w:rPr>
          <w:sz w:val="28"/>
        </w:rPr>
        <w:t>(</w:t>
      </w:r>
      <w:proofErr w:type="spellStart"/>
      <w:r w:rsidRPr="003046A8">
        <w:rPr>
          <w:sz w:val="28"/>
        </w:rPr>
        <w:t>Elements</w:t>
      </w:r>
      <w:proofErr w:type="spellEnd"/>
      <w:r w:rsidRPr="003046A8">
        <w:rPr>
          <w:sz w:val="28"/>
        </w:rPr>
        <w:t xml:space="preserve"> de réponse)</w:t>
      </w:r>
    </w:p>
    <w:p w14:paraId="7E163266" w14:textId="77777777" w:rsidR="004E26F0" w:rsidRDefault="004E26F0" w:rsidP="00FD1D55"/>
    <w:p w14:paraId="554E8D76" w14:textId="04930289" w:rsidR="004E26F0" w:rsidRDefault="004E26F0" w:rsidP="00FD1D55">
      <w:r>
        <w:t>L’astronomie gamma est l’étu</w:t>
      </w:r>
      <w:r w:rsidR="00671DFD">
        <w:t>de des plus hautes énergies (au-</w:t>
      </w:r>
      <w:r>
        <w:t xml:space="preserve">delà de 100keV). Les réseaux de télescopes </w:t>
      </w:r>
      <w:proofErr w:type="spellStart"/>
      <w:r>
        <w:t>Cherenkov</w:t>
      </w:r>
      <w:proofErr w:type="spellEnd"/>
      <w:r>
        <w:t xml:space="preserve"> sont des instruments basés au sol utilisant le principe de production de lumière </w:t>
      </w:r>
      <w:proofErr w:type="spellStart"/>
      <w:r>
        <w:t>Cherenkov</w:t>
      </w:r>
      <w:proofErr w:type="spellEnd"/>
      <w:r>
        <w:t>. Lorsqu’une particule primaire arrive dans l’atmosphère, elle va heurter les molécules présentes dans l’atmosphères. De nouvelles particules vont ê</w:t>
      </w:r>
      <w:r w:rsidR="000F2A36">
        <w:t>tre produites</w:t>
      </w:r>
      <w:r>
        <w:t xml:space="preserve"> qui vont se déplacer à une vitesse supérieure à celle de la lumière dans l’atmosphère. Ceci va produire ce qu’on appelle une lumière </w:t>
      </w:r>
      <w:proofErr w:type="spellStart"/>
      <w:r>
        <w:t>Cherenkov</w:t>
      </w:r>
      <w:proofErr w:type="spellEnd"/>
      <w:r>
        <w:t>.</w:t>
      </w:r>
    </w:p>
    <w:p w14:paraId="41770EAA" w14:textId="115C498E" w:rsidR="004E26F0" w:rsidRDefault="004E26F0" w:rsidP="00FD1D55">
      <w:r>
        <w:t xml:space="preserve">Les détecteurs </w:t>
      </w:r>
      <w:proofErr w:type="spellStart"/>
      <w:r>
        <w:t>Cherenkov</w:t>
      </w:r>
      <w:proofErr w:type="spellEnd"/>
      <w:r>
        <w:t xml:space="preserve"> vont capter cette lumière et ainsi remonter aux </w:t>
      </w:r>
      <w:r w:rsidR="000F2A36">
        <w:t>caractéristiques</w:t>
      </w:r>
      <w:r>
        <w:t xml:space="preserve"> de la particule incidente. L’avantage de l’utilisation de ces instruments est que le gamma n’est pas dévié au long de sa trajectoire, il est donc possible de remonter à la position de la source facilement. L’inconvénient est la faible quantité de particules reçues, il faut donc de grands détecteurs.</w:t>
      </w:r>
    </w:p>
    <w:p w14:paraId="123A9FB0" w14:textId="77777777" w:rsidR="005206EE" w:rsidRDefault="005206EE" w:rsidP="00FD1D55"/>
    <w:p w14:paraId="6E0CE8FE" w14:textId="570A789F" w:rsidR="005206EE" w:rsidRDefault="005206EE" w:rsidP="00FD1D55">
      <w:r>
        <w:t xml:space="preserve">L’astronomie gamma compte les évènements dans une région appelée ON et des régions appelées OFF. Les évènements OFF sont comptés grâce à une méthode appelée Multiple OFF qui va créer des régions du ciel situées à une même distance du centre de la caméra pour éviter les biais instrumentaux. Ensuite un estimateur appelé </w:t>
      </w:r>
      <w:proofErr w:type="spellStart"/>
      <w:r>
        <w:t>Li&amp;Ma</w:t>
      </w:r>
      <w:proofErr w:type="spellEnd"/>
      <w:r>
        <w:t xml:space="preserve"> permet de calculer la probabilité que le signal reçu soit un vrai signal et non une fluc</w:t>
      </w:r>
      <w:r w:rsidR="009862ED">
        <w:t>t</w:t>
      </w:r>
      <w:r>
        <w:t>uation statistique.</w:t>
      </w:r>
    </w:p>
    <w:p w14:paraId="20A23F1B" w14:textId="77777777" w:rsidR="004E26F0" w:rsidRDefault="004E26F0" w:rsidP="00FD1D55"/>
    <w:p w14:paraId="566A90CF" w14:textId="77777777" w:rsidR="004E26F0" w:rsidRDefault="004E26F0" w:rsidP="00FD1D55"/>
    <w:p w14:paraId="51424391" w14:textId="6623CE6D" w:rsidR="004E26F0" w:rsidRDefault="004E26F0" w:rsidP="00BA54C0">
      <w:pPr>
        <w:outlineLvl w:val="0"/>
        <w:rPr>
          <w:sz w:val="32"/>
        </w:rPr>
      </w:pPr>
      <w:r w:rsidRPr="00671DFD">
        <w:rPr>
          <w:sz w:val="32"/>
        </w:rPr>
        <w:t>Etape 2</w:t>
      </w:r>
    </w:p>
    <w:p w14:paraId="1DDB5FFD" w14:textId="77777777" w:rsidR="0032338A" w:rsidRDefault="0032338A" w:rsidP="00FD1D55">
      <w:pPr>
        <w:rPr>
          <w:sz w:val="32"/>
        </w:rPr>
      </w:pPr>
    </w:p>
    <w:p w14:paraId="03FE27BC" w14:textId="66169AE3" w:rsidR="0032338A" w:rsidRPr="0032338A" w:rsidRDefault="0032338A" w:rsidP="00BA54C0">
      <w:pPr>
        <w:outlineLvl w:val="0"/>
        <w:rPr>
          <w:sz w:val="28"/>
        </w:rPr>
      </w:pPr>
      <w:r w:rsidRPr="00F666A5">
        <w:rPr>
          <w:sz w:val="28"/>
        </w:rPr>
        <w:t>Carte d’évènements</w:t>
      </w:r>
      <w:r>
        <w:rPr>
          <w:sz w:val="28"/>
        </w:rPr>
        <w:t xml:space="preserve"> et position de la source</w:t>
      </w:r>
    </w:p>
    <w:p w14:paraId="515933C4" w14:textId="77777777" w:rsidR="004E26F0" w:rsidRDefault="004E26F0" w:rsidP="00FD1D55"/>
    <w:p w14:paraId="45BCCA8E" w14:textId="6F2BA2DF" w:rsidR="00135F67" w:rsidRDefault="004E26F0" w:rsidP="00BA54C0">
      <w:pPr>
        <w:outlineLvl w:val="0"/>
      </w:pPr>
      <w:r>
        <w:t>L’utilisation de DS9 permet de tracer les cartes des évènements</w:t>
      </w:r>
      <w:r w:rsidR="0058589F">
        <w:t xml:space="preserve"> da</w:t>
      </w:r>
      <w:r w:rsidR="0032338A">
        <w:t>n</w:t>
      </w:r>
      <w:r w:rsidR="0058589F">
        <w:t>s le ciel</w:t>
      </w:r>
      <w:r>
        <w:t>.</w:t>
      </w:r>
    </w:p>
    <w:p w14:paraId="5FABDF6F" w14:textId="77777777" w:rsidR="00135F67" w:rsidRDefault="00135F67" w:rsidP="00FD1D55"/>
    <w:p w14:paraId="4C91C6F2" w14:textId="182D9042" w:rsidR="00135F67" w:rsidRDefault="00135F67" w:rsidP="00FD1D55">
      <w:r>
        <w:t>La détermination de la source à la main</w:t>
      </w:r>
      <w:r w:rsidR="005413B2">
        <w:t xml:space="preserve"> de la </w:t>
      </w:r>
      <w:r w:rsidR="00BA54C0">
        <w:t>Cen-A</w:t>
      </w:r>
      <w:r>
        <w:t xml:space="preserve"> donne la position de </w:t>
      </w:r>
      <w:r w:rsidR="0058589F">
        <w:t xml:space="preserve">RA = 201.36 </w:t>
      </w:r>
      <w:proofErr w:type="spellStart"/>
      <w:r w:rsidR="0058589F">
        <w:t>deg</w:t>
      </w:r>
      <w:proofErr w:type="spellEnd"/>
      <w:r w:rsidR="0058589F">
        <w:t xml:space="preserve"> et </w:t>
      </w:r>
      <w:proofErr w:type="spellStart"/>
      <w:r w:rsidR="0058589F">
        <w:t>Dec</w:t>
      </w:r>
      <w:proofErr w:type="spellEnd"/>
      <w:r w:rsidR="0058589F">
        <w:t xml:space="preserve"> = -43.0deg.</w:t>
      </w:r>
    </w:p>
    <w:p w14:paraId="0BCD62A4" w14:textId="6025CD05" w:rsidR="0077373A" w:rsidRPr="00B30BDF" w:rsidRDefault="00135F67" w:rsidP="0077373A">
      <w:pPr>
        <w:pStyle w:val="p1"/>
        <w:rPr>
          <w:rFonts w:ascii="Times New Roman" w:hAnsi="Times New Roman" w:cs="Times New Roman"/>
          <w:sz w:val="24"/>
          <w:szCs w:val="24"/>
        </w:rPr>
      </w:pPr>
      <w:r w:rsidRPr="00B30BDF">
        <w:rPr>
          <w:rFonts w:ascii="Times New Roman" w:hAnsi="Times New Roman" w:cs="Times New Roman"/>
          <w:sz w:val="24"/>
          <w:szCs w:val="24"/>
        </w:rPr>
        <w:t>Le script de détermination de la position donne les coordonnées</w:t>
      </w:r>
      <w:r w:rsidR="009F51A2">
        <w:rPr>
          <w:rFonts w:ascii="Times New Roman" w:hAnsi="Times New Roman" w:cs="Times New Roman"/>
          <w:sz w:val="24"/>
          <w:szCs w:val="24"/>
        </w:rPr>
        <w:t xml:space="preserve"> pour la </w:t>
      </w:r>
      <w:r w:rsidR="00BA54C0">
        <w:rPr>
          <w:rStyle w:val="s1"/>
          <w:rFonts w:ascii="Times New Roman" w:hAnsi="Times New Roman" w:cs="Times New Roman"/>
          <w:sz w:val="24"/>
          <w:szCs w:val="24"/>
        </w:rPr>
        <w:t>Cen-</w:t>
      </w:r>
      <w:proofErr w:type="gramStart"/>
      <w:r w:rsidR="00BA54C0">
        <w:rPr>
          <w:rStyle w:val="s1"/>
          <w:rFonts w:ascii="Times New Roman" w:hAnsi="Times New Roman" w:cs="Times New Roman"/>
          <w:sz w:val="24"/>
          <w:szCs w:val="24"/>
        </w:rPr>
        <w:t>A</w:t>
      </w:r>
      <w:r w:rsidR="0077373A" w:rsidRPr="00B30BDF">
        <w:rPr>
          <w:rStyle w:val="s1"/>
          <w:rFonts w:ascii="Times New Roman" w:hAnsi="Times New Roman" w:cs="Times New Roman"/>
          <w:sz w:val="24"/>
          <w:szCs w:val="24"/>
        </w:rPr>
        <w:t>:</w:t>
      </w:r>
      <w:proofErr w:type="gramEnd"/>
      <w:r w:rsidR="0077373A" w:rsidRPr="00B30BDF">
        <w:rPr>
          <w:rStyle w:val="s1"/>
          <w:rFonts w:ascii="Times New Roman" w:hAnsi="Times New Roman" w:cs="Times New Roman"/>
          <w:sz w:val="24"/>
          <w:szCs w:val="24"/>
        </w:rPr>
        <w:t xml:space="preserve"> RA = 2</w:t>
      </w:r>
      <w:r w:rsidR="00B30BDF" w:rsidRPr="00B30BDF">
        <w:rPr>
          <w:rStyle w:val="s1"/>
          <w:rFonts w:ascii="Times New Roman" w:hAnsi="Times New Roman" w:cs="Times New Roman"/>
          <w:sz w:val="24"/>
          <w:szCs w:val="24"/>
        </w:rPr>
        <w:t xml:space="preserve">01.365 </w:t>
      </w:r>
      <w:proofErr w:type="spellStart"/>
      <w:r w:rsidR="00B30BDF" w:rsidRPr="00B30BDF">
        <w:rPr>
          <w:rStyle w:val="s1"/>
          <w:rFonts w:ascii="Times New Roman" w:hAnsi="Times New Roman" w:cs="Times New Roman"/>
          <w:sz w:val="24"/>
          <w:szCs w:val="24"/>
        </w:rPr>
        <w:t>deg</w:t>
      </w:r>
      <w:proofErr w:type="spellEnd"/>
      <w:r w:rsidR="00B30BDF" w:rsidRPr="00B30BDF">
        <w:rPr>
          <w:rStyle w:val="s1"/>
          <w:rFonts w:ascii="Times New Roman" w:hAnsi="Times New Roman" w:cs="Times New Roman"/>
          <w:sz w:val="24"/>
          <w:szCs w:val="24"/>
        </w:rPr>
        <w:t xml:space="preserve">, </w:t>
      </w:r>
      <w:proofErr w:type="spellStart"/>
      <w:r w:rsidR="00B30BDF" w:rsidRPr="00B30BDF">
        <w:rPr>
          <w:rStyle w:val="s1"/>
          <w:rFonts w:ascii="Times New Roman" w:hAnsi="Times New Roman" w:cs="Times New Roman"/>
          <w:sz w:val="24"/>
          <w:szCs w:val="24"/>
        </w:rPr>
        <w:t>Std</w:t>
      </w:r>
      <w:proofErr w:type="spellEnd"/>
      <w:r w:rsidR="00B30BDF" w:rsidRPr="00B30BDF">
        <w:rPr>
          <w:rStyle w:val="s1"/>
          <w:rFonts w:ascii="Times New Roman" w:hAnsi="Times New Roman" w:cs="Times New Roman"/>
          <w:sz w:val="24"/>
          <w:szCs w:val="24"/>
        </w:rPr>
        <w:t xml:space="preserve"> RA = 0.02</w:t>
      </w:r>
      <w:r w:rsidR="0077373A" w:rsidRPr="00B30BDF">
        <w:rPr>
          <w:rStyle w:val="s1"/>
          <w:rFonts w:ascii="Times New Roman" w:hAnsi="Times New Roman" w:cs="Times New Roman"/>
          <w:sz w:val="24"/>
          <w:szCs w:val="24"/>
        </w:rPr>
        <w:t xml:space="preserve"> </w:t>
      </w:r>
      <w:proofErr w:type="spellStart"/>
      <w:r w:rsidR="0077373A" w:rsidRPr="00B30BDF">
        <w:rPr>
          <w:rStyle w:val="s1"/>
          <w:rFonts w:ascii="Times New Roman" w:hAnsi="Times New Roman" w:cs="Times New Roman"/>
          <w:sz w:val="24"/>
          <w:szCs w:val="24"/>
        </w:rPr>
        <w:t>deg</w:t>
      </w:r>
      <w:proofErr w:type="spellEnd"/>
      <w:r w:rsidR="0077373A" w:rsidRPr="00B30BDF">
        <w:rPr>
          <w:rStyle w:val="s1"/>
          <w:rFonts w:ascii="Times New Roman" w:hAnsi="Times New Roman" w:cs="Times New Roman"/>
          <w:sz w:val="24"/>
          <w:szCs w:val="24"/>
        </w:rPr>
        <w:t xml:space="preserve">, </w:t>
      </w:r>
      <w:proofErr w:type="spellStart"/>
      <w:r w:rsidR="0077373A" w:rsidRPr="00B30BDF">
        <w:rPr>
          <w:rStyle w:val="s1"/>
          <w:rFonts w:ascii="Times New Roman" w:hAnsi="Times New Roman" w:cs="Times New Roman"/>
          <w:sz w:val="24"/>
          <w:szCs w:val="24"/>
        </w:rPr>
        <w:t>De</w:t>
      </w:r>
      <w:r w:rsidR="00B30BDF" w:rsidRPr="00B30BDF">
        <w:rPr>
          <w:rStyle w:val="s1"/>
          <w:rFonts w:ascii="Times New Roman" w:hAnsi="Times New Roman" w:cs="Times New Roman"/>
          <w:sz w:val="24"/>
          <w:szCs w:val="24"/>
        </w:rPr>
        <w:t>c</w:t>
      </w:r>
      <w:proofErr w:type="spellEnd"/>
      <w:r w:rsidR="00B30BDF" w:rsidRPr="00B30BDF">
        <w:rPr>
          <w:rStyle w:val="s1"/>
          <w:rFonts w:ascii="Times New Roman" w:hAnsi="Times New Roman" w:cs="Times New Roman"/>
          <w:sz w:val="24"/>
          <w:szCs w:val="24"/>
        </w:rPr>
        <w:t xml:space="preserve"> = -43.019 </w:t>
      </w:r>
      <w:proofErr w:type="spellStart"/>
      <w:r w:rsidR="00B30BDF" w:rsidRPr="00B30BDF">
        <w:rPr>
          <w:rStyle w:val="s1"/>
          <w:rFonts w:ascii="Times New Roman" w:hAnsi="Times New Roman" w:cs="Times New Roman"/>
          <w:sz w:val="24"/>
          <w:szCs w:val="24"/>
        </w:rPr>
        <w:t>deg</w:t>
      </w:r>
      <w:proofErr w:type="spellEnd"/>
      <w:r w:rsidR="00B30BDF" w:rsidRPr="00B30BDF">
        <w:rPr>
          <w:rStyle w:val="s1"/>
          <w:rFonts w:ascii="Times New Roman" w:hAnsi="Times New Roman" w:cs="Times New Roman"/>
          <w:sz w:val="24"/>
          <w:szCs w:val="24"/>
        </w:rPr>
        <w:t xml:space="preserve">, </w:t>
      </w:r>
      <w:proofErr w:type="spellStart"/>
      <w:r w:rsidR="00B30BDF" w:rsidRPr="00B30BDF">
        <w:rPr>
          <w:rStyle w:val="s1"/>
          <w:rFonts w:ascii="Times New Roman" w:hAnsi="Times New Roman" w:cs="Times New Roman"/>
          <w:sz w:val="24"/>
          <w:szCs w:val="24"/>
        </w:rPr>
        <w:t>Std</w:t>
      </w:r>
      <w:proofErr w:type="spellEnd"/>
      <w:r w:rsidR="00B30BDF" w:rsidRPr="00B30BDF">
        <w:rPr>
          <w:rStyle w:val="s1"/>
          <w:rFonts w:ascii="Times New Roman" w:hAnsi="Times New Roman" w:cs="Times New Roman"/>
          <w:sz w:val="24"/>
          <w:szCs w:val="24"/>
        </w:rPr>
        <w:t xml:space="preserve"> </w:t>
      </w:r>
      <w:proofErr w:type="spellStart"/>
      <w:r w:rsidR="00B30BDF" w:rsidRPr="00B30BDF">
        <w:rPr>
          <w:rStyle w:val="s1"/>
          <w:rFonts w:ascii="Times New Roman" w:hAnsi="Times New Roman" w:cs="Times New Roman"/>
          <w:sz w:val="24"/>
          <w:szCs w:val="24"/>
        </w:rPr>
        <w:t>Dec</w:t>
      </w:r>
      <w:proofErr w:type="spellEnd"/>
      <w:r w:rsidR="00B30BDF" w:rsidRPr="00B30BDF">
        <w:rPr>
          <w:rStyle w:val="s1"/>
          <w:rFonts w:ascii="Times New Roman" w:hAnsi="Times New Roman" w:cs="Times New Roman"/>
          <w:sz w:val="24"/>
          <w:szCs w:val="24"/>
        </w:rPr>
        <w:t xml:space="preserve"> = 0.02</w:t>
      </w:r>
      <w:r w:rsidR="0077373A" w:rsidRPr="00B30BDF">
        <w:rPr>
          <w:rStyle w:val="s1"/>
          <w:rFonts w:ascii="Times New Roman" w:hAnsi="Times New Roman" w:cs="Times New Roman"/>
          <w:sz w:val="24"/>
          <w:szCs w:val="24"/>
        </w:rPr>
        <w:t xml:space="preserve"> </w:t>
      </w:r>
      <w:proofErr w:type="spellStart"/>
      <w:r w:rsidR="0077373A" w:rsidRPr="00B30BDF">
        <w:rPr>
          <w:rStyle w:val="s1"/>
          <w:rFonts w:ascii="Times New Roman" w:hAnsi="Times New Roman" w:cs="Times New Roman"/>
          <w:sz w:val="24"/>
          <w:szCs w:val="24"/>
        </w:rPr>
        <w:t>deg</w:t>
      </w:r>
      <w:proofErr w:type="spellEnd"/>
    </w:p>
    <w:p w14:paraId="71F27A46" w14:textId="1526C7D8" w:rsidR="002E1E96" w:rsidRPr="00B30BDF" w:rsidRDefault="002E1E96" w:rsidP="002E1E96">
      <w:pPr>
        <w:pStyle w:val="p1"/>
        <w:rPr>
          <w:rFonts w:ascii="Times New Roman" w:hAnsi="Times New Roman" w:cs="Times New Roman"/>
          <w:sz w:val="24"/>
          <w:szCs w:val="24"/>
        </w:rPr>
      </w:pPr>
    </w:p>
    <w:p w14:paraId="1E9BEA88" w14:textId="77777777" w:rsidR="005413B2" w:rsidRPr="00B30BDF" w:rsidRDefault="005413B2" w:rsidP="008477C6">
      <w:pPr>
        <w:pStyle w:val="p1"/>
        <w:rPr>
          <w:rStyle w:val="s1"/>
          <w:rFonts w:ascii="Times New Roman" w:hAnsi="Times New Roman" w:cs="Times New Roman"/>
          <w:sz w:val="24"/>
          <w:szCs w:val="24"/>
        </w:rPr>
      </w:pPr>
    </w:p>
    <w:p w14:paraId="34627131" w14:textId="1E5010F1" w:rsidR="001071FF" w:rsidRPr="00B30BDF" w:rsidRDefault="005413B2" w:rsidP="001071FF">
      <w:pPr>
        <w:pStyle w:val="p1"/>
        <w:rPr>
          <w:rFonts w:ascii="Times New Roman" w:hAnsi="Times New Roman" w:cs="Times New Roman"/>
          <w:sz w:val="24"/>
          <w:szCs w:val="24"/>
        </w:rPr>
      </w:pPr>
      <w:r w:rsidRPr="00B30BDF">
        <w:rPr>
          <w:rStyle w:val="s1"/>
          <w:rFonts w:ascii="Times New Roman" w:hAnsi="Times New Roman" w:cs="Times New Roman"/>
          <w:sz w:val="24"/>
          <w:szCs w:val="24"/>
        </w:rPr>
        <w:t xml:space="preserve">La détermination à la main de la source 2 </w:t>
      </w:r>
      <w:proofErr w:type="gramStart"/>
      <w:r w:rsidRPr="00B30BDF">
        <w:rPr>
          <w:rStyle w:val="s1"/>
          <w:rFonts w:ascii="Times New Roman" w:hAnsi="Times New Roman" w:cs="Times New Roman"/>
          <w:sz w:val="24"/>
          <w:szCs w:val="24"/>
        </w:rPr>
        <w:t>est</w:t>
      </w:r>
      <w:r w:rsidR="002E1E96" w:rsidRPr="00B30BDF">
        <w:rPr>
          <w:rStyle w:val="s1"/>
          <w:rFonts w:ascii="Times New Roman" w:hAnsi="Times New Roman" w:cs="Times New Roman"/>
          <w:sz w:val="24"/>
          <w:szCs w:val="24"/>
        </w:rPr>
        <w:t>:</w:t>
      </w:r>
      <w:proofErr w:type="gramEnd"/>
      <w:r w:rsidR="002E1E96" w:rsidRPr="00B30BDF">
        <w:rPr>
          <w:rStyle w:val="s1"/>
          <w:rFonts w:ascii="Times New Roman" w:hAnsi="Times New Roman" w:cs="Times New Roman"/>
          <w:sz w:val="24"/>
          <w:szCs w:val="24"/>
        </w:rPr>
        <w:t xml:space="preserve"> RA = 198.74 </w:t>
      </w:r>
      <w:proofErr w:type="spellStart"/>
      <w:r w:rsidR="002E1E96" w:rsidRPr="00B30BDF">
        <w:rPr>
          <w:rStyle w:val="s1"/>
          <w:rFonts w:ascii="Times New Roman" w:hAnsi="Times New Roman" w:cs="Times New Roman"/>
          <w:sz w:val="24"/>
          <w:szCs w:val="24"/>
        </w:rPr>
        <w:t>deg</w:t>
      </w:r>
      <w:proofErr w:type="spellEnd"/>
      <w:r w:rsidR="002E1E96" w:rsidRPr="00B30BDF">
        <w:rPr>
          <w:rStyle w:val="s1"/>
          <w:rFonts w:ascii="Times New Roman" w:hAnsi="Times New Roman" w:cs="Times New Roman"/>
          <w:sz w:val="24"/>
          <w:szCs w:val="24"/>
        </w:rPr>
        <w:t xml:space="preserve">, </w:t>
      </w:r>
      <w:proofErr w:type="spellStart"/>
      <w:r w:rsidR="002E1E96" w:rsidRPr="00B30BDF">
        <w:rPr>
          <w:rStyle w:val="s1"/>
          <w:rFonts w:ascii="Times New Roman" w:hAnsi="Times New Roman" w:cs="Times New Roman"/>
          <w:sz w:val="24"/>
          <w:szCs w:val="24"/>
        </w:rPr>
        <w:t>Std</w:t>
      </w:r>
      <w:proofErr w:type="spellEnd"/>
      <w:r w:rsidR="002E1E96" w:rsidRPr="00B30BDF">
        <w:rPr>
          <w:rStyle w:val="s1"/>
          <w:rFonts w:ascii="Times New Roman" w:hAnsi="Times New Roman" w:cs="Times New Roman"/>
          <w:sz w:val="24"/>
          <w:szCs w:val="24"/>
        </w:rPr>
        <w:t xml:space="preserve"> RA = 0.0</w:t>
      </w:r>
      <w:r w:rsidR="00B30BDF" w:rsidRPr="00B30BDF">
        <w:rPr>
          <w:rStyle w:val="s1"/>
          <w:rFonts w:ascii="Times New Roman" w:hAnsi="Times New Roman" w:cs="Times New Roman"/>
          <w:sz w:val="24"/>
          <w:szCs w:val="24"/>
        </w:rPr>
        <w:t>2</w:t>
      </w:r>
      <w:r w:rsidR="002E1E96" w:rsidRPr="00B30BDF">
        <w:rPr>
          <w:rStyle w:val="s1"/>
          <w:rFonts w:ascii="Times New Roman" w:hAnsi="Times New Roman" w:cs="Times New Roman"/>
          <w:sz w:val="24"/>
          <w:szCs w:val="24"/>
        </w:rPr>
        <w:t xml:space="preserve"> </w:t>
      </w:r>
      <w:proofErr w:type="spellStart"/>
      <w:r w:rsidR="002E1E96" w:rsidRPr="00B30BDF">
        <w:rPr>
          <w:rStyle w:val="s1"/>
          <w:rFonts w:ascii="Times New Roman" w:hAnsi="Times New Roman" w:cs="Times New Roman"/>
          <w:sz w:val="24"/>
          <w:szCs w:val="24"/>
        </w:rPr>
        <w:t>deg</w:t>
      </w:r>
      <w:proofErr w:type="spellEnd"/>
      <w:r w:rsidR="002E1E96" w:rsidRPr="00B30BDF">
        <w:rPr>
          <w:rStyle w:val="s1"/>
          <w:rFonts w:ascii="Times New Roman" w:hAnsi="Times New Roman" w:cs="Times New Roman"/>
          <w:sz w:val="24"/>
          <w:szCs w:val="24"/>
        </w:rPr>
        <w:t xml:space="preserve">, </w:t>
      </w:r>
      <w:proofErr w:type="spellStart"/>
      <w:r w:rsidR="002E1E96" w:rsidRPr="00B30BDF">
        <w:rPr>
          <w:rStyle w:val="s1"/>
          <w:rFonts w:ascii="Times New Roman" w:hAnsi="Times New Roman" w:cs="Times New Roman"/>
          <w:sz w:val="24"/>
          <w:szCs w:val="24"/>
        </w:rPr>
        <w:t>Dec</w:t>
      </w:r>
      <w:proofErr w:type="spellEnd"/>
      <w:r w:rsidR="002E1E96" w:rsidRPr="00B30BDF">
        <w:rPr>
          <w:rStyle w:val="s1"/>
          <w:rFonts w:ascii="Times New Roman" w:hAnsi="Times New Roman" w:cs="Times New Roman"/>
          <w:sz w:val="24"/>
          <w:szCs w:val="24"/>
        </w:rPr>
        <w:t xml:space="preserve"> = -42.63 </w:t>
      </w:r>
      <w:proofErr w:type="spellStart"/>
      <w:r w:rsidR="002E1E96" w:rsidRPr="00B30BDF">
        <w:rPr>
          <w:rStyle w:val="s1"/>
          <w:rFonts w:ascii="Times New Roman" w:hAnsi="Times New Roman" w:cs="Times New Roman"/>
          <w:sz w:val="24"/>
          <w:szCs w:val="24"/>
        </w:rPr>
        <w:t>deg</w:t>
      </w:r>
      <w:proofErr w:type="spellEnd"/>
      <w:r w:rsidR="002E1E96" w:rsidRPr="00B30BDF">
        <w:rPr>
          <w:rStyle w:val="s1"/>
          <w:rFonts w:ascii="Times New Roman" w:hAnsi="Times New Roman" w:cs="Times New Roman"/>
          <w:sz w:val="24"/>
          <w:szCs w:val="24"/>
        </w:rPr>
        <w:t xml:space="preserve">, </w:t>
      </w:r>
      <w:proofErr w:type="spellStart"/>
      <w:r w:rsidR="002E1E96" w:rsidRPr="00B30BDF">
        <w:rPr>
          <w:rStyle w:val="s1"/>
          <w:rFonts w:ascii="Times New Roman" w:hAnsi="Times New Roman" w:cs="Times New Roman"/>
          <w:sz w:val="24"/>
          <w:szCs w:val="24"/>
        </w:rPr>
        <w:t>Std</w:t>
      </w:r>
      <w:proofErr w:type="spellEnd"/>
      <w:r w:rsidR="002E1E96" w:rsidRPr="00B30BDF">
        <w:rPr>
          <w:rStyle w:val="s1"/>
          <w:rFonts w:ascii="Times New Roman" w:hAnsi="Times New Roman" w:cs="Times New Roman"/>
          <w:sz w:val="24"/>
          <w:szCs w:val="24"/>
        </w:rPr>
        <w:t xml:space="preserve"> </w:t>
      </w:r>
      <w:proofErr w:type="spellStart"/>
      <w:r w:rsidR="002E1E96" w:rsidRPr="00B30BDF">
        <w:rPr>
          <w:rStyle w:val="s1"/>
          <w:rFonts w:ascii="Times New Roman" w:hAnsi="Times New Roman" w:cs="Times New Roman"/>
          <w:sz w:val="24"/>
          <w:szCs w:val="24"/>
        </w:rPr>
        <w:t>Dec</w:t>
      </w:r>
      <w:proofErr w:type="spellEnd"/>
      <w:r w:rsidR="002E1E96" w:rsidRPr="00B30BDF">
        <w:rPr>
          <w:rStyle w:val="s1"/>
          <w:rFonts w:ascii="Times New Roman" w:hAnsi="Times New Roman" w:cs="Times New Roman"/>
          <w:sz w:val="24"/>
          <w:szCs w:val="24"/>
        </w:rPr>
        <w:t xml:space="preserve"> = 0.0</w:t>
      </w:r>
      <w:r w:rsidR="00B30BDF" w:rsidRPr="00B30BDF">
        <w:rPr>
          <w:rStyle w:val="s1"/>
          <w:rFonts w:ascii="Times New Roman" w:hAnsi="Times New Roman" w:cs="Times New Roman"/>
          <w:sz w:val="24"/>
          <w:szCs w:val="24"/>
        </w:rPr>
        <w:t>2</w:t>
      </w:r>
      <w:r w:rsidR="002E1E96" w:rsidRPr="00B30BDF">
        <w:rPr>
          <w:rStyle w:val="s1"/>
          <w:rFonts w:ascii="Times New Roman" w:hAnsi="Times New Roman" w:cs="Times New Roman"/>
          <w:sz w:val="24"/>
          <w:szCs w:val="24"/>
        </w:rPr>
        <w:t xml:space="preserve"> </w:t>
      </w:r>
      <w:proofErr w:type="spellStart"/>
      <w:r w:rsidR="002E1E96" w:rsidRPr="00B30BDF">
        <w:rPr>
          <w:rStyle w:val="s1"/>
          <w:rFonts w:ascii="Times New Roman" w:hAnsi="Times New Roman" w:cs="Times New Roman"/>
          <w:sz w:val="24"/>
          <w:szCs w:val="24"/>
        </w:rPr>
        <w:t>deg</w:t>
      </w:r>
      <w:proofErr w:type="spellEnd"/>
      <w:r w:rsidR="001071FF">
        <w:rPr>
          <w:rStyle w:val="s1"/>
          <w:rFonts w:ascii="Times New Roman" w:hAnsi="Times New Roman" w:cs="Times New Roman"/>
          <w:sz w:val="24"/>
          <w:szCs w:val="24"/>
        </w:rPr>
        <w:t xml:space="preserve">. En utilisant le script de détermination de la position, les coordonnées de la </w:t>
      </w:r>
      <w:r w:rsidR="001071FF" w:rsidRPr="00B30BDF">
        <w:rPr>
          <w:rStyle w:val="s1"/>
          <w:rFonts w:ascii="Times New Roman" w:hAnsi="Times New Roman" w:cs="Times New Roman"/>
          <w:sz w:val="24"/>
          <w:szCs w:val="24"/>
        </w:rPr>
        <w:t>Source 2</w:t>
      </w:r>
      <w:r w:rsidR="001071FF">
        <w:rPr>
          <w:rStyle w:val="s1"/>
          <w:rFonts w:ascii="Times New Roman" w:hAnsi="Times New Roman" w:cs="Times New Roman"/>
          <w:sz w:val="24"/>
          <w:szCs w:val="24"/>
        </w:rPr>
        <w:t xml:space="preserve"> </w:t>
      </w:r>
      <w:proofErr w:type="gramStart"/>
      <w:r w:rsidR="001071FF">
        <w:rPr>
          <w:rStyle w:val="s1"/>
          <w:rFonts w:ascii="Times New Roman" w:hAnsi="Times New Roman" w:cs="Times New Roman"/>
          <w:sz w:val="24"/>
          <w:szCs w:val="24"/>
        </w:rPr>
        <w:t>sont</w:t>
      </w:r>
      <w:r w:rsidR="001071FF" w:rsidRPr="00B30BDF">
        <w:rPr>
          <w:rStyle w:val="s1"/>
          <w:rFonts w:ascii="Times New Roman" w:hAnsi="Times New Roman" w:cs="Times New Roman"/>
          <w:sz w:val="24"/>
          <w:szCs w:val="24"/>
        </w:rPr>
        <w:t>:</w:t>
      </w:r>
      <w:proofErr w:type="gramEnd"/>
      <w:r w:rsidR="001071FF" w:rsidRPr="00B30BDF">
        <w:rPr>
          <w:rStyle w:val="s1"/>
          <w:rFonts w:ascii="Times New Roman" w:hAnsi="Times New Roman" w:cs="Times New Roman"/>
          <w:sz w:val="24"/>
          <w:szCs w:val="24"/>
        </w:rPr>
        <w:t xml:space="preserve"> RA = 198.74 </w:t>
      </w:r>
      <w:proofErr w:type="spellStart"/>
      <w:r w:rsidR="001071FF" w:rsidRPr="00B30BDF">
        <w:rPr>
          <w:rStyle w:val="s1"/>
          <w:rFonts w:ascii="Times New Roman" w:hAnsi="Times New Roman" w:cs="Times New Roman"/>
          <w:sz w:val="24"/>
          <w:szCs w:val="24"/>
        </w:rPr>
        <w:t>deg</w:t>
      </w:r>
      <w:proofErr w:type="spellEnd"/>
      <w:r w:rsidR="001071FF" w:rsidRPr="00B30BDF">
        <w:rPr>
          <w:rStyle w:val="s1"/>
          <w:rFonts w:ascii="Times New Roman" w:hAnsi="Times New Roman" w:cs="Times New Roman"/>
          <w:sz w:val="24"/>
          <w:szCs w:val="24"/>
        </w:rPr>
        <w:t xml:space="preserve">, </w:t>
      </w:r>
      <w:proofErr w:type="spellStart"/>
      <w:r w:rsidR="001071FF" w:rsidRPr="00B30BDF">
        <w:rPr>
          <w:rStyle w:val="s1"/>
          <w:rFonts w:ascii="Times New Roman" w:hAnsi="Times New Roman" w:cs="Times New Roman"/>
          <w:sz w:val="24"/>
          <w:szCs w:val="24"/>
        </w:rPr>
        <w:t>Std</w:t>
      </w:r>
      <w:proofErr w:type="spellEnd"/>
      <w:r w:rsidR="001071FF" w:rsidRPr="00B30BDF">
        <w:rPr>
          <w:rStyle w:val="s1"/>
          <w:rFonts w:ascii="Times New Roman" w:hAnsi="Times New Roman" w:cs="Times New Roman"/>
          <w:sz w:val="24"/>
          <w:szCs w:val="24"/>
        </w:rPr>
        <w:t xml:space="preserve"> RA = 0.02 </w:t>
      </w:r>
      <w:proofErr w:type="spellStart"/>
      <w:r w:rsidR="001071FF" w:rsidRPr="00B30BDF">
        <w:rPr>
          <w:rStyle w:val="s1"/>
          <w:rFonts w:ascii="Times New Roman" w:hAnsi="Times New Roman" w:cs="Times New Roman"/>
          <w:sz w:val="24"/>
          <w:szCs w:val="24"/>
        </w:rPr>
        <w:t>deg</w:t>
      </w:r>
      <w:proofErr w:type="spellEnd"/>
      <w:r w:rsidR="001071FF" w:rsidRPr="00B30BDF">
        <w:rPr>
          <w:rStyle w:val="s1"/>
          <w:rFonts w:ascii="Times New Roman" w:hAnsi="Times New Roman" w:cs="Times New Roman"/>
          <w:sz w:val="24"/>
          <w:szCs w:val="24"/>
        </w:rPr>
        <w:t xml:space="preserve">, </w:t>
      </w:r>
      <w:proofErr w:type="spellStart"/>
      <w:r w:rsidR="001071FF" w:rsidRPr="00B30BDF">
        <w:rPr>
          <w:rStyle w:val="s1"/>
          <w:rFonts w:ascii="Times New Roman" w:hAnsi="Times New Roman" w:cs="Times New Roman"/>
          <w:sz w:val="24"/>
          <w:szCs w:val="24"/>
        </w:rPr>
        <w:t>Dec</w:t>
      </w:r>
      <w:proofErr w:type="spellEnd"/>
      <w:r w:rsidR="001071FF" w:rsidRPr="00B30BDF">
        <w:rPr>
          <w:rStyle w:val="s1"/>
          <w:rFonts w:ascii="Times New Roman" w:hAnsi="Times New Roman" w:cs="Times New Roman"/>
          <w:sz w:val="24"/>
          <w:szCs w:val="24"/>
        </w:rPr>
        <w:t xml:space="preserve"> = -42.63 </w:t>
      </w:r>
      <w:proofErr w:type="spellStart"/>
      <w:r w:rsidR="001071FF" w:rsidRPr="00B30BDF">
        <w:rPr>
          <w:rStyle w:val="s1"/>
          <w:rFonts w:ascii="Times New Roman" w:hAnsi="Times New Roman" w:cs="Times New Roman"/>
          <w:sz w:val="24"/>
          <w:szCs w:val="24"/>
        </w:rPr>
        <w:t>deg</w:t>
      </w:r>
      <w:proofErr w:type="spellEnd"/>
      <w:r w:rsidR="001071FF" w:rsidRPr="00B30BDF">
        <w:rPr>
          <w:rStyle w:val="s1"/>
          <w:rFonts w:ascii="Times New Roman" w:hAnsi="Times New Roman" w:cs="Times New Roman"/>
          <w:sz w:val="24"/>
          <w:szCs w:val="24"/>
        </w:rPr>
        <w:t xml:space="preserve">, </w:t>
      </w:r>
      <w:proofErr w:type="spellStart"/>
      <w:r w:rsidR="001071FF" w:rsidRPr="00B30BDF">
        <w:rPr>
          <w:rStyle w:val="s1"/>
          <w:rFonts w:ascii="Times New Roman" w:hAnsi="Times New Roman" w:cs="Times New Roman"/>
          <w:sz w:val="24"/>
          <w:szCs w:val="24"/>
        </w:rPr>
        <w:t>Std</w:t>
      </w:r>
      <w:proofErr w:type="spellEnd"/>
      <w:r w:rsidR="001071FF" w:rsidRPr="00B30BDF">
        <w:rPr>
          <w:rStyle w:val="s1"/>
          <w:rFonts w:ascii="Times New Roman" w:hAnsi="Times New Roman" w:cs="Times New Roman"/>
          <w:sz w:val="24"/>
          <w:szCs w:val="24"/>
        </w:rPr>
        <w:t xml:space="preserve"> </w:t>
      </w:r>
      <w:proofErr w:type="spellStart"/>
      <w:r w:rsidR="001071FF" w:rsidRPr="00B30BDF">
        <w:rPr>
          <w:rStyle w:val="s1"/>
          <w:rFonts w:ascii="Times New Roman" w:hAnsi="Times New Roman" w:cs="Times New Roman"/>
          <w:sz w:val="24"/>
          <w:szCs w:val="24"/>
        </w:rPr>
        <w:t>Dec</w:t>
      </w:r>
      <w:proofErr w:type="spellEnd"/>
      <w:r w:rsidR="001071FF" w:rsidRPr="00B30BDF">
        <w:rPr>
          <w:rStyle w:val="s1"/>
          <w:rFonts w:ascii="Times New Roman" w:hAnsi="Times New Roman" w:cs="Times New Roman"/>
          <w:sz w:val="24"/>
          <w:szCs w:val="24"/>
        </w:rPr>
        <w:t xml:space="preserve"> = 0.02 </w:t>
      </w:r>
      <w:proofErr w:type="spellStart"/>
      <w:r w:rsidR="001071FF" w:rsidRPr="00B30BDF">
        <w:rPr>
          <w:rStyle w:val="s1"/>
          <w:rFonts w:ascii="Times New Roman" w:hAnsi="Times New Roman" w:cs="Times New Roman"/>
          <w:sz w:val="24"/>
          <w:szCs w:val="24"/>
        </w:rPr>
        <w:t>deg</w:t>
      </w:r>
      <w:proofErr w:type="spellEnd"/>
    </w:p>
    <w:p w14:paraId="4F58D0E1" w14:textId="354E1D4C" w:rsidR="005413B2" w:rsidRDefault="005413B2" w:rsidP="002E1E96">
      <w:pPr>
        <w:pStyle w:val="p1"/>
      </w:pPr>
    </w:p>
    <w:p w14:paraId="35533477" w14:textId="181DC864" w:rsidR="002E1E96" w:rsidRDefault="002E1E96" w:rsidP="002E1E96">
      <w:pPr>
        <w:pStyle w:val="p1"/>
        <w:jc w:val="center"/>
      </w:pPr>
      <w:r>
        <w:rPr>
          <w:noProof/>
        </w:rPr>
        <w:lastRenderedPageBreak/>
        <w:drawing>
          <wp:inline distT="0" distB="0" distL="0" distR="0" wp14:anchorId="02420584" wp14:editId="341304D7">
            <wp:extent cx="3521025" cy="2361071"/>
            <wp:effectExtent l="0" t="0" r="10160" b="1270"/>
            <wp:docPr id="24" name="Image 24" descr="../../../Desktop/Capture%20d’écran%202019-03-21%20à%2015.5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apture%20d’écran%202019-03-21%20à%2015.56.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1222" cy="2367909"/>
                    </a:xfrm>
                    <a:prstGeom prst="rect">
                      <a:avLst/>
                    </a:prstGeom>
                    <a:noFill/>
                    <a:ln>
                      <a:noFill/>
                    </a:ln>
                  </pic:spPr>
                </pic:pic>
              </a:graphicData>
            </a:graphic>
          </wp:inline>
        </w:drawing>
      </w:r>
    </w:p>
    <w:p w14:paraId="40241E80" w14:textId="3200824C" w:rsidR="0032338A" w:rsidRDefault="0032338A" w:rsidP="0032338A">
      <w:pPr>
        <w:pStyle w:val="p1"/>
      </w:pPr>
    </w:p>
    <w:p w14:paraId="6B0E1BFE" w14:textId="3FF1F3D6" w:rsidR="0058589F" w:rsidRDefault="0058589F" w:rsidP="0058589F">
      <w:pPr>
        <w:pStyle w:val="p1"/>
      </w:pPr>
    </w:p>
    <w:p w14:paraId="71D2C9B9" w14:textId="54109A43" w:rsidR="00135F67" w:rsidRDefault="00135F67" w:rsidP="005160D5">
      <w:pPr>
        <w:jc w:val="center"/>
      </w:pPr>
    </w:p>
    <w:p w14:paraId="378702C7" w14:textId="217439F2" w:rsidR="00135F67" w:rsidRDefault="00135F67" w:rsidP="0032338A">
      <w:pPr>
        <w:jc w:val="center"/>
      </w:pPr>
    </w:p>
    <w:p w14:paraId="2DBB3959" w14:textId="5073FEEE" w:rsidR="002577FE" w:rsidRDefault="002577FE" w:rsidP="0032338A">
      <w:pPr>
        <w:jc w:val="center"/>
      </w:pPr>
      <w:r>
        <w:t>Figure : Carte du ciel avec la région de l’</w:t>
      </w:r>
      <w:r w:rsidR="005160D5">
        <w:t>ajustement des</w:t>
      </w:r>
      <w:r>
        <w:t xml:space="preserve"> position</w:t>
      </w:r>
      <w:r w:rsidR="005160D5">
        <w:t>s</w:t>
      </w:r>
      <w:r>
        <w:t xml:space="preserve"> du script donné en vert</w:t>
      </w:r>
      <w:r w:rsidR="005160D5">
        <w:t xml:space="preserve">. Le cercle au milieu est la </w:t>
      </w:r>
      <w:r w:rsidR="00BA54C0">
        <w:t>Cen-A</w:t>
      </w:r>
      <w:r w:rsidR="005160D5">
        <w:t xml:space="preserve"> et le cercle à droite est la source 2</w:t>
      </w:r>
    </w:p>
    <w:p w14:paraId="424C1447" w14:textId="77777777" w:rsidR="0032338A" w:rsidRDefault="0032338A" w:rsidP="0032338A">
      <w:pPr>
        <w:jc w:val="center"/>
      </w:pPr>
    </w:p>
    <w:p w14:paraId="7BB2BF4E" w14:textId="77777777" w:rsidR="0032338A" w:rsidRDefault="0032338A" w:rsidP="0032338A"/>
    <w:p w14:paraId="0C40E969" w14:textId="494B2BA0" w:rsidR="0032338A" w:rsidRDefault="0032338A" w:rsidP="0032338A">
      <w:r>
        <w:t xml:space="preserve">On peut voir que l’évaluation à la main est proche de celle effectuée par le script. Cependant, les valeurs identiques des écarts types dans les 2 coordonnées montrent que l’hypothèse de point est valide. </w:t>
      </w:r>
    </w:p>
    <w:p w14:paraId="072BFADF" w14:textId="77777777" w:rsidR="008477C6" w:rsidRDefault="008477C6" w:rsidP="0032338A"/>
    <w:p w14:paraId="25126616" w14:textId="77777777" w:rsidR="0032338A" w:rsidRDefault="0032338A" w:rsidP="00BA54C0">
      <w:pPr>
        <w:outlineLvl w:val="0"/>
        <w:rPr>
          <w:sz w:val="28"/>
        </w:rPr>
      </w:pPr>
      <w:r>
        <w:rPr>
          <w:sz w:val="28"/>
        </w:rPr>
        <w:t>Evolution de la carte d’évènements en fonction de l’énergie</w:t>
      </w:r>
    </w:p>
    <w:p w14:paraId="5F38E768" w14:textId="77777777" w:rsidR="0032338A" w:rsidRDefault="0032338A" w:rsidP="0032338A"/>
    <w:p w14:paraId="0935BAC0" w14:textId="76B382BF" w:rsidR="004E26F0" w:rsidRDefault="004E26F0" w:rsidP="00BA54C0">
      <w:pPr>
        <w:outlineLvl w:val="0"/>
      </w:pPr>
      <w:r>
        <w:t xml:space="preserve"> Il est aussi possible de choisir l’intervalle en énergie utilisé</w:t>
      </w:r>
      <w:r w:rsidR="00AB67C2">
        <w:t xml:space="preserve"> en utilisant le </w:t>
      </w:r>
      <w:proofErr w:type="spellStart"/>
      <w:r w:rsidR="00AB67C2">
        <w:t>cntcube</w:t>
      </w:r>
      <w:proofErr w:type="spellEnd"/>
      <w:r>
        <w:t>.</w:t>
      </w:r>
    </w:p>
    <w:p w14:paraId="67DEBB45" w14:textId="77777777" w:rsidR="004E26F0" w:rsidRDefault="004E26F0" w:rsidP="00FD1D55"/>
    <w:p w14:paraId="4E40D401" w14:textId="15BBC7E6" w:rsidR="00600DE2" w:rsidRDefault="00600DE2" w:rsidP="00FD1D55"/>
    <w:p w14:paraId="2811F96A" w14:textId="2985F308" w:rsidR="00600DE2" w:rsidRDefault="004A2390" w:rsidP="00FD1D55">
      <w:r>
        <w:rPr>
          <w:noProof/>
        </w:rPr>
        <w:lastRenderedPageBreak/>
        <w:drawing>
          <wp:inline distT="0" distB="0" distL="0" distR="0" wp14:anchorId="261B0C05" wp14:editId="0A52EC6A">
            <wp:extent cx="2811407" cy="2474313"/>
            <wp:effectExtent l="0" t="0" r="8255" b="0"/>
            <wp:docPr id="26" name="Image 26" descr="../../../Desktop/Capture%20d’écran%202019-03-22%20à%2009.5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apture%20d’écran%202019-03-22%20à%2009.51.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5911" cy="2504680"/>
                    </a:xfrm>
                    <a:prstGeom prst="rect">
                      <a:avLst/>
                    </a:prstGeom>
                    <a:noFill/>
                    <a:ln>
                      <a:noFill/>
                    </a:ln>
                  </pic:spPr>
                </pic:pic>
              </a:graphicData>
            </a:graphic>
          </wp:inline>
        </w:drawing>
      </w:r>
      <w:r>
        <w:rPr>
          <w:noProof/>
        </w:rPr>
        <w:drawing>
          <wp:inline distT="0" distB="0" distL="0" distR="0" wp14:anchorId="107DAAD4" wp14:editId="6F29F39E">
            <wp:extent cx="2701366" cy="2446930"/>
            <wp:effectExtent l="0" t="0" r="0" b="0"/>
            <wp:docPr id="27" name="Image 27" descr="../../../Desktop/Capture%20d’écran%202019-03-22%20à%2009.5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Capture%20d’écran%202019-03-22%20à%2009.52.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541" cy="2461582"/>
                    </a:xfrm>
                    <a:prstGeom prst="rect">
                      <a:avLst/>
                    </a:prstGeom>
                    <a:noFill/>
                    <a:ln>
                      <a:noFill/>
                    </a:ln>
                  </pic:spPr>
                </pic:pic>
              </a:graphicData>
            </a:graphic>
          </wp:inline>
        </w:drawing>
      </w:r>
      <w:r>
        <w:rPr>
          <w:noProof/>
        </w:rPr>
        <w:drawing>
          <wp:inline distT="0" distB="0" distL="0" distR="0" wp14:anchorId="17CFFB9A" wp14:editId="06F3C3A7">
            <wp:extent cx="2781245" cy="2503029"/>
            <wp:effectExtent l="0" t="0" r="0" b="12065"/>
            <wp:docPr id="28" name="Image 28" descr="../../../Desktop/Capture%20d’écran%202019-03-22%20à%2009.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Capture%20d’écran%202019-03-22%20à%2009.52.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108" cy="2513706"/>
                    </a:xfrm>
                    <a:prstGeom prst="rect">
                      <a:avLst/>
                    </a:prstGeom>
                    <a:noFill/>
                    <a:ln>
                      <a:noFill/>
                    </a:ln>
                  </pic:spPr>
                </pic:pic>
              </a:graphicData>
            </a:graphic>
          </wp:inline>
        </w:drawing>
      </w:r>
      <w:r>
        <w:rPr>
          <w:noProof/>
        </w:rPr>
        <w:drawing>
          <wp:inline distT="0" distB="0" distL="0" distR="0" wp14:anchorId="46C1196C" wp14:editId="71A52CE1">
            <wp:extent cx="2745144" cy="2481439"/>
            <wp:effectExtent l="0" t="0" r="0" b="8255"/>
            <wp:docPr id="29" name="Image 29" descr="../../../Desktop/Capture%20d’écran%202019-03-22%20à%2009.5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Capture%20d’écran%202019-03-22%20à%2009.52.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184" cy="2488706"/>
                    </a:xfrm>
                    <a:prstGeom prst="rect">
                      <a:avLst/>
                    </a:prstGeom>
                    <a:noFill/>
                    <a:ln>
                      <a:noFill/>
                    </a:ln>
                  </pic:spPr>
                </pic:pic>
              </a:graphicData>
            </a:graphic>
          </wp:inline>
        </w:drawing>
      </w:r>
    </w:p>
    <w:p w14:paraId="18843E19" w14:textId="08C95DB1" w:rsidR="00D24123" w:rsidRDefault="00D24123" w:rsidP="00BA54C0">
      <w:pPr>
        <w:jc w:val="center"/>
        <w:outlineLvl w:val="0"/>
      </w:pPr>
      <w:r>
        <w:t>Figure</w:t>
      </w:r>
      <w:r w:rsidR="00975397">
        <w:t xml:space="preserve"> 1 </w:t>
      </w:r>
      <w:r>
        <w:t>: différentes cartes d’évènements pour différentes énergies</w:t>
      </w:r>
    </w:p>
    <w:p w14:paraId="549A232F" w14:textId="66505507" w:rsidR="00600DE2" w:rsidRDefault="00600DE2" w:rsidP="00FD1D55"/>
    <w:p w14:paraId="0F9F0A3B" w14:textId="77777777" w:rsidR="00600DE2" w:rsidRDefault="00600DE2" w:rsidP="00FD1D55"/>
    <w:p w14:paraId="768B227D" w14:textId="00950A61" w:rsidR="00600DE2" w:rsidRDefault="00600DE2" w:rsidP="00FD1D55">
      <w:r>
        <w:t xml:space="preserve">Analyse de l’image 1 : La </w:t>
      </w:r>
      <w:r w:rsidR="00BA54C0">
        <w:t>Cen-A</w:t>
      </w:r>
      <w:r>
        <w:t xml:space="preserve"> est visible. Les évènements de fond sont aussi très visible. Le fond est élevé. La source 2 est visible</w:t>
      </w:r>
    </w:p>
    <w:p w14:paraId="6B4A3FCA" w14:textId="72420551" w:rsidR="00600DE2" w:rsidRDefault="00600DE2" w:rsidP="00FD1D55">
      <w:r>
        <w:t xml:space="preserve">Analyse de l’image 2 : La </w:t>
      </w:r>
      <w:r w:rsidR="00BA54C0">
        <w:t>Cen-A</w:t>
      </w:r>
      <w:r>
        <w:t xml:space="preserve"> est toujours visible, le niveau de fond </w:t>
      </w:r>
      <w:proofErr w:type="gramStart"/>
      <w:r>
        <w:t>a</w:t>
      </w:r>
      <w:proofErr w:type="gramEnd"/>
      <w:r>
        <w:t xml:space="preserve"> grandement diminuer. La source 2 est visible. Les sources sont plus petites, la contamination par d’autres évènements est p</w:t>
      </w:r>
      <w:r w:rsidR="00A36540">
        <w:t>l</w:t>
      </w:r>
      <w:r>
        <w:t>us faible.</w:t>
      </w:r>
    </w:p>
    <w:p w14:paraId="770EBBBE" w14:textId="2CE809AB" w:rsidR="00600DE2" w:rsidRDefault="00600DE2" w:rsidP="00FD1D55">
      <w:r>
        <w:t>Analyse de l’image 3 : Les sources 1 et 2 sont toujours visibles. Elles continuent à rétrécir. La contamination est encore plus faible.</w:t>
      </w:r>
    </w:p>
    <w:p w14:paraId="4A4C4AD3" w14:textId="27EDC928" w:rsidR="004E26F0" w:rsidRDefault="00600DE2" w:rsidP="00FD1D55">
      <w:r>
        <w:t>Analyse de l’image 4 : Rien n’est visible, aucun événement à ces énergies n’est visible.</w:t>
      </w:r>
      <w:r w:rsidR="00B30BDF">
        <w:t xml:space="preserve"> </w:t>
      </w:r>
      <w:r w:rsidR="004E26F0">
        <w:t xml:space="preserve">La source n’émet pas ou peu à haute énergie, ainsi trop peu d’évènements de la source sont détectés. </w:t>
      </w:r>
    </w:p>
    <w:p w14:paraId="79CCEC1F" w14:textId="77777777" w:rsidR="004E26F0" w:rsidRDefault="004E26F0" w:rsidP="00FD1D55"/>
    <w:p w14:paraId="04E9F854" w14:textId="77777777" w:rsidR="004E26F0" w:rsidRDefault="004E26F0" w:rsidP="00FD1D55"/>
    <w:p w14:paraId="1EE85EFF" w14:textId="77777777" w:rsidR="004E26F0" w:rsidRDefault="004E26F0" w:rsidP="00FD1D55"/>
    <w:p w14:paraId="5391241E" w14:textId="4A0CF63C" w:rsidR="004E26F0" w:rsidRPr="00671DFD" w:rsidRDefault="004E26F0" w:rsidP="00BA54C0">
      <w:pPr>
        <w:outlineLvl w:val="0"/>
        <w:rPr>
          <w:sz w:val="32"/>
        </w:rPr>
      </w:pPr>
      <w:r w:rsidRPr="00671DFD">
        <w:rPr>
          <w:sz w:val="32"/>
        </w:rPr>
        <w:t xml:space="preserve">Etape </w:t>
      </w:r>
      <w:r w:rsidR="003A6A2C" w:rsidRPr="00671DFD">
        <w:rPr>
          <w:sz w:val="32"/>
        </w:rPr>
        <w:t>3</w:t>
      </w:r>
    </w:p>
    <w:p w14:paraId="022377AE" w14:textId="77777777" w:rsidR="004E26F0" w:rsidRDefault="004E26F0" w:rsidP="00FD1D55"/>
    <w:p w14:paraId="4B4DCD2F" w14:textId="12C4F627" w:rsidR="00AB67C2" w:rsidRDefault="003A6A2C" w:rsidP="00FD1D55">
      <w:r>
        <w:t>L’utilisation de DS9 permet de compter les évènements dans la carte d’</w:t>
      </w:r>
      <w:r w:rsidR="003B7358">
        <w:t>évènements comme montré sur</w:t>
      </w:r>
      <w:r w:rsidR="000D7610">
        <w:t xml:space="preserve"> la Figure</w:t>
      </w:r>
      <w:r w:rsidR="00975397">
        <w:t xml:space="preserve"> 1.</w:t>
      </w:r>
    </w:p>
    <w:p w14:paraId="02C55E11" w14:textId="58BB4761" w:rsidR="00AB67C2" w:rsidRDefault="00AB67C2" w:rsidP="00FD1D55">
      <w:r>
        <w:lastRenderedPageBreak/>
        <w:t xml:space="preserve">Les positions des zones ON et OFF sont respectivement </w:t>
      </w:r>
      <w:r w:rsidR="002347D2" w:rsidRPr="00B30BDF">
        <w:rPr>
          <w:rStyle w:val="s1"/>
        </w:rPr>
        <w:t>RA = 2</w:t>
      </w:r>
      <w:r w:rsidR="002347D2">
        <w:rPr>
          <w:rStyle w:val="s1"/>
        </w:rPr>
        <w:t xml:space="preserve">01.365 </w:t>
      </w:r>
      <w:proofErr w:type="spellStart"/>
      <w:r w:rsidR="002347D2" w:rsidRPr="00B30BDF">
        <w:rPr>
          <w:rStyle w:val="s1"/>
        </w:rPr>
        <w:t>deg</w:t>
      </w:r>
      <w:proofErr w:type="spellEnd"/>
      <w:r w:rsidR="002347D2" w:rsidRPr="00B30BDF">
        <w:rPr>
          <w:rStyle w:val="s1"/>
        </w:rPr>
        <w:t xml:space="preserve">, </w:t>
      </w:r>
      <w:proofErr w:type="spellStart"/>
      <w:r w:rsidR="002347D2" w:rsidRPr="00B30BDF">
        <w:rPr>
          <w:rStyle w:val="s1"/>
        </w:rPr>
        <w:t>Dec</w:t>
      </w:r>
      <w:proofErr w:type="spellEnd"/>
      <w:r w:rsidR="002347D2" w:rsidRPr="00B30BDF">
        <w:rPr>
          <w:rStyle w:val="s1"/>
        </w:rPr>
        <w:t xml:space="preserve"> = -43.019</w:t>
      </w:r>
      <w:r w:rsidR="00FE0C82">
        <w:rPr>
          <w:rStyle w:val="s1"/>
        </w:rPr>
        <w:t xml:space="preserve"> pour la </w:t>
      </w:r>
      <w:r w:rsidR="00BA54C0">
        <w:rPr>
          <w:rStyle w:val="s1"/>
        </w:rPr>
        <w:t>Cen-A</w:t>
      </w:r>
      <w:r w:rsidR="002347D2" w:rsidRPr="00B30BDF">
        <w:rPr>
          <w:rStyle w:val="s1"/>
        </w:rPr>
        <w:t xml:space="preserve"> </w:t>
      </w:r>
      <w:r>
        <w:t xml:space="preserve">et </w:t>
      </w:r>
      <w:r w:rsidR="001D32BB" w:rsidRPr="00B30BDF">
        <w:rPr>
          <w:rStyle w:val="s1"/>
        </w:rPr>
        <w:t xml:space="preserve">RA = 198.74 </w:t>
      </w:r>
      <w:proofErr w:type="spellStart"/>
      <w:r w:rsidR="001D32BB" w:rsidRPr="00B30BDF">
        <w:rPr>
          <w:rStyle w:val="s1"/>
        </w:rPr>
        <w:t>de</w:t>
      </w:r>
      <w:r w:rsidR="00FE0C82">
        <w:rPr>
          <w:rStyle w:val="s1"/>
        </w:rPr>
        <w:t>g</w:t>
      </w:r>
      <w:proofErr w:type="spellEnd"/>
      <w:r w:rsidR="001D32BB" w:rsidRPr="00B30BDF">
        <w:rPr>
          <w:rStyle w:val="s1"/>
        </w:rPr>
        <w:t xml:space="preserve">, </w:t>
      </w:r>
      <w:proofErr w:type="spellStart"/>
      <w:r w:rsidR="001D32BB" w:rsidRPr="00B30BDF">
        <w:rPr>
          <w:rStyle w:val="s1"/>
        </w:rPr>
        <w:t>Dec</w:t>
      </w:r>
      <w:proofErr w:type="spellEnd"/>
      <w:r w:rsidR="001D32BB" w:rsidRPr="00B30BDF">
        <w:rPr>
          <w:rStyle w:val="s1"/>
        </w:rPr>
        <w:t xml:space="preserve"> = -42.63 </w:t>
      </w:r>
      <w:proofErr w:type="spellStart"/>
      <w:r w:rsidR="001D32BB" w:rsidRPr="00B30BDF">
        <w:rPr>
          <w:rStyle w:val="s1"/>
        </w:rPr>
        <w:t>deg</w:t>
      </w:r>
      <w:proofErr w:type="spellEnd"/>
      <w:r w:rsidR="00FE0C82">
        <w:rPr>
          <w:rStyle w:val="s1"/>
        </w:rPr>
        <w:t xml:space="preserve"> pour la source 2</w:t>
      </w:r>
      <w:r>
        <w:t>.</w:t>
      </w:r>
      <w:r w:rsidR="00EF1741">
        <w:t xml:space="preserve"> Le choix du rayon d’intégration a été fait à 0.1deg.</w:t>
      </w:r>
    </w:p>
    <w:p w14:paraId="5E584D03" w14:textId="77777777" w:rsidR="00D23160" w:rsidRDefault="00D23160" w:rsidP="00FD1D55"/>
    <w:p w14:paraId="68B66B6B" w14:textId="6C1C2795" w:rsidR="00AB67C2" w:rsidRPr="00D23160" w:rsidRDefault="00BA54C0" w:rsidP="00BA54C0">
      <w:pPr>
        <w:outlineLvl w:val="0"/>
      </w:pPr>
      <w:r>
        <w:t>Cen-A</w:t>
      </w:r>
    </w:p>
    <w:p w14:paraId="3A79FD2A" w14:textId="77777777" w:rsidR="00097487" w:rsidRDefault="003A6A2C" w:rsidP="00FD1D55">
      <w:pPr>
        <w:pStyle w:val="Pardeliste"/>
        <w:numPr>
          <w:ilvl w:val="0"/>
          <w:numId w:val="6"/>
        </w:numPr>
      </w:pPr>
      <w:r w:rsidRPr="00D23160">
        <w:t>Non =</w:t>
      </w:r>
      <w:r w:rsidR="00EB02D0" w:rsidRPr="00D23160">
        <w:t xml:space="preserve"> </w:t>
      </w:r>
      <w:r w:rsidR="00EF1741" w:rsidRPr="00D23160">
        <w:t>1365</w:t>
      </w:r>
    </w:p>
    <w:p w14:paraId="635CBE14" w14:textId="77777777" w:rsidR="00097487" w:rsidRDefault="003A6A2C" w:rsidP="008920E9">
      <w:pPr>
        <w:pStyle w:val="Pardeliste"/>
        <w:numPr>
          <w:ilvl w:val="0"/>
          <w:numId w:val="6"/>
        </w:numPr>
      </w:pPr>
      <w:proofErr w:type="spellStart"/>
      <w:r w:rsidRPr="00D23160">
        <w:t>Noff</w:t>
      </w:r>
      <w:proofErr w:type="spellEnd"/>
      <w:r w:rsidRPr="00D23160">
        <w:t xml:space="preserve"> = </w:t>
      </w:r>
      <w:r w:rsidR="00EF1741" w:rsidRPr="00D23160">
        <w:t>518</w:t>
      </w:r>
    </w:p>
    <w:p w14:paraId="218B1989" w14:textId="77F4E9E4" w:rsidR="008920E9" w:rsidRPr="00097487" w:rsidRDefault="0077373A" w:rsidP="008920E9">
      <w:pPr>
        <w:pStyle w:val="Pardeliste"/>
        <w:numPr>
          <w:ilvl w:val="0"/>
          <w:numId w:val="6"/>
        </w:numPr>
      </w:pPr>
      <w:r w:rsidRPr="00097487">
        <w:rPr>
          <w:rFonts w:ascii="Times New Roman" w:hAnsi="Times New Roman" w:cs="Times New Roman"/>
        </w:rPr>
        <w:t xml:space="preserve">Lima = </w:t>
      </w:r>
      <w:r w:rsidR="008920E9" w:rsidRPr="00097487">
        <w:rPr>
          <w:rStyle w:val="s1"/>
          <w:rFonts w:ascii="Times New Roman" w:hAnsi="Times New Roman" w:cs="Times New Roman"/>
        </w:rPr>
        <w:t>42.4</w:t>
      </w:r>
    </w:p>
    <w:p w14:paraId="60ACCCBD" w14:textId="77777777" w:rsidR="00EB02D0" w:rsidRPr="00D23160" w:rsidRDefault="00EB02D0" w:rsidP="00EB02D0"/>
    <w:p w14:paraId="3A27DB86" w14:textId="3DAE3ED2" w:rsidR="00EB02D0" w:rsidRPr="00D23160" w:rsidRDefault="00EB02D0" w:rsidP="00BA54C0">
      <w:pPr>
        <w:outlineLvl w:val="0"/>
      </w:pPr>
      <w:r w:rsidRPr="00D23160">
        <w:t>Source 2</w:t>
      </w:r>
    </w:p>
    <w:p w14:paraId="15AE30EB" w14:textId="77777777" w:rsidR="00097487" w:rsidRDefault="00EB02D0" w:rsidP="00EB02D0">
      <w:pPr>
        <w:pStyle w:val="Pardeliste"/>
        <w:numPr>
          <w:ilvl w:val="0"/>
          <w:numId w:val="7"/>
        </w:numPr>
      </w:pPr>
      <w:r w:rsidRPr="00D23160">
        <w:t xml:space="preserve">Non = </w:t>
      </w:r>
      <w:r w:rsidR="00EF1741" w:rsidRPr="00D23160">
        <w:t>552</w:t>
      </w:r>
    </w:p>
    <w:p w14:paraId="53B4AAAB" w14:textId="77777777" w:rsidR="00097487" w:rsidRDefault="00EB02D0" w:rsidP="008920E9">
      <w:pPr>
        <w:pStyle w:val="Pardeliste"/>
        <w:numPr>
          <w:ilvl w:val="0"/>
          <w:numId w:val="7"/>
        </w:numPr>
      </w:pPr>
      <w:proofErr w:type="spellStart"/>
      <w:r w:rsidRPr="00D23160">
        <w:t>Noff</w:t>
      </w:r>
      <w:proofErr w:type="spellEnd"/>
      <w:r w:rsidRPr="00D23160">
        <w:t xml:space="preserve"> = </w:t>
      </w:r>
      <w:r w:rsidR="00EF1741" w:rsidRPr="00D23160">
        <w:t>210</w:t>
      </w:r>
    </w:p>
    <w:p w14:paraId="2E643471" w14:textId="55044999" w:rsidR="008920E9" w:rsidRPr="00097487" w:rsidRDefault="00EB02D0" w:rsidP="008920E9">
      <w:pPr>
        <w:pStyle w:val="Pardeliste"/>
        <w:numPr>
          <w:ilvl w:val="0"/>
          <w:numId w:val="7"/>
        </w:numPr>
      </w:pPr>
      <w:r w:rsidRPr="00097487">
        <w:rPr>
          <w:rFonts w:ascii="Times New Roman" w:hAnsi="Times New Roman" w:cs="Times New Roman"/>
        </w:rPr>
        <w:t xml:space="preserve">Lima = </w:t>
      </w:r>
      <w:r w:rsidR="00097487" w:rsidRPr="00097487">
        <w:rPr>
          <w:rStyle w:val="s1"/>
          <w:rFonts w:ascii="Times New Roman" w:hAnsi="Times New Roman" w:cs="Times New Roman"/>
        </w:rPr>
        <w:t>26.9</w:t>
      </w:r>
    </w:p>
    <w:p w14:paraId="7C63FA6D" w14:textId="4F98A7A5" w:rsidR="003A6A2C" w:rsidRPr="00D23160" w:rsidRDefault="003A6A2C" w:rsidP="008920E9">
      <w:pPr>
        <w:pStyle w:val="p1"/>
        <w:rPr>
          <w:rFonts w:ascii="Times New Roman" w:hAnsi="Times New Roman" w:cs="Times New Roman"/>
          <w:sz w:val="24"/>
          <w:szCs w:val="24"/>
        </w:rPr>
      </w:pPr>
    </w:p>
    <w:p w14:paraId="33BC0EEB" w14:textId="77777777" w:rsidR="00EB02D0" w:rsidRPr="00D23160" w:rsidRDefault="00EB02D0" w:rsidP="00FD1D55"/>
    <w:p w14:paraId="73772737" w14:textId="4398F769" w:rsidR="00787E06" w:rsidRPr="00D23160" w:rsidRDefault="00D23160" w:rsidP="00BA54C0">
      <w:pPr>
        <w:outlineLvl w:val="0"/>
      </w:pPr>
      <w:r w:rsidRPr="00D23160">
        <w:t>Avec la méthode du script</w:t>
      </w:r>
    </w:p>
    <w:p w14:paraId="381911C7" w14:textId="769230F9" w:rsidR="009D6F93" w:rsidRPr="00D23160" w:rsidRDefault="00BA54C0" w:rsidP="00097487">
      <w:pPr>
        <w:pStyle w:val="Pardeliste"/>
        <w:numPr>
          <w:ilvl w:val="0"/>
          <w:numId w:val="8"/>
        </w:numPr>
      </w:pPr>
      <w:r>
        <w:t>Cen-A</w:t>
      </w:r>
    </w:p>
    <w:p w14:paraId="30261C3A" w14:textId="77777777" w:rsidR="00097487" w:rsidRDefault="008920E9" w:rsidP="008920E9">
      <w:pPr>
        <w:pStyle w:val="p1"/>
        <w:numPr>
          <w:ilvl w:val="1"/>
          <w:numId w:val="8"/>
        </w:numPr>
        <w:rPr>
          <w:rFonts w:ascii="Times New Roman" w:hAnsi="Times New Roman" w:cs="Times New Roman"/>
          <w:sz w:val="24"/>
          <w:szCs w:val="24"/>
        </w:rPr>
      </w:pPr>
      <w:r w:rsidRPr="00D23160">
        <w:rPr>
          <w:rStyle w:val="s1"/>
          <w:rFonts w:ascii="Times New Roman" w:hAnsi="Times New Roman" w:cs="Times New Roman"/>
          <w:sz w:val="24"/>
          <w:szCs w:val="24"/>
        </w:rPr>
        <w:t>Non = 1371.0</w:t>
      </w:r>
    </w:p>
    <w:p w14:paraId="78DD389D" w14:textId="77777777" w:rsidR="00097487" w:rsidRDefault="008920E9" w:rsidP="008920E9">
      <w:pPr>
        <w:pStyle w:val="p1"/>
        <w:numPr>
          <w:ilvl w:val="1"/>
          <w:numId w:val="8"/>
        </w:numPr>
        <w:rPr>
          <w:rFonts w:ascii="Times New Roman" w:hAnsi="Times New Roman" w:cs="Times New Roman"/>
          <w:sz w:val="24"/>
          <w:szCs w:val="24"/>
        </w:rPr>
      </w:pPr>
      <w:proofErr w:type="spellStart"/>
      <w:r w:rsidRPr="00097487">
        <w:rPr>
          <w:rStyle w:val="s1"/>
          <w:rFonts w:ascii="Times New Roman" w:hAnsi="Times New Roman" w:cs="Times New Roman"/>
          <w:sz w:val="24"/>
          <w:szCs w:val="24"/>
        </w:rPr>
        <w:t>Noff</w:t>
      </w:r>
      <w:proofErr w:type="spellEnd"/>
      <w:r w:rsidRPr="00097487">
        <w:rPr>
          <w:rStyle w:val="s1"/>
          <w:rFonts w:ascii="Times New Roman" w:hAnsi="Times New Roman" w:cs="Times New Roman"/>
          <w:sz w:val="24"/>
          <w:szCs w:val="24"/>
        </w:rPr>
        <w:t xml:space="preserve"> = 7321.0</w:t>
      </w:r>
    </w:p>
    <w:p w14:paraId="33BCF6D5" w14:textId="77777777" w:rsidR="00097487" w:rsidRDefault="008920E9" w:rsidP="008920E9">
      <w:pPr>
        <w:pStyle w:val="p1"/>
        <w:numPr>
          <w:ilvl w:val="1"/>
          <w:numId w:val="8"/>
        </w:numPr>
        <w:rPr>
          <w:rFonts w:ascii="Times New Roman" w:hAnsi="Times New Roman" w:cs="Times New Roman"/>
          <w:sz w:val="24"/>
          <w:szCs w:val="24"/>
        </w:rPr>
      </w:pPr>
      <w:r w:rsidRPr="00097487">
        <w:rPr>
          <w:rStyle w:val="s1"/>
          <w:rFonts w:ascii="Times New Roman" w:hAnsi="Times New Roman" w:cs="Times New Roman"/>
          <w:sz w:val="24"/>
          <w:szCs w:val="24"/>
        </w:rPr>
        <w:t xml:space="preserve">Nb </w:t>
      </w:r>
      <w:proofErr w:type="spellStart"/>
      <w:r w:rsidRPr="00097487">
        <w:rPr>
          <w:rStyle w:val="s1"/>
          <w:rFonts w:ascii="Times New Roman" w:hAnsi="Times New Roman" w:cs="Times New Roman"/>
          <w:sz w:val="24"/>
          <w:szCs w:val="24"/>
        </w:rPr>
        <w:t>region</w:t>
      </w:r>
      <w:proofErr w:type="spellEnd"/>
      <w:r w:rsidRPr="00097487">
        <w:rPr>
          <w:rStyle w:val="s1"/>
          <w:rFonts w:ascii="Times New Roman" w:hAnsi="Times New Roman" w:cs="Times New Roman"/>
          <w:sz w:val="24"/>
          <w:szCs w:val="24"/>
        </w:rPr>
        <w:t xml:space="preserve"> = 11</w:t>
      </w:r>
    </w:p>
    <w:p w14:paraId="6277ACBE" w14:textId="73561FD8" w:rsidR="008920E9" w:rsidRPr="00097487" w:rsidRDefault="00097487" w:rsidP="008920E9">
      <w:pPr>
        <w:pStyle w:val="p1"/>
        <w:numPr>
          <w:ilvl w:val="1"/>
          <w:numId w:val="8"/>
        </w:numPr>
        <w:rPr>
          <w:rFonts w:ascii="Times New Roman" w:hAnsi="Times New Roman" w:cs="Times New Roman"/>
          <w:sz w:val="24"/>
          <w:szCs w:val="24"/>
        </w:rPr>
      </w:pPr>
      <w:proofErr w:type="spellStart"/>
      <w:r w:rsidRPr="00097487">
        <w:rPr>
          <w:rStyle w:val="s1"/>
          <w:rFonts w:ascii="Times New Roman" w:hAnsi="Times New Roman" w:cs="Times New Roman"/>
          <w:sz w:val="24"/>
          <w:szCs w:val="24"/>
        </w:rPr>
        <w:t>Significance</w:t>
      </w:r>
      <w:proofErr w:type="spellEnd"/>
      <w:r w:rsidRPr="00097487">
        <w:rPr>
          <w:rStyle w:val="s1"/>
          <w:rFonts w:ascii="Times New Roman" w:hAnsi="Times New Roman" w:cs="Times New Roman"/>
          <w:sz w:val="24"/>
          <w:szCs w:val="24"/>
        </w:rPr>
        <w:t xml:space="preserve"> = 35.7</w:t>
      </w:r>
    </w:p>
    <w:p w14:paraId="3D285900" w14:textId="77777777" w:rsidR="00787E06" w:rsidRPr="00D23160" w:rsidRDefault="00787E06" w:rsidP="00FD1D55"/>
    <w:p w14:paraId="4E613C6A" w14:textId="77777777" w:rsidR="00097487" w:rsidRDefault="00B817D8" w:rsidP="00097487">
      <w:pPr>
        <w:pStyle w:val="Pardeliste"/>
        <w:numPr>
          <w:ilvl w:val="0"/>
          <w:numId w:val="8"/>
        </w:numPr>
      </w:pPr>
      <w:r w:rsidRPr="00D23160">
        <w:t>Source 2</w:t>
      </w:r>
    </w:p>
    <w:p w14:paraId="50DCE714" w14:textId="77777777" w:rsidR="00097487" w:rsidRPr="00097487" w:rsidRDefault="008920E9" w:rsidP="00097487">
      <w:pPr>
        <w:pStyle w:val="Pardeliste"/>
        <w:numPr>
          <w:ilvl w:val="1"/>
          <w:numId w:val="8"/>
        </w:numPr>
        <w:rPr>
          <w:rStyle w:val="s1"/>
        </w:rPr>
      </w:pPr>
      <w:r w:rsidRPr="00097487">
        <w:rPr>
          <w:rStyle w:val="s1"/>
          <w:rFonts w:ascii="Times New Roman" w:hAnsi="Times New Roman" w:cs="Times New Roman"/>
        </w:rPr>
        <w:t>Non = 546.0</w:t>
      </w:r>
    </w:p>
    <w:p w14:paraId="65EE2D23" w14:textId="77777777" w:rsidR="00097487" w:rsidRPr="00097487" w:rsidRDefault="008920E9" w:rsidP="008920E9">
      <w:pPr>
        <w:pStyle w:val="Pardeliste"/>
        <w:numPr>
          <w:ilvl w:val="1"/>
          <w:numId w:val="8"/>
        </w:numPr>
        <w:rPr>
          <w:rStyle w:val="s1"/>
        </w:rPr>
      </w:pPr>
      <w:proofErr w:type="spellStart"/>
      <w:r w:rsidRPr="00097487">
        <w:rPr>
          <w:rStyle w:val="s1"/>
          <w:rFonts w:ascii="Times New Roman" w:hAnsi="Times New Roman" w:cs="Times New Roman"/>
        </w:rPr>
        <w:t>Noff</w:t>
      </w:r>
      <w:proofErr w:type="spellEnd"/>
      <w:r w:rsidRPr="00097487">
        <w:rPr>
          <w:rStyle w:val="s1"/>
          <w:rFonts w:ascii="Times New Roman" w:hAnsi="Times New Roman" w:cs="Times New Roman"/>
        </w:rPr>
        <w:t xml:space="preserve"> = 8740.0</w:t>
      </w:r>
    </w:p>
    <w:p w14:paraId="65315FB8" w14:textId="77777777" w:rsidR="00097487" w:rsidRPr="00097487" w:rsidRDefault="008920E9" w:rsidP="008920E9">
      <w:pPr>
        <w:pStyle w:val="Pardeliste"/>
        <w:numPr>
          <w:ilvl w:val="1"/>
          <w:numId w:val="8"/>
        </w:numPr>
        <w:rPr>
          <w:rStyle w:val="s1"/>
        </w:rPr>
      </w:pPr>
      <w:r w:rsidRPr="00097487">
        <w:rPr>
          <w:rStyle w:val="s1"/>
          <w:rFonts w:ascii="Times New Roman" w:hAnsi="Times New Roman" w:cs="Times New Roman"/>
        </w:rPr>
        <w:t xml:space="preserve">Nb </w:t>
      </w:r>
      <w:proofErr w:type="spellStart"/>
      <w:r w:rsidRPr="00097487">
        <w:rPr>
          <w:rStyle w:val="s1"/>
          <w:rFonts w:ascii="Times New Roman" w:hAnsi="Times New Roman" w:cs="Times New Roman"/>
        </w:rPr>
        <w:t>region</w:t>
      </w:r>
      <w:proofErr w:type="spellEnd"/>
      <w:r w:rsidRPr="00097487">
        <w:rPr>
          <w:rStyle w:val="s1"/>
          <w:rFonts w:ascii="Times New Roman" w:hAnsi="Times New Roman" w:cs="Times New Roman"/>
        </w:rPr>
        <w:t xml:space="preserve"> = 60</w:t>
      </w:r>
    </w:p>
    <w:p w14:paraId="360A4FEF" w14:textId="323204D0" w:rsidR="008920E9" w:rsidRPr="00097487" w:rsidRDefault="008920E9" w:rsidP="008920E9">
      <w:pPr>
        <w:pStyle w:val="Pardeliste"/>
        <w:numPr>
          <w:ilvl w:val="1"/>
          <w:numId w:val="8"/>
        </w:numPr>
      </w:pPr>
      <w:proofErr w:type="spellStart"/>
      <w:r w:rsidRPr="00097487">
        <w:rPr>
          <w:rStyle w:val="s1"/>
          <w:rFonts w:ascii="Times New Roman" w:hAnsi="Times New Roman" w:cs="Times New Roman"/>
        </w:rPr>
        <w:t>Significance</w:t>
      </w:r>
      <w:proofErr w:type="spellEnd"/>
      <w:r w:rsidRPr="00097487">
        <w:rPr>
          <w:rStyle w:val="s1"/>
          <w:rFonts w:ascii="Times New Roman" w:hAnsi="Times New Roman" w:cs="Times New Roman"/>
        </w:rPr>
        <w:t xml:space="preserve"> = </w:t>
      </w:r>
      <w:r w:rsidR="00097487" w:rsidRPr="00097487">
        <w:rPr>
          <w:rStyle w:val="s1"/>
          <w:rFonts w:ascii="Times New Roman" w:hAnsi="Times New Roman" w:cs="Times New Roman"/>
        </w:rPr>
        <w:t>32.2</w:t>
      </w:r>
    </w:p>
    <w:p w14:paraId="7E629FAB" w14:textId="77777777" w:rsidR="00B817D8" w:rsidRDefault="00B817D8" w:rsidP="00FD1D55"/>
    <w:p w14:paraId="083BE8DB" w14:textId="77777777" w:rsidR="007A224C" w:rsidRDefault="007A224C" w:rsidP="00FD1D55"/>
    <w:p w14:paraId="7D60DF3D" w14:textId="6732EF80" w:rsidR="007A224C" w:rsidRDefault="007A224C" w:rsidP="00FD1D55">
      <w:r>
        <w:t>On peut voir qu’une approximation sur le nombre d’évènements a de grandes conséquences sur la valeur de significativité.</w:t>
      </w:r>
      <w:r w:rsidR="00B817D8">
        <w:t xml:space="preserve"> Un des problèmes dans les estimations concerne le choix de la région OFF, en effet, pour notre calcul à la main, nous avons pris qu’une seule</w:t>
      </w:r>
      <w:r w:rsidR="008920E9">
        <w:t xml:space="preserve"> région OFF et sa position a été prise de façon moins précise que celle fait par le script. </w:t>
      </w:r>
    </w:p>
    <w:p w14:paraId="4FEB1DC1" w14:textId="77777777" w:rsidR="00787E06" w:rsidRDefault="00787E06" w:rsidP="00FD1D55"/>
    <w:p w14:paraId="6E4F2AFE" w14:textId="77777777" w:rsidR="003A6A2C" w:rsidRDefault="003A6A2C" w:rsidP="00FD1D55"/>
    <w:p w14:paraId="4D438818" w14:textId="77777777" w:rsidR="00026097" w:rsidRDefault="00026097" w:rsidP="00FD1D55"/>
    <w:p w14:paraId="32C8DE9B" w14:textId="779AEEAA" w:rsidR="00026097" w:rsidRDefault="00026097" w:rsidP="00FD1D55">
      <w:r>
        <w:t xml:space="preserve">La carte de significativité est montrée en Figure </w:t>
      </w:r>
      <w:r w:rsidR="00C37CD9">
        <w:t>2. On peut apercevoir les 2 sources. Cen-A est bien plus brillante que la source 2.</w:t>
      </w:r>
    </w:p>
    <w:p w14:paraId="5F10AAA3" w14:textId="77777777" w:rsidR="00026097" w:rsidRDefault="00026097" w:rsidP="00FD1D55"/>
    <w:p w14:paraId="19262DC9" w14:textId="68B73F93" w:rsidR="00D24123" w:rsidRDefault="00026097" w:rsidP="00D24123">
      <w:pPr>
        <w:jc w:val="center"/>
      </w:pPr>
      <w:bookmarkStart w:id="0" w:name="_GoBack"/>
      <w:r>
        <w:rPr>
          <w:noProof/>
        </w:rPr>
        <w:lastRenderedPageBreak/>
        <w:drawing>
          <wp:inline distT="0" distB="0" distL="0" distR="0" wp14:anchorId="03936C58" wp14:editId="4B749B98">
            <wp:extent cx="3040168" cy="2682402"/>
            <wp:effectExtent l="0" t="0" r="8255" b="10160"/>
            <wp:docPr id="25" name="Image 25" descr="../../../Desktop/Capture%20d’écran%202019-03-22%20à%2009.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apture%20d’écran%202019-03-22%20à%2009.47.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320" cy="2716947"/>
                    </a:xfrm>
                    <a:prstGeom prst="rect">
                      <a:avLst/>
                    </a:prstGeom>
                    <a:noFill/>
                    <a:ln>
                      <a:noFill/>
                    </a:ln>
                  </pic:spPr>
                </pic:pic>
              </a:graphicData>
            </a:graphic>
          </wp:inline>
        </w:drawing>
      </w:r>
      <w:bookmarkEnd w:id="0"/>
    </w:p>
    <w:p w14:paraId="2D38689A" w14:textId="5DB48344" w:rsidR="00D24123" w:rsidRDefault="00D24123" w:rsidP="00BA54C0">
      <w:pPr>
        <w:jc w:val="center"/>
        <w:outlineLvl w:val="0"/>
      </w:pPr>
      <w:r>
        <w:t>Figure</w:t>
      </w:r>
      <w:r w:rsidR="00C37CD9">
        <w:t xml:space="preserve"> 2</w:t>
      </w:r>
      <w:r>
        <w:t> : Carte de significativité du champ de vue.</w:t>
      </w:r>
    </w:p>
    <w:p w14:paraId="293A514A" w14:textId="77777777" w:rsidR="00D24123" w:rsidRDefault="00D24123" w:rsidP="00D24123"/>
    <w:p w14:paraId="3D4D436C" w14:textId="0C0C1037" w:rsidR="00D24123" w:rsidRDefault="00D24123" w:rsidP="00BA54C0">
      <w:pPr>
        <w:outlineLvl w:val="0"/>
      </w:pPr>
      <w:r>
        <w:t xml:space="preserve">La carte des résidus est </w:t>
      </w:r>
      <w:r w:rsidR="00C37CD9">
        <w:t>obtenue</w:t>
      </w:r>
      <w:r>
        <w:t xml:space="preserve"> en </w:t>
      </w:r>
      <w:r w:rsidR="00B30BDF">
        <w:t>soustrayant</w:t>
      </w:r>
      <w:r>
        <w:t xml:space="preserve"> la carte de </w:t>
      </w:r>
      <w:proofErr w:type="spellStart"/>
      <w:r>
        <w:t>significavitité</w:t>
      </w:r>
      <w:proofErr w:type="spellEnd"/>
      <w:r w:rsidR="00765782">
        <w:t xml:space="preserve"> au modèle.</w:t>
      </w:r>
    </w:p>
    <w:p w14:paraId="5E59921A" w14:textId="77777777" w:rsidR="00765782" w:rsidRDefault="00765782" w:rsidP="00D24123"/>
    <w:p w14:paraId="11DB0DB8" w14:textId="5048E209" w:rsidR="00765782" w:rsidRDefault="00765782" w:rsidP="00D24123">
      <w:r>
        <w:t>Ici la carte ne présente aucune pathologie. On peut considérer qu’elle est correcte.</w:t>
      </w:r>
      <w:r w:rsidR="00B22F08">
        <w:t xml:space="preserve"> Les </w:t>
      </w:r>
      <w:r w:rsidR="003C5334">
        <w:t>dispositions des pixels chauds et froids semblent aléatoires.</w:t>
      </w:r>
    </w:p>
    <w:p w14:paraId="3242C982" w14:textId="77777777" w:rsidR="00765782" w:rsidRDefault="00765782" w:rsidP="00D24123"/>
    <w:p w14:paraId="706B03C5" w14:textId="322DDE71" w:rsidR="00FA5BC3" w:rsidRDefault="00FA5BC3" w:rsidP="00026097">
      <w:pPr>
        <w:jc w:val="center"/>
      </w:pPr>
      <w:r>
        <w:rPr>
          <w:noProof/>
        </w:rPr>
        <w:drawing>
          <wp:inline distT="0" distB="0" distL="0" distR="0" wp14:anchorId="09260E30" wp14:editId="7A0E4550">
            <wp:extent cx="2805924" cy="2470154"/>
            <wp:effectExtent l="0" t="0" r="0" b="0"/>
            <wp:docPr id="30" name="Image 30" descr="../../../Desktop/Capture%20d’écran%202019-03-22%20à%2011.4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Capture%20d’écran%202019-03-22%20à%2011.47.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29" cy="2475264"/>
                    </a:xfrm>
                    <a:prstGeom prst="rect">
                      <a:avLst/>
                    </a:prstGeom>
                    <a:noFill/>
                    <a:ln>
                      <a:noFill/>
                    </a:ln>
                  </pic:spPr>
                </pic:pic>
              </a:graphicData>
            </a:graphic>
          </wp:inline>
        </w:drawing>
      </w:r>
    </w:p>
    <w:p w14:paraId="59EDEE8E" w14:textId="7D3C9170" w:rsidR="00D24123" w:rsidRDefault="00D24123" w:rsidP="00BA54C0">
      <w:pPr>
        <w:jc w:val="center"/>
        <w:outlineLvl w:val="0"/>
      </w:pPr>
      <w:r>
        <w:t>Figure </w:t>
      </w:r>
      <w:r w:rsidR="00BA54C0">
        <w:t xml:space="preserve">3 </w:t>
      </w:r>
      <w:r>
        <w:t xml:space="preserve">: Carte de résidus </w:t>
      </w:r>
      <w:r w:rsidR="00D24E70">
        <w:t>du champ de vue.</w:t>
      </w:r>
    </w:p>
    <w:p w14:paraId="547C823E" w14:textId="77777777" w:rsidR="00FA5BC3" w:rsidRDefault="00FA5BC3" w:rsidP="00026097">
      <w:pPr>
        <w:jc w:val="center"/>
      </w:pPr>
    </w:p>
    <w:p w14:paraId="64F66971" w14:textId="5C37F861" w:rsidR="007D1A5F" w:rsidRDefault="003A6A2C" w:rsidP="00BA54C0">
      <w:pPr>
        <w:outlineLvl w:val="0"/>
        <w:rPr>
          <w:sz w:val="32"/>
        </w:rPr>
      </w:pPr>
      <w:r w:rsidRPr="00671DFD">
        <w:rPr>
          <w:sz w:val="32"/>
        </w:rPr>
        <w:t>Etape 4</w:t>
      </w:r>
    </w:p>
    <w:p w14:paraId="322E241F" w14:textId="77777777" w:rsidR="00D24E70" w:rsidRDefault="00D24E70" w:rsidP="00FD1D55">
      <w:pPr>
        <w:rPr>
          <w:b/>
          <w:sz w:val="28"/>
        </w:rPr>
      </w:pPr>
    </w:p>
    <w:p w14:paraId="6B752BC7" w14:textId="091D66EF" w:rsidR="00677668" w:rsidRPr="00677668" w:rsidRDefault="00677668" w:rsidP="00BA54C0">
      <w:pPr>
        <w:outlineLvl w:val="0"/>
        <w:rPr>
          <w:b/>
          <w:sz w:val="28"/>
        </w:rPr>
      </w:pPr>
      <w:r w:rsidRPr="00677668">
        <w:rPr>
          <w:b/>
          <w:sz w:val="28"/>
        </w:rPr>
        <w:t>Spectre</w:t>
      </w:r>
    </w:p>
    <w:p w14:paraId="752D4461" w14:textId="77777777" w:rsidR="003A6A2C" w:rsidRDefault="003A6A2C" w:rsidP="00FD1D55"/>
    <w:p w14:paraId="6A408364" w14:textId="240DC852" w:rsidR="007D1A5F" w:rsidRDefault="007D1A5F" w:rsidP="00FD1D55">
      <w:r>
        <w:t>Le spectre en énergie permet de tracer le nombre de particules en fonction de l’énergie.</w:t>
      </w:r>
      <w:r w:rsidR="00F76482">
        <w:t xml:space="preserve"> Ces particules sont sommées sur tout le temps d’observation.</w:t>
      </w:r>
    </w:p>
    <w:p w14:paraId="41044C62" w14:textId="77777777" w:rsidR="007D1A5F" w:rsidRDefault="007D1A5F" w:rsidP="00FD1D55"/>
    <w:p w14:paraId="2E3F1752" w14:textId="66A17595" w:rsidR="003A6A2C" w:rsidRDefault="003A6A2C" w:rsidP="00FD1D55">
      <w:r>
        <w:t xml:space="preserve">Les points de flux peuvent être calculés en utilisant la formule donnée ainsi que la courbe d’acceptance de l’instrument. L’observation a durée </w:t>
      </w:r>
      <w:r w:rsidR="00D73C95">
        <w:t>2</w:t>
      </w:r>
      <w:r>
        <w:t>h</w:t>
      </w:r>
      <w:r w:rsidR="00D73C95">
        <w:t xml:space="preserve"> = 7200s</w:t>
      </w:r>
      <w:r>
        <w:t>, il faut donc prendre la courbe d’</w:t>
      </w:r>
      <w:r w:rsidR="00BA54C0">
        <w:t xml:space="preserve">acceptance correspondant à </w:t>
      </w:r>
      <w:r w:rsidR="00D73C95">
        <w:t>5h d’observations</w:t>
      </w:r>
      <w:r>
        <w:t>.</w:t>
      </w:r>
      <w:r w:rsidR="00F45779">
        <w:t xml:space="preserve"> </w:t>
      </w:r>
    </w:p>
    <w:p w14:paraId="00954533" w14:textId="2EA89585" w:rsidR="00E3249E" w:rsidRDefault="00E3249E" w:rsidP="00FD1D55">
      <w:r>
        <w:lastRenderedPageBreak/>
        <w:t xml:space="preserve">Les valeurs d’acceptance correspondant aux </w:t>
      </w:r>
      <w:proofErr w:type="spellStart"/>
      <w:r>
        <w:t>bins</w:t>
      </w:r>
      <w:proofErr w:type="spellEnd"/>
      <w:r>
        <w:t xml:space="preserve"> en énergie sont données dans le tableau suivant.</w:t>
      </w:r>
    </w:p>
    <w:p w14:paraId="4EA0410E" w14:textId="77777777" w:rsidR="00E3249E" w:rsidRDefault="00E3249E" w:rsidP="00FD1D55"/>
    <w:p w14:paraId="149BE634" w14:textId="4B0BFF23" w:rsidR="00BE01D2" w:rsidRDefault="00BA54C0" w:rsidP="00BA54C0">
      <w:pPr>
        <w:outlineLvl w:val="0"/>
      </w:pPr>
      <w:r>
        <w:t>Cen-A</w:t>
      </w:r>
    </w:p>
    <w:p w14:paraId="3BDB1B47" w14:textId="77777777" w:rsidR="00BE01D2" w:rsidRDefault="00BE01D2" w:rsidP="00FD1D55"/>
    <w:tbl>
      <w:tblPr>
        <w:tblStyle w:val="Grilledutableau"/>
        <w:tblW w:w="0" w:type="auto"/>
        <w:tblLook w:val="04A0" w:firstRow="1" w:lastRow="0" w:firstColumn="1" w:lastColumn="0" w:noHBand="0" w:noVBand="1"/>
      </w:tblPr>
      <w:tblGrid>
        <w:gridCol w:w="1970"/>
        <w:gridCol w:w="1473"/>
        <w:gridCol w:w="1473"/>
        <w:gridCol w:w="1877"/>
        <w:gridCol w:w="2263"/>
      </w:tblGrid>
      <w:tr w:rsidR="00BE01D2" w14:paraId="53413E45" w14:textId="77777777" w:rsidTr="00BE01D2">
        <w:tc>
          <w:tcPr>
            <w:tcW w:w="1970" w:type="dxa"/>
            <w:shd w:val="clear" w:color="auto" w:fill="92D050"/>
          </w:tcPr>
          <w:p w14:paraId="770E7B5A" w14:textId="242C1EDF" w:rsidR="00BE01D2" w:rsidRDefault="00BE01D2" w:rsidP="00E3249E">
            <w:pPr>
              <w:jc w:val="center"/>
            </w:pPr>
            <w:r>
              <w:t>Bin en énergie [</w:t>
            </w:r>
            <w:proofErr w:type="spellStart"/>
            <w:r>
              <w:t>TeV</w:t>
            </w:r>
            <w:proofErr w:type="spellEnd"/>
            <w:r>
              <w:t>]</w:t>
            </w:r>
          </w:p>
        </w:tc>
        <w:tc>
          <w:tcPr>
            <w:tcW w:w="1473" w:type="dxa"/>
            <w:shd w:val="clear" w:color="auto" w:fill="92D050"/>
          </w:tcPr>
          <w:p w14:paraId="0C6AD27A" w14:textId="4EBFF84A" w:rsidR="00BE01D2" w:rsidRDefault="00BE01D2" w:rsidP="00E3249E">
            <w:pPr>
              <w:jc w:val="center"/>
            </w:pPr>
            <w:r>
              <w:t>Non</w:t>
            </w:r>
          </w:p>
        </w:tc>
        <w:tc>
          <w:tcPr>
            <w:tcW w:w="1473" w:type="dxa"/>
            <w:shd w:val="clear" w:color="auto" w:fill="92D050"/>
          </w:tcPr>
          <w:p w14:paraId="1BAAC5D3" w14:textId="35A51EAD" w:rsidR="00BE01D2" w:rsidRDefault="00BE01D2" w:rsidP="00E3249E">
            <w:pPr>
              <w:jc w:val="center"/>
            </w:pPr>
            <w:proofErr w:type="spellStart"/>
            <w:r>
              <w:t>Noff</w:t>
            </w:r>
            <w:proofErr w:type="spellEnd"/>
          </w:p>
        </w:tc>
        <w:tc>
          <w:tcPr>
            <w:tcW w:w="1877" w:type="dxa"/>
            <w:shd w:val="clear" w:color="auto" w:fill="92D050"/>
          </w:tcPr>
          <w:p w14:paraId="4FA5B252" w14:textId="2787B155" w:rsidR="00BE01D2" w:rsidRDefault="00BE01D2" w:rsidP="00E3249E">
            <w:pPr>
              <w:jc w:val="center"/>
            </w:pPr>
            <w:proofErr w:type="spellStart"/>
            <w:r>
              <w:t>Nexcess</w:t>
            </w:r>
            <w:proofErr w:type="spellEnd"/>
          </w:p>
        </w:tc>
        <w:tc>
          <w:tcPr>
            <w:tcW w:w="2263" w:type="dxa"/>
            <w:shd w:val="clear" w:color="auto" w:fill="92D050"/>
          </w:tcPr>
          <w:p w14:paraId="019F31AC" w14:textId="33CD68C3" w:rsidR="00BE01D2" w:rsidRDefault="00595A0D" w:rsidP="00E3249E">
            <w:pPr>
              <w:jc w:val="center"/>
            </w:pPr>
            <w:r>
              <w:t>Surface efficace</w:t>
            </w:r>
            <w:r w:rsidR="007E2999">
              <w:t xml:space="preserve"> (m</w:t>
            </w:r>
            <w:r w:rsidR="007E2999" w:rsidRPr="007E2999">
              <w:rPr>
                <w:vertAlign w:val="superscript"/>
              </w:rPr>
              <w:t>2</w:t>
            </w:r>
            <w:r w:rsidR="007E2999">
              <w:t>)</w:t>
            </w:r>
          </w:p>
        </w:tc>
      </w:tr>
      <w:tr w:rsidR="00BE01D2" w14:paraId="2ED04CB8" w14:textId="77777777" w:rsidTr="00BE01D2">
        <w:tc>
          <w:tcPr>
            <w:tcW w:w="1970" w:type="dxa"/>
          </w:tcPr>
          <w:p w14:paraId="3951AD41" w14:textId="4BA90E01" w:rsidR="00BE01D2" w:rsidRDefault="00BE01D2" w:rsidP="007D1B1C">
            <w:pPr>
              <w:jc w:val="center"/>
            </w:pPr>
            <w:r>
              <w:t>0.1615</w:t>
            </w:r>
          </w:p>
        </w:tc>
        <w:tc>
          <w:tcPr>
            <w:tcW w:w="1473" w:type="dxa"/>
          </w:tcPr>
          <w:p w14:paraId="588C20CF" w14:textId="11CC2D98" w:rsidR="00BE01D2" w:rsidRDefault="00BE01D2" w:rsidP="007D1B1C">
            <w:pPr>
              <w:jc w:val="center"/>
            </w:pPr>
            <w:r>
              <w:t>944</w:t>
            </w:r>
          </w:p>
        </w:tc>
        <w:tc>
          <w:tcPr>
            <w:tcW w:w="1473" w:type="dxa"/>
          </w:tcPr>
          <w:p w14:paraId="57A925F8" w14:textId="300A9E55" w:rsidR="00BE01D2" w:rsidRDefault="00BE01D2" w:rsidP="007D1B1C">
            <w:pPr>
              <w:jc w:val="center"/>
            </w:pPr>
            <w:r>
              <w:t>512</w:t>
            </w:r>
          </w:p>
        </w:tc>
        <w:tc>
          <w:tcPr>
            <w:tcW w:w="1877" w:type="dxa"/>
          </w:tcPr>
          <w:p w14:paraId="5AFE1F85" w14:textId="0F2B9FAB" w:rsidR="00BE01D2" w:rsidRDefault="00BE01D2" w:rsidP="007D1B1C">
            <w:pPr>
              <w:jc w:val="center"/>
            </w:pPr>
            <w:r>
              <w:t>432</w:t>
            </w:r>
          </w:p>
        </w:tc>
        <w:tc>
          <w:tcPr>
            <w:tcW w:w="2263" w:type="dxa"/>
          </w:tcPr>
          <w:p w14:paraId="0D7078A0" w14:textId="52F776B4" w:rsidR="00BE01D2" w:rsidRDefault="001C2B61" w:rsidP="007D1B1C">
            <w:pPr>
              <w:jc w:val="center"/>
            </w:pPr>
            <w:r>
              <w:t>2 x 10</w:t>
            </w:r>
            <w:r w:rsidRPr="007E2999">
              <w:rPr>
                <w:vertAlign w:val="superscript"/>
              </w:rPr>
              <w:t>5</w:t>
            </w:r>
          </w:p>
        </w:tc>
      </w:tr>
      <w:tr w:rsidR="00BE01D2" w14:paraId="7DC94318" w14:textId="77777777" w:rsidTr="00BE01D2">
        <w:tc>
          <w:tcPr>
            <w:tcW w:w="1970" w:type="dxa"/>
          </w:tcPr>
          <w:p w14:paraId="08FEAC0C" w14:textId="2F8B10A9" w:rsidR="00BE01D2" w:rsidRDefault="00BE01D2" w:rsidP="007D1B1C">
            <w:pPr>
              <w:jc w:val="center"/>
            </w:pPr>
            <w:r>
              <w:t>0.6115</w:t>
            </w:r>
          </w:p>
        </w:tc>
        <w:tc>
          <w:tcPr>
            <w:tcW w:w="1473" w:type="dxa"/>
          </w:tcPr>
          <w:p w14:paraId="56A0B599" w14:textId="1C59D6FE" w:rsidR="00BE01D2" w:rsidRDefault="00BE01D2" w:rsidP="007D1B1C">
            <w:pPr>
              <w:jc w:val="center"/>
            </w:pPr>
            <w:r>
              <w:t>301</w:t>
            </w:r>
          </w:p>
        </w:tc>
        <w:tc>
          <w:tcPr>
            <w:tcW w:w="1473" w:type="dxa"/>
          </w:tcPr>
          <w:p w14:paraId="36C79F27" w14:textId="3D999FB9" w:rsidR="00BE01D2" w:rsidRDefault="00BE01D2" w:rsidP="007D1B1C">
            <w:pPr>
              <w:jc w:val="center"/>
            </w:pPr>
            <w:r>
              <w:t>69</w:t>
            </w:r>
          </w:p>
        </w:tc>
        <w:tc>
          <w:tcPr>
            <w:tcW w:w="1877" w:type="dxa"/>
          </w:tcPr>
          <w:p w14:paraId="04EC39FF" w14:textId="179911BB" w:rsidR="00BE01D2" w:rsidRDefault="00BE01D2" w:rsidP="007D1B1C">
            <w:pPr>
              <w:jc w:val="center"/>
            </w:pPr>
            <w:r>
              <w:t>232</w:t>
            </w:r>
          </w:p>
        </w:tc>
        <w:tc>
          <w:tcPr>
            <w:tcW w:w="2263" w:type="dxa"/>
          </w:tcPr>
          <w:p w14:paraId="2D1AF22C" w14:textId="3811D316" w:rsidR="00BE01D2" w:rsidRDefault="00595A0D" w:rsidP="007D1B1C">
            <w:pPr>
              <w:jc w:val="center"/>
            </w:pPr>
            <w:r>
              <w:t xml:space="preserve">7 x </w:t>
            </w:r>
            <w:r w:rsidR="00BE7280">
              <w:t>10</w:t>
            </w:r>
            <w:r>
              <w:rPr>
                <w:vertAlign w:val="superscript"/>
              </w:rPr>
              <w:t>5</w:t>
            </w:r>
          </w:p>
        </w:tc>
      </w:tr>
      <w:tr w:rsidR="00BE01D2" w14:paraId="6D627BCE" w14:textId="77777777" w:rsidTr="00BE01D2">
        <w:trPr>
          <w:trHeight w:val="307"/>
        </w:trPr>
        <w:tc>
          <w:tcPr>
            <w:tcW w:w="1970" w:type="dxa"/>
          </w:tcPr>
          <w:p w14:paraId="2D1FEA01" w14:textId="050AE423" w:rsidR="00BE01D2" w:rsidRDefault="00BE01D2" w:rsidP="007D1B1C">
            <w:pPr>
              <w:jc w:val="center"/>
            </w:pPr>
            <w:r>
              <w:t>2.735</w:t>
            </w:r>
          </w:p>
        </w:tc>
        <w:tc>
          <w:tcPr>
            <w:tcW w:w="1473" w:type="dxa"/>
          </w:tcPr>
          <w:p w14:paraId="7BD164C4" w14:textId="7409BA9F" w:rsidR="00BE01D2" w:rsidRDefault="00BE01D2" w:rsidP="007D1B1C">
            <w:pPr>
              <w:jc w:val="center"/>
            </w:pPr>
            <w:r>
              <w:t>117</w:t>
            </w:r>
          </w:p>
        </w:tc>
        <w:tc>
          <w:tcPr>
            <w:tcW w:w="1473" w:type="dxa"/>
          </w:tcPr>
          <w:p w14:paraId="39DE90DC" w14:textId="52E41F91" w:rsidR="00BE01D2" w:rsidRDefault="00BE01D2" w:rsidP="007D1B1C">
            <w:pPr>
              <w:jc w:val="center"/>
            </w:pPr>
            <w:r>
              <w:t>9</w:t>
            </w:r>
          </w:p>
        </w:tc>
        <w:tc>
          <w:tcPr>
            <w:tcW w:w="1877" w:type="dxa"/>
          </w:tcPr>
          <w:p w14:paraId="57FC14A2" w14:textId="6649E5A8" w:rsidR="00BE01D2" w:rsidRDefault="00BE01D2" w:rsidP="007D1B1C">
            <w:pPr>
              <w:jc w:val="center"/>
            </w:pPr>
            <w:r>
              <w:t>108</w:t>
            </w:r>
          </w:p>
        </w:tc>
        <w:tc>
          <w:tcPr>
            <w:tcW w:w="2263" w:type="dxa"/>
          </w:tcPr>
          <w:p w14:paraId="3C60ECA0" w14:textId="48AEA2BE" w:rsidR="00BE01D2" w:rsidRDefault="00BE7280" w:rsidP="007D1B1C">
            <w:pPr>
              <w:jc w:val="center"/>
            </w:pPr>
            <w:r>
              <w:t>4 x 10</w:t>
            </w:r>
            <w:r w:rsidRPr="00BE7280">
              <w:rPr>
                <w:vertAlign w:val="superscript"/>
              </w:rPr>
              <w:t>6</w:t>
            </w:r>
          </w:p>
        </w:tc>
      </w:tr>
      <w:tr w:rsidR="00BE01D2" w14:paraId="28792E17" w14:textId="77777777" w:rsidTr="00BE01D2">
        <w:tc>
          <w:tcPr>
            <w:tcW w:w="1970" w:type="dxa"/>
          </w:tcPr>
          <w:p w14:paraId="63365C11" w14:textId="4BE9F0E3" w:rsidR="00BE01D2" w:rsidRDefault="00BE01D2" w:rsidP="007D1B1C">
            <w:pPr>
              <w:jc w:val="center"/>
            </w:pPr>
            <w:r>
              <w:t>12.2</w:t>
            </w:r>
          </w:p>
        </w:tc>
        <w:tc>
          <w:tcPr>
            <w:tcW w:w="1473" w:type="dxa"/>
          </w:tcPr>
          <w:p w14:paraId="2B470C04" w14:textId="1A96ACFD" w:rsidR="00BE01D2" w:rsidRDefault="00BE01D2" w:rsidP="007D1B1C">
            <w:pPr>
              <w:jc w:val="center"/>
            </w:pPr>
            <w:r>
              <w:t>0</w:t>
            </w:r>
          </w:p>
        </w:tc>
        <w:tc>
          <w:tcPr>
            <w:tcW w:w="1473" w:type="dxa"/>
          </w:tcPr>
          <w:p w14:paraId="74F5C943" w14:textId="21772D18" w:rsidR="00BE01D2" w:rsidRDefault="00BE01D2" w:rsidP="007D1B1C">
            <w:pPr>
              <w:jc w:val="center"/>
            </w:pPr>
            <w:r>
              <w:t>0</w:t>
            </w:r>
          </w:p>
        </w:tc>
        <w:tc>
          <w:tcPr>
            <w:tcW w:w="1877" w:type="dxa"/>
          </w:tcPr>
          <w:p w14:paraId="3776E7E5" w14:textId="2A680E35" w:rsidR="00BE01D2" w:rsidRDefault="00BE01D2" w:rsidP="007D1B1C">
            <w:pPr>
              <w:jc w:val="center"/>
            </w:pPr>
            <w:r>
              <w:t>0</w:t>
            </w:r>
          </w:p>
        </w:tc>
        <w:tc>
          <w:tcPr>
            <w:tcW w:w="2263" w:type="dxa"/>
          </w:tcPr>
          <w:p w14:paraId="67AB0F5C" w14:textId="6EA634F4" w:rsidR="00BE01D2" w:rsidRDefault="00BE7280" w:rsidP="007D1B1C">
            <w:pPr>
              <w:jc w:val="center"/>
            </w:pPr>
            <w:r>
              <w:t>-</w:t>
            </w:r>
          </w:p>
        </w:tc>
      </w:tr>
    </w:tbl>
    <w:p w14:paraId="30B0DBE9" w14:textId="31F9F861" w:rsidR="00E3249E" w:rsidRDefault="007D1B1C" w:rsidP="007D1B1C">
      <w:pPr>
        <w:jc w:val="center"/>
      </w:pPr>
      <w:r>
        <w:t>Tableau 1 : Données nécessaires aux calculs du flux</w:t>
      </w:r>
      <w:r w:rsidR="005916C0">
        <w:t xml:space="preserve"> </w:t>
      </w:r>
      <w:r w:rsidR="00BA54C0">
        <w:t>pour Cen-A</w:t>
      </w:r>
    </w:p>
    <w:p w14:paraId="5B6F8125" w14:textId="77777777" w:rsidR="00B30BDF" w:rsidRDefault="00B30BDF" w:rsidP="00BE01D2"/>
    <w:p w14:paraId="5FBA5C47" w14:textId="77777777" w:rsidR="00B30BDF" w:rsidRDefault="00B30BDF" w:rsidP="00BE01D2"/>
    <w:p w14:paraId="406D1CCD" w14:textId="56716AA8" w:rsidR="00BE01D2" w:rsidRDefault="00BE01D2" w:rsidP="00BA54C0">
      <w:pPr>
        <w:outlineLvl w:val="0"/>
      </w:pPr>
      <w:r>
        <w:t>Source 2</w:t>
      </w:r>
    </w:p>
    <w:p w14:paraId="34F6AA02" w14:textId="77777777" w:rsidR="00BE01D2" w:rsidRDefault="00BE01D2" w:rsidP="00BE01D2"/>
    <w:tbl>
      <w:tblPr>
        <w:tblStyle w:val="Grilledutableau"/>
        <w:tblW w:w="0" w:type="auto"/>
        <w:tblLook w:val="04A0" w:firstRow="1" w:lastRow="0" w:firstColumn="1" w:lastColumn="0" w:noHBand="0" w:noVBand="1"/>
      </w:tblPr>
      <w:tblGrid>
        <w:gridCol w:w="1970"/>
        <w:gridCol w:w="1473"/>
        <w:gridCol w:w="1473"/>
        <w:gridCol w:w="1877"/>
        <w:gridCol w:w="2263"/>
      </w:tblGrid>
      <w:tr w:rsidR="00BE01D2" w14:paraId="2DBDD49B" w14:textId="77777777" w:rsidTr="00BE01D2">
        <w:trPr>
          <w:trHeight w:val="586"/>
        </w:trPr>
        <w:tc>
          <w:tcPr>
            <w:tcW w:w="1970" w:type="dxa"/>
            <w:shd w:val="clear" w:color="auto" w:fill="92D050"/>
          </w:tcPr>
          <w:p w14:paraId="75E4D7C7" w14:textId="77777777" w:rsidR="00BE01D2" w:rsidRDefault="00BE01D2" w:rsidP="00DF6DB4">
            <w:pPr>
              <w:jc w:val="center"/>
            </w:pPr>
            <w:r>
              <w:t>Bin en énergie [</w:t>
            </w:r>
            <w:proofErr w:type="spellStart"/>
            <w:r>
              <w:t>TeV</w:t>
            </w:r>
            <w:proofErr w:type="spellEnd"/>
            <w:r>
              <w:t>]</w:t>
            </w:r>
          </w:p>
        </w:tc>
        <w:tc>
          <w:tcPr>
            <w:tcW w:w="1473" w:type="dxa"/>
            <w:shd w:val="clear" w:color="auto" w:fill="92D050"/>
          </w:tcPr>
          <w:p w14:paraId="6736F151" w14:textId="77777777" w:rsidR="00BE01D2" w:rsidRDefault="00BE01D2" w:rsidP="00DF6DB4">
            <w:pPr>
              <w:jc w:val="center"/>
            </w:pPr>
            <w:r>
              <w:t>Non</w:t>
            </w:r>
          </w:p>
        </w:tc>
        <w:tc>
          <w:tcPr>
            <w:tcW w:w="1473" w:type="dxa"/>
            <w:shd w:val="clear" w:color="auto" w:fill="92D050"/>
          </w:tcPr>
          <w:p w14:paraId="41D48C5D" w14:textId="77777777" w:rsidR="00BE01D2" w:rsidRDefault="00BE01D2" w:rsidP="00DF6DB4">
            <w:pPr>
              <w:jc w:val="center"/>
            </w:pPr>
            <w:proofErr w:type="spellStart"/>
            <w:r>
              <w:t>Noff</w:t>
            </w:r>
            <w:proofErr w:type="spellEnd"/>
          </w:p>
        </w:tc>
        <w:tc>
          <w:tcPr>
            <w:tcW w:w="1877" w:type="dxa"/>
            <w:shd w:val="clear" w:color="auto" w:fill="92D050"/>
          </w:tcPr>
          <w:p w14:paraId="1219A0C2" w14:textId="77777777" w:rsidR="00BE01D2" w:rsidRDefault="00BE01D2" w:rsidP="00DF6DB4">
            <w:pPr>
              <w:jc w:val="center"/>
            </w:pPr>
            <w:proofErr w:type="spellStart"/>
            <w:r>
              <w:t>Nexcess</w:t>
            </w:r>
            <w:proofErr w:type="spellEnd"/>
          </w:p>
        </w:tc>
        <w:tc>
          <w:tcPr>
            <w:tcW w:w="2263" w:type="dxa"/>
            <w:shd w:val="clear" w:color="auto" w:fill="92D050"/>
          </w:tcPr>
          <w:p w14:paraId="7C38E533" w14:textId="7880BAC5" w:rsidR="00BE01D2" w:rsidRDefault="00595A0D" w:rsidP="00DF6DB4">
            <w:pPr>
              <w:jc w:val="center"/>
            </w:pPr>
            <w:r>
              <w:t>Surface efficace</w:t>
            </w:r>
          </w:p>
        </w:tc>
      </w:tr>
      <w:tr w:rsidR="00BE01D2" w14:paraId="38F49531" w14:textId="77777777" w:rsidTr="00DF6DB4">
        <w:tc>
          <w:tcPr>
            <w:tcW w:w="1970" w:type="dxa"/>
          </w:tcPr>
          <w:p w14:paraId="66921A8B" w14:textId="77777777" w:rsidR="00BE01D2" w:rsidRDefault="00BE01D2" w:rsidP="00DF6DB4">
            <w:pPr>
              <w:jc w:val="center"/>
            </w:pPr>
            <w:r>
              <w:t>0.1615</w:t>
            </w:r>
          </w:p>
        </w:tc>
        <w:tc>
          <w:tcPr>
            <w:tcW w:w="1473" w:type="dxa"/>
          </w:tcPr>
          <w:p w14:paraId="0E113757" w14:textId="60FDD50B" w:rsidR="00BE01D2" w:rsidRDefault="00BE01D2" w:rsidP="00DF6DB4">
            <w:pPr>
              <w:jc w:val="center"/>
            </w:pPr>
            <w:r>
              <w:t>336</w:t>
            </w:r>
          </w:p>
        </w:tc>
        <w:tc>
          <w:tcPr>
            <w:tcW w:w="1473" w:type="dxa"/>
          </w:tcPr>
          <w:p w14:paraId="4584CD36" w14:textId="04E2E303" w:rsidR="00BE01D2" w:rsidRDefault="00BE01D2" w:rsidP="00DF6DB4">
            <w:pPr>
              <w:jc w:val="center"/>
            </w:pPr>
            <w:r>
              <w:t>169</w:t>
            </w:r>
          </w:p>
        </w:tc>
        <w:tc>
          <w:tcPr>
            <w:tcW w:w="1877" w:type="dxa"/>
          </w:tcPr>
          <w:p w14:paraId="12C16AD5" w14:textId="3BFC5D1C" w:rsidR="00BE01D2" w:rsidRDefault="00BE01D2" w:rsidP="00DF6DB4">
            <w:pPr>
              <w:jc w:val="center"/>
            </w:pPr>
            <w:r>
              <w:t>167</w:t>
            </w:r>
          </w:p>
        </w:tc>
        <w:tc>
          <w:tcPr>
            <w:tcW w:w="2263" w:type="dxa"/>
          </w:tcPr>
          <w:p w14:paraId="212C3B88" w14:textId="1334B90E" w:rsidR="00BE01D2" w:rsidRDefault="00DE39C4" w:rsidP="00DF6DB4">
            <w:pPr>
              <w:jc w:val="center"/>
            </w:pPr>
            <w:r>
              <w:t>2 x 10</w:t>
            </w:r>
            <w:r w:rsidRPr="007E2999">
              <w:rPr>
                <w:vertAlign w:val="superscript"/>
              </w:rPr>
              <w:t>5</w:t>
            </w:r>
          </w:p>
        </w:tc>
      </w:tr>
      <w:tr w:rsidR="00BE01D2" w14:paraId="12FEED00" w14:textId="77777777" w:rsidTr="00DF6DB4">
        <w:tc>
          <w:tcPr>
            <w:tcW w:w="1970" w:type="dxa"/>
          </w:tcPr>
          <w:p w14:paraId="1A0C48E7" w14:textId="77777777" w:rsidR="00BE01D2" w:rsidRDefault="00BE01D2" w:rsidP="00DF6DB4">
            <w:pPr>
              <w:jc w:val="center"/>
            </w:pPr>
            <w:r>
              <w:t>0.6115</w:t>
            </w:r>
          </w:p>
        </w:tc>
        <w:tc>
          <w:tcPr>
            <w:tcW w:w="1473" w:type="dxa"/>
          </w:tcPr>
          <w:p w14:paraId="6455800F" w14:textId="2718730A" w:rsidR="00BE01D2" w:rsidRDefault="00BE01D2" w:rsidP="00DF6DB4">
            <w:pPr>
              <w:jc w:val="center"/>
            </w:pPr>
            <w:r>
              <w:t>149</w:t>
            </w:r>
          </w:p>
        </w:tc>
        <w:tc>
          <w:tcPr>
            <w:tcW w:w="1473" w:type="dxa"/>
          </w:tcPr>
          <w:p w14:paraId="3F1EBDDB" w14:textId="70021E85" w:rsidR="00BE01D2" w:rsidRDefault="00BE01D2" w:rsidP="00DF6DB4">
            <w:pPr>
              <w:jc w:val="center"/>
            </w:pPr>
            <w:r>
              <w:t>36</w:t>
            </w:r>
          </w:p>
        </w:tc>
        <w:tc>
          <w:tcPr>
            <w:tcW w:w="1877" w:type="dxa"/>
          </w:tcPr>
          <w:p w14:paraId="19663E72" w14:textId="5B8CD768" w:rsidR="00BE01D2" w:rsidRDefault="00BE01D2" w:rsidP="00DF6DB4">
            <w:pPr>
              <w:jc w:val="center"/>
            </w:pPr>
            <w:r>
              <w:t>113</w:t>
            </w:r>
          </w:p>
        </w:tc>
        <w:tc>
          <w:tcPr>
            <w:tcW w:w="2263" w:type="dxa"/>
          </w:tcPr>
          <w:p w14:paraId="027664A0" w14:textId="2312C2E0" w:rsidR="00BE01D2" w:rsidRDefault="00A855B7" w:rsidP="00DF6DB4">
            <w:pPr>
              <w:jc w:val="center"/>
            </w:pPr>
            <w:r>
              <w:t>7 x 10</w:t>
            </w:r>
            <w:r>
              <w:rPr>
                <w:vertAlign w:val="superscript"/>
              </w:rPr>
              <w:t>5</w:t>
            </w:r>
          </w:p>
        </w:tc>
      </w:tr>
      <w:tr w:rsidR="00BE01D2" w14:paraId="00A40BF7" w14:textId="77777777" w:rsidTr="00DF6DB4">
        <w:trPr>
          <w:trHeight w:val="307"/>
        </w:trPr>
        <w:tc>
          <w:tcPr>
            <w:tcW w:w="1970" w:type="dxa"/>
          </w:tcPr>
          <w:p w14:paraId="58D6C62F" w14:textId="77777777" w:rsidR="00BE01D2" w:rsidRDefault="00BE01D2" w:rsidP="00DF6DB4">
            <w:pPr>
              <w:jc w:val="center"/>
            </w:pPr>
            <w:r>
              <w:t>2.735</w:t>
            </w:r>
          </w:p>
        </w:tc>
        <w:tc>
          <w:tcPr>
            <w:tcW w:w="1473" w:type="dxa"/>
          </w:tcPr>
          <w:p w14:paraId="427DD7DC" w14:textId="68FFD312" w:rsidR="00BE01D2" w:rsidRDefault="00BE01D2" w:rsidP="00DF6DB4">
            <w:pPr>
              <w:jc w:val="center"/>
            </w:pPr>
            <w:r>
              <w:t>60</w:t>
            </w:r>
          </w:p>
        </w:tc>
        <w:tc>
          <w:tcPr>
            <w:tcW w:w="1473" w:type="dxa"/>
          </w:tcPr>
          <w:p w14:paraId="70CEE424" w14:textId="7C9CD15A" w:rsidR="00BE01D2" w:rsidRDefault="00BE01D2" w:rsidP="00DF6DB4">
            <w:pPr>
              <w:jc w:val="center"/>
            </w:pPr>
            <w:r>
              <w:t>5</w:t>
            </w:r>
          </w:p>
        </w:tc>
        <w:tc>
          <w:tcPr>
            <w:tcW w:w="1877" w:type="dxa"/>
          </w:tcPr>
          <w:p w14:paraId="4C133562" w14:textId="4530A1A0" w:rsidR="00BE01D2" w:rsidRDefault="00BE01D2" w:rsidP="00DF6DB4">
            <w:pPr>
              <w:jc w:val="center"/>
            </w:pPr>
            <w:r>
              <w:t>55</w:t>
            </w:r>
          </w:p>
        </w:tc>
        <w:tc>
          <w:tcPr>
            <w:tcW w:w="2263" w:type="dxa"/>
          </w:tcPr>
          <w:p w14:paraId="17F3D7A1" w14:textId="572B4777" w:rsidR="00BE01D2" w:rsidRDefault="00B30BDF" w:rsidP="00DF6DB4">
            <w:pPr>
              <w:jc w:val="center"/>
            </w:pPr>
            <w:r>
              <w:t>4</w:t>
            </w:r>
            <w:r w:rsidR="00DE39C4">
              <w:t xml:space="preserve"> x 10</w:t>
            </w:r>
            <w:r w:rsidR="00DE39C4" w:rsidRPr="00BE7280">
              <w:rPr>
                <w:vertAlign w:val="superscript"/>
              </w:rPr>
              <w:t>6</w:t>
            </w:r>
          </w:p>
        </w:tc>
      </w:tr>
      <w:tr w:rsidR="00BE01D2" w14:paraId="32F31134" w14:textId="77777777" w:rsidTr="00DF6DB4">
        <w:tc>
          <w:tcPr>
            <w:tcW w:w="1970" w:type="dxa"/>
          </w:tcPr>
          <w:p w14:paraId="306BB95B" w14:textId="77777777" w:rsidR="00BE01D2" w:rsidRDefault="00BE01D2" w:rsidP="00DF6DB4">
            <w:pPr>
              <w:jc w:val="center"/>
            </w:pPr>
            <w:r>
              <w:t>12.2</w:t>
            </w:r>
          </w:p>
        </w:tc>
        <w:tc>
          <w:tcPr>
            <w:tcW w:w="1473" w:type="dxa"/>
          </w:tcPr>
          <w:p w14:paraId="2FB29B7F" w14:textId="77777777" w:rsidR="00BE01D2" w:rsidRDefault="00BE01D2" w:rsidP="00DF6DB4">
            <w:pPr>
              <w:jc w:val="center"/>
            </w:pPr>
            <w:r>
              <w:t>0</w:t>
            </w:r>
          </w:p>
        </w:tc>
        <w:tc>
          <w:tcPr>
            <w:tcW w:w="1473" w:type="dxa"/>
          </w:tcPr>
          <w:p w14:paraId="72042865" w14:textId="77777777" w:rsidR="00BE01D2" w:rsidRDefault="00BE01D2" w:rsidP="00DF6DB4">
            <w:pPr>
              <w:jc w:val="center"/>
            </w:pPr>
            <w:r>
              <w:t>0</w:t>
            </w:r>
          </w:p>
        </w:tc>
        <w:tc>
          <w:tcPr>
            <w:tcW w:w="1877" w:type="dxa"/>
          </w:tcPr>
          <w:p w14:paraId="248E974D" w14:textId="77777777" w:rsidR="00BE01D2" w:rsidRDefault="00BE01D2" w:rsidP="00DF6DB4">
            <w:pPr>
              <w:jc w:val="center"/>
            </w:pPr>
            <w:r>
              <w:t>0</w:t>
            </w:r>
          </w:p>
        </w:tc>
        <w:tc>
          <w:tcPr>
            <w:tcW w:w="2263" w:type="dxa"/>
          </w:tcPr>
          <w:p w14:paraId="0D4F36B9" w14:textId="1D1BF015" w:rsidR="00BE01D2" w:rsidRDefault="00DE39C4" w:rsidP="00DF6DB4">
            <w:pPr>
              <w:jc w:val="center"/>
            </w:pPr>
            <w:r>
              <w:t>-</w:t>
            </w:r>
          </w:p>
        </w:tc>
      </w:tr>
    </w:tbl>
    <w:p w14:paraId="31E7C1FF" w14:textId="5B28C3B9" w:rsidR="00BE01D2" w:rsidRDefault="00BE01D2" w:rsidP="00BE01D2">
      <w:pPr>
        <w:jc w:val="center"/>
      </w:pPr>
      <w:r>
        <w:t>Tableau 1 : Données nécessaires aux calculs du flux</w:t>
      </w:r>
      <w:r w:rsidR="00BA54C0">
        <w:t xml:space="preserve"> </w:t>
      </w:r>
      <w:r>
        <w:t>pour la source 2</w:t>
      </w:r>
    </w:p>
    <w:p w14:paraId="55D0F8EB" w14:textId="77777777" w:rsidR="00BE01D2" w:rsidRDefault="00BE01D2" w:rsidP="00BE01D2"/>
    <w:p w14:paraId="4CEA41C9" w14:textId="77777777" w:rsidR="00BE01D2" w:rsidRDefault="00BE01D2" w:rsidP="007D1B1C">
      <w:pPr>
        <w:jc w:val="center"/>
      </w:pPr>
    </w:p>
    <w:p w14:paraId="60CC06D1" w14:textId="04AFFD0D" w:rsidR="005A6FDE" w:rsidRDefault="005A6FDE" w:rsidP="00FD1D55">
      <m:oMathPara>
        <m:oMath>
          <m:r>
            <w:rPr>
              <w:rFonts w:ascii="Cambria Math" w:hAnsi="Cambria Math"/>
            </w:rPr>
            <m:t xml:space="preserve">F=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excess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moy</m:t>
                      </m:r>
                    </m:sub>
                  </m:sSub>
                </m:e>
                <m:sup/>
              </m:sSup>
            </m:num>
            <m:den>
              <m:sSub>
                <m:sSubPr>
                  <m:ctrlPr>
                    <w:rPr>
                      <w:rFonts w:ascii="Cambria Math" w:hAnsi="Cambria Math"/>
                      <w:i/>
                    </w:rPr>
                  </m:ctrlPr>
                </m:sSubPr>
                <m:e>
                  <m:r>
                    <w:rPr>
                      <w:rFonts w:ascii="Cambria Math" w:hAnsi="Cambria Math"/>
                    </w:rPr>
                    <m:t>t</m:t>
                  </m:r>
                </m:e>
                <m:sub>
                  <m:r>
                    <w:rPr>
                      <w:rFonts w:ascii="Cambria Math" w:hAnsi="Cambria Math"/>
                    </w:rPr>
                    <m:t>exp</m:t>
                  </m:r>
                </m:sub>
              </m:sSub>
              <m:sSub>
                <m:sSubPr>
                  <m:ctrlPr>
                    <w:rPr>
                      <w:rFonts w:ascii="Cambria Math" w:hAnsi="Cambria Math"/>
                      <w:i/>
                    </w:rPr>
                  </m:ctrlPr>
                </m:sSubPr>
                <m:e>
                  <m:r>
                    <w:rPr>
                      <w:rFonts w:ascii="Cambria Math" w:hAnsi="Cambria Math"/>
                    </w:rPr>
                    <m:t>A</m:t>
                  </m:r>
                </m:e>
                <m:sub>
                  <m:r>
                    <w:rPr>
                      <w:rFonts w:ascii="Cambria Math" w:hAnsi="Cambria Math"/>
                    </w:rPr>
                    <m:t>eff</m:t>
                  </m:r>
                </m:sub>
              </m:sSub>
            </m:den>
          </m:f>
        </m:oMath>
      </m:oMathPara>
    </w:p>
    <w:p w14:paraId="71536C16" w14:textId="77777777" w:rsidR="00D40798" w:rsidRDefault="00D40798" w:rsidP="00FD1D55"/>
    <w:p w14:paraId="12E88D99" w14:textId="77777777" w:rsidR="00854E3F" w:rsidRDefault="00854E3F" w:rsidP="00FD1D55"/>
    <w:p w14:paraId="55EF7D29" w14:textId="28B7617B" w:rsidR="007D1A5F" w:rsidRDefault="00E3249E" w:rsidP="00FD1D55">
      <w:r>
        <w:t>Les valeurs des points du spectre est donné dans le tableau suivant.</w:t>
      </w:r>
      <w:r w:rsidR="00A80011">
        <w:t xml:space="preserve"> Les erreurs sont calculées en prenant l’hypothèse que seule l’énergie est connue avec imprécision.</w:t>
      </w:r>
      <w:r w:rsidR="00B37428">
        <w:t xml:space="preserve"> La formule de calcul des erreurs est la suivante :</w:t>
      </w:r>
    </w:p>
    <w:p w14:paraId="1E23629C" w14:textId="32994DC0" w:rsidR="00B37428" w:rsidRPr="000E5AF1" w:rsidRDefault="00040F28" w:rsidP="00FD1D55">
      <w:pPr>
        <w:rPr>
          <w:rFonts w:eastAsiaTheme="minorEastAsia"/>
        </w:rPr>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moy</m:t>
                  </m:r>
                </m:sub>
              </m:sSub>
            </m:num>
            <m:den>
              <m:sSub>
                <m:sSubPr>
                  <m:ctrlPr>
                    <w:rPr>
                      <w:rFonts w:ascii="Cambria Math" w:hAnsi="Cambria Math"/>
                      <w:i/>
                    </w:rPr>
                  </m:ctrlPr>
                </m:sSubPr>
                <m:e>
                  <m:r>
                    <w:rPr>
                      <w:rFonts w:ascii="Cambria Math" w:hAnsi="Cambria Math"/>
                    </w:rPr>
                    <m:t>E</m:t>
                  </m:r>
                </m:e>
                <m:sub>
                  <m:r>
                    <w:rPr>
                      <w:rFonts w:ascii="Cambria Math" w:hAnsi="Cambria Math"/>
                    </w:rPr>
                    <m:t>moy</m:t>
                  </m:r>
                </m:sub>
              </m:sSub>
            </m:den>
          </m:f>
        </m:oMath>
      </m:oMathPara>
    </w:p>
    <w:p w14:paraId="0C402225" w14:textId="77777777" w:rsidR="000E5AF1" w:rsidRDefault="000E5AF1" w:rsidP="00FD1D55"/>
    <w:p w14:paraId="6B83965D" w14:textId="77777777" w:rsidR="00DE39C4" w:rsidRDefault="00DE39C4" w:rsidP="00FD1D55"/>
    <w:p w14:paraId="3D9FC945" w14:textId="24BBC129" w:rsidR="00E3249E" w:rsidRDefault="00BA54C0" w:rsidP="00BA54C0">
      <w:pPr>
        <w:outlineLvl w:val="0"/>
      </w:pPr>
      <w:r>
        <w:t>Cen-A</w:t>
      </w:r>
    </w:p>
    <w:p w14:paraId="3DD80EC7" w14:textId="77777777" w:rsidR="00BA54C0" w:rsidRDefault="00BA54C0" w:rsidP="00E3249E"/>
    <w:tbl>
      <w:tblPr>
        <w:tblStyle w:val="Grilledutableau"/>
        <w:tblW w:w="0" w:type="auto"/>
        <w:tblLook w:val="04A0" w:firstRow="1" w:lastRow="0" w:firstColumn="1" w:lastColumn="0" w:noHBand="0" w:noVBand="1"/>
      </w:tblPr>
      <w:tblGrid>
        <w:gridCol w:w="3114"/>
        <w:gridCol w:w="3103"/>
        <w:gridCol w:w="2839"/>
      </w:tblGrid>
      <w:tr w:rsidR="00A80011" w14:paraId="2EA2EDDF" w14:textId="2176D191" w:rsidTr="00A80011">
        <w:tc>
          <w:tcPr>
            <w:tcW w:w="3114" w:type="dxa"/>
            <w:shd w:val="clear" w:color="auto" w:fill="92D050"/>
          </w:tcPr>
          <w:p w14:paraId="35F92F2A" w14:textId="0C80ADA2" w:rsidR="00A80011" w:rsidRDefault="00A80011" w:rsidP="00DF6DB4">
            <w:pPr>
              <w:jc w:val="center"/>
            </w:pPr>
            <w:r>
              <w:t>Bin en énergie [</w:t>
            </w:r>
            <w:proofErr w:type="spellStart"/>
            <w:r>
              <w:t>TeV</w:t>
            </w:r>
            <w:proofErr w:type="spellEnd"/>
            <w:r>
              <w:t>]</w:t>
            </w:r>
          </w:p>
        </w:tc>
        <w:tc>
          <w:tcPr>
            <w:tcW w:w="3103" w:type="dxa"/>
            <w:shd w:val="clear" w:color="auto" w:fill="92D050"/>
          </w:tcPr>
          <w:p w14:paraId="33932298" w14:textId="68C3E9A0" w:rsidR="00A80011" w:rsidRDefault="00A80011" w:rsidP="00DF6DB4">
            <w:pPr>
              <w:jc w:val="center"/>
            </w:pPr>
            <w:r>
              <w:t>Point de spectre [</w:t>
            </w:r>
            <w:r w:rsidR="002809DA">
              <w:t xml:space="preserve">erg </w:t>
            </w:r>
            <w:r>
              <w:t>cm^-2 s^-1]</w:t>
            </w:r>
          </w:p>
        </w:tc>
        <w:tc>
          <w:tcPr>
            <w:tcW w:w="2839" w:type="dxa"/>
            <w:shd w:val="clear" w:color="auto" w:fill="92D050"/>
          </w:tcPr>
          <w:p w14:paraId="665263C4" w14:textId="120D5D0C" w:rsidR="00A80011" w:rsidRDefault="00A80011" w:rsidP="00DF6DB4">
            <w:pPr>
              <w:jc w:val="center"/>
            </w:pPr>
            <w:r>
              <w:t>Erreur [</w:t>
            </w:r>
            <w:r w:rsidR="002809DA">
              <w:t xml:space="preserve">erg </w:t>
            </w:r>
            <w:r>
              <w:t>cm^-2 s^-1]</w:t>
            </w:r>
          </w:p>
        </w:tc>
      </w:tr>
      <w:tr w:rsidR="00A80011" w14:paraId="7065B734" w14:textId="01CA49F9" w:rsidTr="00595A0D">
        <w:trPr>
          <w:trHeight w:val="306"/>
        </w:trPr>
        <w:tc>
          <w:tcPr>
            <w:tcW w:w="3114" w:type="dxa"/>
          </w:tcPr>
          <w:p w14:paraId="3B8C56E2" w14:textId="01E99F6C" w:rsidR="00A80011" w:rsidRDefault="00A80011" w:rsidP="007D1B1C">
            <w:pPr>
              <w:jc w:val="center"/>
            </w:pPr>
            <w:r>
              <w:t>0.1615</w:t>
            </w:r>
          </w:p>
        </w:tc>
        <w:tc>
          <w:tcPr>
            <w:tcW w:w="3103" w:type="dxa"/>
          </w:tcPr>
          <w:p w14:paraId="11EDF1E6" w14:textId="311AED61" w:rsidR="00A80011" w:rsidRDefault="00B37428" w:rsidP="007D1B1C">
            <w:pPr>
              <w:jc w:val="center"/>
            </w:pPr>
            <w:r>
              <w:t>7.77</w:t>
            </w:r>
            <w:r w:rsidR="00AD009B">
              <w:t xml:space="preserve"> x 10</w:t>
            </w:r>
            <w:r w:rsidR="005936DC" w:rsidRPr="00AD009B">
              <w:rPr>
                <w:vertAlign w:val="superscript"/>
              </w:rPr>
              <w:t>-12</w:t>
            </w:r>
          </w:p>
        </w:tc>
        <w:tc>
          <w:tcPr>
            <w:tcW w:w="2839" w:type="dxa"/>
          </w:tcPr>
          <w:p w14:paraId="48847AEC" w14:textId="376D0E24" w:rsidR="00A80011" w:rsidRDefault="00AD009B" w:rsidP="007D1B1C">
            <w:pPr>
              <w:jc w:val="center"/>
            </w:pPr>
            <w:r>
              <w:t>5 x 10</w:t>
            </w:r>
            <w:r w:rsidR="00A855B7" w:rsidRPr="00AD009B">
              <w:rPr>
                <w:vertAlign w:val="superscript"/>
              </w:rPr>
              <w:t>-12</w:t>
            </w:r>
          </w:p>
        </w:tc>
      </w:tr>
      <w:tr w:rsidR="00A80011" w14:paraId="23B67B73" w14:textId="1D6C82AF" w:rsidTr="00595A0D">
        <w:trPr>
          <w:trHeight w:val="320"/>
        </w:trPr>
        <w:tc>
          <w:tcPr>
            <w:tcW w:w="3114" w:type="dxa"/>
          </w:tcPr>
          <w:p w14:paraId="555FE147" w14:textId="7A9592FA" w:rsidR="00A80011" w:rsidRDefault="00A80011" w:rsidP="007D1B1C">
            <w:pPr>
              <w:jc w:val="center"/>
            </w:pPr>
            <w:r>
              <w:t>0.6115</w:t>
            </w:r>
          </w:p>
        </w:tc>
        <w:tc>
          <w:tcPr>
            <w:tcW w:w="3103" w:type="dxa"/>
          </w:tcPr>
          <w:p w14:paraId="5A5255E8" w14:textId="1FE0AE36" w:rsidR="00A80011" w:rsidRDefault="00B37428" w:rsidP="007D1B1C">
            <w:pPr>
              <w:jc w:val="center"/>
            </w:pPr>
            <w:r>
              <w:t>4</w:t>
            </w:r>
            <w:r w:rsidR="00595A0D">
              <w:t>.</w:t>
            </w:r>
            <w:r>
              <w:t>50</w:t>
            </w:r>
            <w:r w:rsidR="00AD009B">
              <w:t xml:space="preserve"> x 10</w:t>
            </w:r>
            <w:r w:rsidR="00595A0D" w:rsidRPr="00AD009B">
              <w:rPr>
                <w:vertAlign w:val="superscript"/>
              </w:rPr>
              <w:t>-12</w:t>
            </w:r>
          </w:p>
        </w:tc>
        <w:tc>
          <w:tcPr>
            <w:tcW w:w="2839" w:type="dxa"/>
          </w:tcPr>
          <w:p w14:paraId="66DE40F9" w14:textId="1DEE7693" w:rsidR="00A80011" w:rsidRDefault="00AD009B" w:rsidP="007D1B1C">
            <w:pPr>
              <w:jc w:val="center"/>
            </w:pPr>
            <w:r>
              <w:t>2.8 x 10-</w:t>
            </w:r>
            <w:r w:rsidR="00A855B7" w:rsidRPr="00AD009B">
              <w:rPr>
                <w:vertAlign w:val="superscript"/>
              </w:rPr>
              <w:t>12</w:t>
            </w:r>
          </w:p>
        </w:tc>
      </w:tr>
      <w:tr w:rsidR="00A80011" w14:paraId="6A438165" w14:textId="776F82A5" w:rsidTr="00A80011">
        <w:tc>
          <w:tcPr>
            <w:tcW w:w="3114" w:type="dxa"/>
          </w:tcPr>
          <w:p w14:paraId="09323E01" w14:textId="5734691F" w:rsidR="00A80011" w:rsidRDefault="00A80011" w:rsidP="007D1B1C">
            <w:pPr>
              <w:jc w:val="center"/>
            </w:pPr>
            <w:r>
              <w:t>2.735</w:t>
            </w:r>
          </w:p>
        </w:tc>
        <w:tc>
          <w:tcPr>
            <w:tcW w:w="3103" w:type="dxa"/>
          </w:tcPr>
          <w:p w14:paraId="6781666E" w14:textId="415F8A3C" w:rsidR="00A80011" w:rsidRDefault="00A855B7" w:rsidP="007D1B1C">
            <w:pPr>
              <w:jc w:val="center"/>
            </w:pPr>
            <w:r>
              <w:t>3.28</w:t>
            </w:r>
            <w:r w:rsidR="00AD009B">
              <w:t xml:space="preserve"> x 10</w:t>
            </w:r>
            <w:r w:rsidR="00595A0D" w:rsidRPr="00AD009B">
              <w:rPr>
                <w:vertAlign w:val="superscript"/>
              </w:rPr>
              <w:t>-1</w:t>
            </w:r>
            <w:r w:rsidR="00B37428" w:rsidRPr="00AD009B">
              <w:rPr>
                <w:vertAlign w:val="superscript"/>
              </w:rPr>
              <w:t>2</w:t>
            </w:r>
          </w:p>
        </w:tc>
        <w:tc>
          <w:tcPr>
            <w:tcW w:w="2839" w:type="dxa"/>
          </w:tcPr>
          <w:p w14:paraId="0BF3ED41" w14:textId="465362A1" w:rsidR="00A80011" w:rsidRDefault="00AD009B" w:rsidP="007D1B1C">
            <w:pPr>
              <w:jc w:val="center"/>
            </w:pPr>
            <w:r>
              <w:t>6.77 x 10</w:t>
            </w:r>
            <w:r w:rsidR="00D16D65" w:rsidRPr="00AD009B">
              <w:rPr>
                <w:vertAlign w:val="superscript"/>
              </w:rPr>
              <w:t>-12</w:t>
            </w:r>
          </w:p>
        </w:tc>
      </w:tr>
      <w:tr w:rsidR="00A80011" w14:paraId="042D16B3" w14:textId="27E18D17" w:rsidTr="00A80011">
        <w:tc>
          <w:tcPr>
            <w:tcW w:w="3114" w:type="dxa"/>
          </w:tcPr>
          <w:p w14:paraId="3AC7EE10" w14:textId="10B1B530" w:rsidR="00A80011" w:rsidRDefault="00A80011" w:rsidP="007D1B1C">
            <w:pPr>
              <w:jc w:val="center"/>
            </w:pPr>
            <w:r>
              <w:t>12.2</w:t>
            </w:r>
          </w:p>
        </w:tc>
        <w:tc>
          <w:tcPr>
            <w:tcW w:w="3103" w:type="dxa"/>
          </w:tcPr>
          <w:p w14:paraId="2304A4A5" w14:textId="5C321ACE" w:rsidR="00A80011" w:rsidRDefault="00B37428" w:rsidP="007D1B1C">
            <w:pPr>
              <w:jc w:val="center"/>
            </w:pPr>
            <w:r>
              <w:t>0</w:t>
            </w:r>
          </w:p>
        </w:tc>
        <w:tc>
          <w:tcPr>
            <w:tcW w:w="2839" w:type="dxa"/>
          </w:tcPr>
          <w:p w14:paraId="12EE60DB" w14:textId="70E64C90" w:rsidR="00A80011" w:rsidRDefault="00A855B7" w:rsidP="007D1B1C">
            <w:pPr>
              <w:jc w:val="center"/>
            </w:pPr>
            <w:r>
              <w:t>-</w:t>
            </w:r>
          </w:p>
        </w:tc>
      </w:tr>
    </w:tbl>
    <w:p w14:paraId="73014224" w14:textId="53FFB35A" w:rsidR="007D1B1C" w:rsidRDefault="007D1B1C" w:rsidP="00BA54C0">
      <w:pPr>
        <w:jc w:val="center"/>
      </w:pPr>
      <w:r>
        <w:t>Tableau 2 : Points de flux calculés</w:t>
      </w:r>
      <w:r w:rsidR="00BA54C0">
        <w:t xml:space="preserve"> pour Cen-A</w:t>
      </w:r>
    </w:p>
    <w:p w14:paraId="3B80B72B" w14:textId="77777777" w:rsidR="00BA54C0" w:rsidRDefault="00BA54C0" w:rsidP="00BA54C0">
      <w:pPr>
        <w:jc w:val="center"/>
      </w:pPr>
    </w:p>
    <w:p w14:paraId="5A4D12AB" w14:textId="77777777" w:rsidR="00DE39C4" w:rsidRDefault="00DE39C4" w:rsidP="00DE39C4"/>
    <w:p w14:paraId="59D20A41" w14:textId="6AF0DDDB" w:rsidR="00DE39C4" w:rsidRDefault="00DE39C4" w:rsidP="00BA54C0">
      <w:pPr>
        <w:outlineLvl w:val="0"/>
      </w:pPr>
      <w:r>
        <w:t>Source 2</w:t>
      </w:r>
    </w:p>
    <w:p w14:paraId="69E03B2C" w14:textId="77777777" w:rsidR="00DE39C4" w:rsidRDefault="00DE39C4" w:rsidP="00DE39C4"/>
    <w:tbl>
      <w:tblPr>
        <w:tblStyle w:val="Grilledutableau"/>
        <w:tblW w:w="0" w:type="auto"/>
        <w:tblLook w:val="04A0" w:firstRow="1" w:lastRow="0" w:firstColumn="1" w:lastColumn="0" w:noHBand="0" w:noVBand="1"/>
      </w:tblPr>
      <w:tblGrid>
        <w:gridCol w:w="3114"/>
        <w:gridCol w:w="3103"/>
        <w:gridCol w:w="2839"/>
      </w:tblGrid>
      <w:tr w:rsidR="00A80011" w14:paraId="2AE82F88" w14:textId="1E3D3AD2" w:rsidTr="00A80011">
        <w:tc>
          <w:tcPr>
            <w:tcW w:w="3114" w:type="dxa"/>
            <w:shd w:val="clear" w:color="auto" w:fill="92D050"/>
          </w:tcPr>
          <w:p w14:paraId="5A4B05D6" w14:textId="77777777" w:rsidR="00A80011" w:rsidRDefault="00A80011" w:rsidP="00DF6DB4">
            <w:pPr>
              <w:jc w:val="center"/>
            </w:pPr>
            <w:r>
              <w:t>Bin en énergie [</w:t>
            </w:r>
            <w:proofErr w:type="spellStart"/>
            <w:r>
              <w:t>TeV</w:t>
            </w:r>
            <w:proofErr w:type="spellEnd"/>
            <w:r>
              <w:t>]</w:t>
            </w:r>
          </w:p>
        </w:tc>
        <w:tc>
          <w:tcPr>
            <w:tcW w:w="3103" w:type="dxa"/>
            <w:shd w:val="clear" w:color="auto" w:fill="92D050"/>
          </w:tcPr>
          <w:p w14:paraId="0B2BD071" w14:textId="3EE69A62" w:rsidR="00A80011" w:rsidRDefault="00A80011" w:rsidP="00DF6DB4">
            <w:pPr>
              <w:jc w:val="center"/>
            </w:pPr>
            <w:r>
              <w:t>Point de spectre [</w:t>
            </w:r>
            <w:r w:rsidR="002809DA">
              <w:t xml:space="preserve">erg </w:t>
            </w:r>
            <w:r>
              <w:t>cm^-2 s^-1]</w:t>
            </w:r>
          </w:p>
        </w:tc>
        <w:tc>
          <w:tcPr>
            <w:tcW w:w="2839" w:type="dxa"/>
            <w:shd w:val="clear" w:color="auto" w:fill="92D050"/>
          </w:tcPr>
          <w:p w14:paraId="2E065F09" w14:textId="03BFA7ED" w:rsidR="00A80011" w:rsidRDefault="00A80011" w:rsidP="00DF6DB4">
            <w:pPr>
              <w:jc w:val="center"/>
            </w:pPr>
            <w:r>
              <w:t>Erreur [</w:t>
            </w:r>
            <w:r w:rsidR="002809DA">
              <w:t xml:space="preserve">erg </w:t>
            </w:r>
            <w:r>
              <w:t>cm^-2 s^-1]</w:t>
            </w:r>
          </w:p>
        </w:tc>
      </w:tr>
      <w:tr w:rsidR="00A80011" w14:paraId="09882821" w14:textId="4578A074" w:rsidTr="00A80011">
        <w:tc>
          <w:tcPr>
            <w:tcW w:w="3114" w:type="dxa"/>
          </w:tcPr>
          <w:p w14:paraId="28743BE4" w14:textId="77777777" w:rsidR="00A80011" w:rsidRDefault="00A80011" w:rsidP="00DF6DB4">
            <w:pPr>
              <w:jc w:val="center"/>
            </w:pPr>
            <w:r>
              <w:t>0.1615</w:t>
            </w:r>
          </w:p>
        </w:tc>
        <w:tc>
          <w:tcPr>
            <w:tcW w:w="3103" w:type="dxa"/>
          </w:tcPr>
          <w:p w14:paraId="0E2A583F" w14:textId="2E98D848" w:rsidR="00A80011" w:rsidRDefault="00AD009B" w:rsidP="00DF6DB4">
            <w:pPr>
              <w:jc w:val="center"/>
            </w:pPr>
            <w:r>
              <w:t>3.00 x 10</w:t>
            </w:r>
            <w:r w:rsidRPr="00AD009B">
              <w:rPr>
                <w:vertAlign w:val="superscript"/>
              </w:rPr>
              <w:t>-</w:t>
            </w:r>
            <w:r w:rsidR="00CE50B6" w:rsidRPr="00AD009B">
              <w:rPr>
                <w:vertAlign w:val="superscript"/>
              </w:rPr>
              <w:t>12</w:t>
            </w:r>
          </w:p>
        </w:tc>
        <w:tc>
          <w:tcPr>
            <w:tcW w:w="2839" w:type="dxa"/>
          </w:tcPr>
          <w:p w14:paraId="3FB06738" w14:textId="4FCBC6D7" w:rsidR="00A80011" w:rsidRDefault="00AD009B" w:rsidP="00DF6DB4">
            <w:pPr>
              <w:jc w:val="center"/>
            </w:pPr>
            <w:r>
              <w:t>2.14 x 10</w:t>
            </w:r>
            <w:r w:rsidR="00BB1D55" w:rsidRPr="00AD009B">
              <w:rPr>
                <w:vertAlign w:val="superscript"/>
              </w:rPr>
              <w:t>-12</w:t>
            </w:r>
          </w:p>
        </w:tc>
      </w:tr>
      <w:tr w:rsidR="00A80011" w14:paraId="1E72A141" w14:textId="6D74AA74" w:rsidTr="00A80011">
        <w:tc>
          <w:tcPr>
            <w:tcW w:w="3114" w:type="dxa"/>
          </w:tcPr>
          <w:p w14:paraId="47783927" w14:textId="77777777" w:rsidR="00A80011" w:rsidRDefault="00A80011" w:rsidP="00DF6DB4">
            <w:pPr>
              <w:jc w:val="center"/>
            </w:pPr>
            <w:r>
              <w:t>0.6115</w:t>
            </w:r>
          </w:p>
        </w:tc>
        <w:tc>
          <w:tcPr>
            <w:tcW w:w="3103" w:type="dxa"/>
          </w:tcPr>
          <w:p w14:paraId="6A356BBA" w14:textId="0B15D012" w:rsidR="00A80011" w:rsidRDefault="00AD009B" w:rsidP="00DF6DB4">
            <w:pPr>
              <w:jc w:val="center"/>
            </w:pPr>
            <w:r>
              <w:t>2.2 x 10</w:t>
            </w:r>
            <w:r w:rsidR="00CE50B6" w:rsidRPr="00AD009B">
              <w:rPr>
                <w:vertAlign w:val="superscript"/>
              </w:rPr>
              <w:t>-12</w:t>
            </w:r>
          </w:p>
        </w:tc>
        <w:tc>
          <w:tcPr>
            <w:tcW w:w="2839" w:type="dxa"/>
          </w:tcPr>
          <w:p w14:paraId="2FBC1F8D" w14:textId="7CC9FE04" w:rsidR="00A80011" w:rsidRDefault="00AD009B" w:rsidP="00DF6DB4">
            <w:pPr>
              <w:jc w:val="center"/>
            </w:pPr>
            <w:r>
              <w:t>1.47 x 10</w:t>
            </w:r>
            <w:r w:rsidR="00BB1D55" w:rsidRPr="00AD009B">
              <w:rPr>
                <w:vertAlign w:val="superscript"/>
              </w:rPr>
              <w:t>-12</w:t>
            </w:r>
          </w:p>
        </w:tc>
      </w:tr>
      <w:tr w:rsidR="00A80011" w14:paraId="05343595" w14:textId="5F131DFE" w:rsidTr="00A80011">
        <w:tc>
          <w:tcPr>
            <w:tcW w:w="3114" w:type="dxa"/>
          </w:tcPr>
          <w:p w14:paraId="2EA0F68F" w14:textId="77777777" w:rsidR="00A80011" w:rsidRDefault="00A80011" w:rsidP="00DF6DB4">
            <w:pPr>
              <w:jc w:val="center"/>
            </w:pPr>
            <w:r>
              <w:t>2.735</w:t>
            </w:r>
          </w:p>
        </w:tc>
        <w:tc>
          <w:tcPr>
            <w:tcW w:w="3103" w:type="dxa"/>
          </w:tcPr>
          <w:p w14:paraId="701F8B69" w14:textId="37518AF0" w:rsidR="00A80011" w:rsidRDefault="00AD009B" w:rsidP="00DF6DB4">
            <w:pPr>
              <w:jc w:val="center"/>
            </w:pPr>
            <w:r>
              <w:t>1.19 x 10</w:t>
            </w:r>
            <w:r w:rsidR="00CE50B6" w:rsidRPr="00AD009B">
              <w:rPr>
                <w:vertAlign w:val="superscript"/>
              </w:rPr>
              <w:t>-12</w:t>
            </w:r>
          </w:p>
        </w:tc>
        <w:tc>
          <w:tcPr>
            <w:tcW w:w="2839" w:type="dxa"/>
          </w:tcPr>
          <w:p w14:paraId="7B7274D5" w14:textId="0E0B22E4" w:rsidR="00A80011" w:rsidRDefault="00AD009B" w:rsidP="00DF6DB4">
            <w:pPr>
              <w:jc w:val="center"/>
            </w:pPr>
            <w:r>
              <w:t>8.05 x 10</w:t>
            </w:r>
            <w:r w:rsidR="00BB1D55" w:rsidRPr="00AD009B">
              <w:rPr>
                <w:vertAlign w:val="superscript"/>
              </w:rPr>
              <w:t>-13</w:t>
            </w:r>
          </w:p>
        </w:tc>
      </w:tr>
      <w:tr w:rsidR="00A80011" w14:paraId="3383A082" w14:textId="70F90E3B" w:rsidTr="00A80011">
        <w:tc>
          <w:tcPr>
            <w:tcW w:w="3114" w:type="dxa"/>
          </w:tcPr>
          <w:p w14:paraId="3EF8411D" w14:textId="77777777" w:rsidR="00A80011" w:rsidRDefault="00A80011" w:rsidP="00DF6DB4">
            <w:pPr>
              <w:jc w:val="center"/>
            </w:pPr>
            <w:r>
              <w:t>12.2</w:t>
            </w:r>
          </w:p>
        </w:tc>
        <w:tc>
          <w:tcPr>
            <w:tcW w:w="3103" w:type="dxa"/>
          </w:tcPr>
          <w:p w14:paraId="54E6C0E9" w14:textId="093B44FA" w:rsidR="00A80011" w:rsidRDefault="00B37428" w:rsidP="00DF6DB4">
            <w:pPr>
              <w:jc w:val="center"/>
            </w:pPr>
            <w:r>
              <w:t>0</w:t>
            </w:r>
          </w:p>
        </w:tc>
        <w:tc>
          <w:tcPr>
            <w:tcW w:w="2839" w:type="dxa"/>
          </w:tcPr>
          <w:p w14:paraId="1DA3DB35" w14:textId="605C9D41" w:rsidR="00A80011" w:rsidRDefault="00BB1D55" w:rsidP="00DF6DB4">
            <w:pPr>
              <w:jc w:val="center"/>
            </w:pPr>
            <w:r>
              <w:t>-</w:t>
            </w:r>
          </w:p>
        </w:tc>
      </w:tr>
    </w:tbl>
    <w:p w14:paraId="5BB16A59" w14:textId="71166AE2" w:rsidR="00DE39C4" w:rsidRDefault="00DE39C4" w:rsidP="00DE39C4">
      <w:pPr>
        <w:jc w:val="center"/>
      </w:pPr>
      <w:r>
        <w:t>Tableau 2 : Points de flux calculés pour la source 2</w:t>
      </w:r>
    </w:p>
    <w:p w14:paraId="60DD7255" w14:textId="77777777" w:rsidR="00DE39C4" w:rsidRDefault="00DE39C4" w:rsidP="00DE39C4"/>
    <w:p w14:paraId="2A780B0F" w14:textId="77777777" w:rsidR="00DE39C4" w:rsidRDefault="00DE39C4" w:rsidP="00DE39C4"/>
    <w:p w14:paraId="5A77D1F5" w14:textId="1FCB113A" w:rsidR="00E3249E" w:rsidRDefault="00E3249E" w:rsidP="00BA54C0">
      <w:pPr>
        <w:outlineLvl w:val="0"/>
      </w:pPr>
      <w:r>
        <w:t>Comme attendu la valeur de ces points diminue lorsque l’énergie augmente.</w:t>
      </w:r>
    </w:p>
    <w:p w14:paraId="40E49667" w14:textId="77777777" w:rsidR="00677668" w:rsidRDefault="00677668" w:rsidP="00FD1D55"/>
    <w:p w14:paraId="497F43B6" w14:textId="77777777" w:rsidR="006E71FE" w:rsidRPr="00FD6C21" w:rsidRDefault="006E71FE" w:rsidP="006E71FE"/>
    <w:p w14:paraId="12967421" w14:textId="77777777" w:rsidR="006E71FE" w:rsidRPr="00FD6C21" w:rsidRDefault="006E71FE" w:rsidP="006E71FE"/>
    <w:p w14:paraId="400E8414" w14:textId="77777777" w:rsidR="006E71FE" w:rsidRDefault="006E71FE" w:rsidP="00BA54C0">
      <w:pPr>
        <w:outlineLvl w:val="0"/>
      </w:pPr>
      <w:r>
        <w:t>Le script de calcul des points de la courbe de lumière donne le spectre suivant.</w:t>
      </w:r>
    </w:p>
    <w:p w14:paraId="0FE7860E" w14:textId="29F88B07" w:rsidR="006E71FE" w:rsidRDefault="006E71FE" w:rsidP="00FD1D55"/>
    <w:p w14:paraId="0129E075" w14:textId="1F766834" w:rsidR="006A14AA" w:rsidRDefault="006A14AA" w:rsidP="00BA54C0">
      <w:pPr>
        <w:outlineLvl w:val="0"/>
      </w:pPr>
      <w:r>
        <w:t xml:space="preserve">Spectre de </w:t>
      </w:r>
      <w:r w:rsidR="00BA54C0">
        <w:t>Cen-A</w:t>
      </w:r>
    </w:p>
    <w:p w14:paraId="1C6AB820" w14:textId="77777777" w:rsidR="00677668" w:rsidRDefault="00677668" w:rsidP="00FD1D55"/>
    <w:p w14:paraId="538DD675" w14:textId="17A47E6F" w:rsidR="00E26AF9" w:rsidRDefault="00BB30A2" w:rsidP="00E26AF9">
      <w:pPr>
        <w:jc w:val="center"/>
      </w:pPr>
      <w:r>
        <w:rPr>
          <w:noProof/>
        </w:rPr>
        <w:drawing>
          <wp:inline distT="0" distB="0" distL="0" distR="0" wp14:anchorId="13EEF14E" wp14:editId="2C5BD399">
            <wp:extent cx="3792291" cy="2502809"/>
            <wp:effectExtent l="0" t="0" r="0" b="12065"/>
            <wp:docPr id="33" name="Image 33" descr="../../../Desktop/Capture%20d’écran%202019-03-22%20à%2012.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Capture%20d’écran%202019-03-22%20à%2012.54.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130" cy="2514582"/>
                    </a:xfrm>
                    <a:prstGeom prst="rect">
                      <a:avLst/>
                    </a:prstGeom>
                    <a:noFill/>
                    <a:ln>
                      <a:noFill/>
                    </a:ln>
                  </pic:spPr>
                </pic:pic>
              </a:graphicData>
            </a:graphic>
          </wp:inline>
        </w:drawing>
      </w:r>
      <w:r w:rsidR="00BA54C0">
        <w:br/>
        <w:t>Figure 4 : Spectre de Cen-A</w:t>
      </w:r>
    </w:p>
    <w:p w14:paraId="2DDE2262" w14:textId="14061D04" w:rsidR="006A14AA" w:rsidRDefault="006A14AA" w:rsidP="00E26AF9">
      <w:pPr>
        <w:jc w:val="center"/>
      </w:pPr>
    </w:p>
    <w:p w14:paraId="3DD9C565" w14:textId="5B846408" w:rsidR="006A14AA" w:rsidRDefault="00BB30A2" w:rsidP="00E26AF9">
      <w:pPr>
        <w:jc w:val="center"/>
      </w:pPr>
      <w:r>
        <w:rPr>
          <w:noProof/>
        </w:rPr>
        <w:drawing>
          <wp:inline distT="0" distB="0" distL="0" distR="0" wp14:anchorId="00FE6060" wp14:editId="71E2794F">
            <wp:extent cx="4077335" cy="2573655"/>
            <wp:effectExtent l="0" t="0" r="12065" b="0"/>
            <wp:docPr id="34" name="Image 34" descr="../../../Desktop/Capture%20d’écran%202019-03-22%20à%2012.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Capture%20d’écran%202019-03-22%20à%2012.55.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424" cy="2603378"/>
                    </a:xfrm>
                    <a:prstGeom prst="rect">
                      <a:avLst/>
                    </a:prstGeom>
                    <a:noFill/>
                    <a:ln>
                      <a:noFill/>
                    </a:ln>
                  </pic:spPr>
                </pic:pic>
              </a:graphicData>
            </a:graphic>
          </wp:inline>
        </w:drawing>
      </w:r>
    </w:p>
    <w:p w14:paraId="7CDA08BB" w14:textId="1C932ED6" w:rsidR="00E26AF9" w:rsidRDefault="00E26AF9" w:rsidP="00BA54C0">
      <w:pPr>
        <w:jc w:val="center"/>
        <w:outlineLvl w:val="0"/>
      </w:pPr>
      <w:r>
        <w:t>Figure </w:t>
      </w:r>
      <w:r w:rsidR="00BA54C0">
        <w:t xml:space="preserve">5 </w:t>
      </w:r>
      <w:r>
        <w:t>: Spectre de la source 2</w:t>
      </w:r>
    </w:p>
    <w:p w14:paraId="09A873AE" w14:textId="4234C0EC" w:rsidR="00E26AF9" w:rsidRDefault="00E26AF9" w:rsidP="00E26AF9">
      <w:pPr>
        <w:jc w:val="center"/>
      </w:pPr>
    </w:p>
    <w:p w14:paraId="7B05CE7C" w14:textId="77777777" w:rsidR="0027300F" w:rsidRDefault="0027300F" w:rsidP="00FD1D55"/>
    <w:p w14:paraId="28CF6209" w14:textId="088C9FB3" w:rsidR="0027300F" w:rsidRDefault="0027300F" w:rsidP="00FD1D55">
      <w:r>
        <w:t xml:space="preserve">Les valeurs de la </w:t>
      </w:r>
      <w:r w:rsidR="00BA54C0">
        <w:t>Cen-A</w:t>
      </w:r>
      <w:r>
        <w:t xml:space="preserve"> sont à peu près en accord aux erreurs de comptages près.</w:t>
      </w:r>
    </w:p>
    <w:p w14:paraId="36F0B7D4" w14:textId="3679561E" w:rsidR="0027300F" w:rsidRDefault="0027300F" w:rsidP="00FD1D55">
      <w:r>
        <w:t>Dans le cas de la source 2, la situation est plus compliquée. L’acceptance dans la caméra diminue lorsque l’on s’éloigne du centre de la caméra. Les valeurs prises sont donc fausses et doivent être en réalité plus petites.</w:t>
      </w:r>
      <w:r w:rsidR="00E26AF9">
        <w:t xml:space="preserve"> De plus le dernier point est présent alors qu’il est impossible de calcul à la main.</w:t>
      </w:r>
    </w:p>
    <w:p w14:paraId="4C1B876C" w14:textId="77777777" w:rsidR="00FE2AD8" w:rsidRDefault="00FE2AD8" w:rsidP="00FD1D55"/>
    <w:p w14:paraId="3C15B035" w14:textId="77777777" w:rsidR="00FD6C21" w:rsidRDefault="00FD6C21" w:rsidP="00BA54C0">
      <w:pPr>
        <w:outlineLvl w:val="0"/>
      </w:pPr>
      <w:r>
        <w:t>Un ajustement par une loi de puissance d’équation</w:t>
      </w:r>
    </w:p>
    <w:p w14:paraId="2715AFEE" w14:textId="77777777" w:rsidR="00FD6C21" w:rsidRDefault="00FD6C21" w:rsidP="00FD6C21">
      <w:pPr>
        <w:jc w:val="center"/>
      </w:pPr>
      <m:oMathPara>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E</m:t>
              </m:r>
            </m:e>
          </m:d>
          <m:r>
            <m:rPr>
              <m:sty m:val="bi"/>
            </m:rPr>
            <w:rPr>
              <w:rFonts w:ascii="Cambria Math" w:eastAsiaTheme="minorEastAsia" w:hAnsi="Cambria Math"/>
            </w:rPr>
            <m:t xml:space="preserve">= </m:t>
          </m:r>
          <m:sSup>
            <m:sSupPr>
              <m:ctrlPr>
                <w:rPr>
                  <w:rFonts w:ascii="Cambria Math" w:eastAsiaTheme="minorEastAsia" w:hAnsi="Cambria Math"/>
                  <w:b/>
                  <w:i/>
                </w:rPr>
              </m:ctrlPr>
            </m:sSupPr>
            <m:e>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E</m:t>
                      </m:r>
                    </m:num>
                    <m:den>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0</m:t>
                          </m:r>
                        </m:sub>
                      </m:sSub>
                    </m:den>
                  </m:f>
                </m:e>
              </m:d>
            </m:e>
            <m:sup>
              <m:r>
                <m:rPr>
                  <m:sty m:val="bi"/>
                </m:rPr>
                <w:rPr>
                  <w:rFonts w:ascii="Cambria Math" w:eastAsiaTheme="minorEastAsia" w:hAnsi="Cambria Math"/>
                </w:rPr>
                <m:t>- g</m:t>
              </m:r>
            </m:sup>
          </m:sSup>
        </m:oMath>
      </m:oMathPara>
    </w:p>
    <w:p w14:paraId="060B0CAA" w14:textId="77777777" w:rsidR="00FD6C21" w:rsidRDefault="00FD6C21" w:rsidP="00FD6C21"/>
    <w:p w14:paraId="70F18902" w14:textId="7CBD5149" w:rsidR="00FD6C21" w:rsidRPr="00252976" w:rsidRDefault="00FD6C21" w:rsidP="00FD6C21">
      <w:proofErr w:type="gramStart"/>
      <w:r>
        <w:t>donne</w:t>
      </w:r>
      <w:proofErr w:type="gramEnd"/>
      <w:r>
        <w:t xml:space="preserve"> un indice g = </w:t>
      </w:r>
      <w:r>
        <w:rPr>
          <w:rStyle w:val="s1"/>
        </w:rPr>
        <w:t>0.65</w:t>
      </w:r>
      <w:r>
        <w:t xml:space="preserve"> </w:t>
      </w:r>
      <w:r>
        <w:rPr>
          <w:rStyle w:val="s1"/>
        </w:rPr>
        <w:t xml:space="preserve">+- 0.016 </w:t>
      </w:r>
      <w:r>
        <w:t xml:space="preserve">et un </w:t>
      </w:r>
      <w:proofErr w:type="spellStart"/>
      <w:r>
        <w:t>préfacteur</w:t>
      </w:r>
      <w:proofErr w:type="spellEnd"/>
      <w:r>
        <w:t xml:space="preserve"> F</w:t>
      </w:r>
      <w:r w:rsidRPr="00FD6C21">
        <w:rPr>
          <w:vertAlign w:val="subscript"/>
        </w:rPr>
        <w:t>0</w:t>
      </w:r>
      <w:r>
        <w:t xml:space="preserve"> = </w:t>
      </w:r>
      <w:r w:rsidRPr="00252976">
        <w:rPr>
          <w:rStyle w:val="s1"/>
        </w:rPr>
        <w:t>2.55</w:t>
      </w:r>
      <w:r>
        <w:rPr>
          <w:rStyle w:val="s1"/>
        </w:rPr>
        <w:t>e</w:t>
      </w:r>
      <w:r w:rsidRPr="00252976">
        <w:rPr>
          <w:rStyle w:val="s1"/>
        </w:rPr>
        <w:t>-12+ -</w:t>
      </w:r>
      <w:r w:rsidRPr="00252976">
        <w:rPr>
          <w:rStyle w:val="apple-converted-space"/>
        </w:rPr>
        <w:t xml:space="preserve"> </w:t>
      </w:r>
      <w:r w:rsidRPr="00252976">
        <w:rPr>
          <w:rStyle w:val="s1"/>
        </w:rPr>
        <w:t>1.65</w:t>
      </w:r>
      <w:r>
        <w:rPr>
          <w:rStyle w:val="s1"/>
        </w:rPr>
        <w:t>e</w:t>
      </w:r>
      <w:r w:rsidR="00BA54C0">
        <w:rPr>
          <w:rStyle w:val="s1"/>
        </w:rPr>
        <w:t>-25 erg cm</w:t>
      </w:r>
      <w:r w:rsidR="00BA54C0" w:rsidRPr="00BA54C0">
        <w:rPr>
          <w:rStyle w:val="s1"/>
          <w:vertAlign w:val="superscript"/>
        </w:rPr>
        <w:t>-2</w:t>
      </w:r>
      <w:r w:rsidR="00BA54C0">
        <w:rPr>
          <w:rStyle w:val="s1"/>
        </w:rPr>
        <w:t xml:space="preserve"> s</w:t>
      </w:r>
      <w:r w:rsidRPr="00BA54C0">
        <w:rPr>
          <w:rStyle w:val="s1"/>
          <w:vertAlign w:val="superscript"/>
        </w:rPr>
        <w:t>-1</w:t>
      </w:r>
      <w:r w:rsidR="00BA54C0">
        <w:rPr>
          <w:rStyle w:val="s1"/>
        </w:rPr>
        <w:t xml:space="preserve"> pour Cen-A</w:t>
      </w:r>
      <w:r w:rsidR="005916C0">
        <w:rPr>
          <w:rStyle w:val="s1"/>
        </w:rPr>
        <w:t xml:space="preserve"> et </w:t>
      </w:r>
      <w:r w:rsidR="005916C0">
        <w:t xml:space="preserve">g = </w:t>
      </w:r>
      <w:r w:rsidR="005916C0">
        <w:rPr>
          <w:rStyle w:val="s1"/>
        </w:rPr>
        <w:t>1.32+- 0.058</w:t>
      </w:r>
      <w:r w:rsidR="00BA54C0">
        <w:rPr>
          <w:rStyle w:val="s1"/>
        </w:rPr>
        <w:t xml:space="preserve"> </w:t>
      </w:r>
      <w:r w:rsidR="005916C0">
        <w:t xml:space="preserve">et un </w:t>
      </w:r>
      <w:proofErr w:type="spellStart"/>
      <w:r w:rsidR="005916C0">
        <w:t>préfacteur</w:t>
      </w:r>
      <w:proofErr w:type="spellEnd"/>
      <w:r w:rsidR="005916C0">
        <w:t xml:space="preserve"> F</w:t>
      </w:r>
      <w:r w:rsidR="005916C0" w:rsidRPr="00FD6C21">
        <w:rPr>
          <w:vertAlign w:val="subscript"/>
        </w:rPr>
        <w:t>0</w:t>
      </w:r>
      <w:r w:rsidR="005916C0">
        <w:t xml:space="preserve"> = </w:t>
      </w:r>
      <w:r w:rsidR="005916C0">
        <w:rPr>
          <w:rStyle w:val="s1"/>
        </w:rPr>
        <w:t>2.64e</w:t>
      </w:r>
      <w:r w:rsidR="005916C0" w:rsidRPr="00252976">
        <w:rPr>
          <w:rStyle w:val="s1"/>
        </w:rPr>
        <w:t>-12+ -</w:t>
      </w:r>
      <w:r w:rsidR="005916C0" w:rsidRPr="00252976">
        <w:rPr>
          <w:rStyle w:val="apple-converted-space"/>
        </w:rPr>
        <w:t> </w:t>
      </w:r>
      <w:r w:rsidR="005916C0">
        <w:rPr>
          <w:rStyle w:val="s1"/>
        </w:rPr>
        <w:t>1.14e</w:t>
      </w:r>
      <w:r w:rsidR="005916C0" w:rsidRPr="00FD6C21">
        <w:rPr>
          <w:rStyle w:val="s1"/>
        </w:rPr>
        <w:t xml:space="preserve">-25 </w:t>
      </w:r>
      <w:r w:rsidR="00BA54C0">
        <w:rPr>
          <w:rStyle w:val="s1"/>
        </w:rPr>
        <w:t>erg cm</w:t>
      </w:r>
      <w:r w:rsidR="005916C0" w:rsidRPr="00BA54C0">
        <w:rPr>
          <w:rStyle w:val="s1"/>
          <w:vertAlign w:val="superscript"/>
        </w:rPr>
        <w:t>-2</w:t>
      </w:r>
      <w:r w:rsidR="00BA54C0">
        <w:rPr>
          <w:rStyle w:val="s1"/>
        </w:rPr>
        <w:t xml:space="preserve"> s</w:t>
      </w:r>
      <w:r w:rsidR="005916C0" w:rsidRPr="00BA54C0">
        <w:rPr>
          <w:rStyle w:val="s1"/>
          <w:vertAlign w:val="superscript"/>
        </w:rPr>
        <w:t>-1</w:t>
      </w:r>
      <w:r w:rsidR="005916C0">
        <w:rPr>
          <w:rStyle w:val="s1"/>
        </w:rPr>
        <w:t xml:space="preserve"> pour la source 2.</w:t>
      </w:r>
    </w:p>
    <w:p w14:paraId="12340353" w14:textId="77777777" w:rsidR="00FE2AD8" w:rsidRDefault="00FE2AD8" w:rsidP="00FD1D55"/>
    <w:p w14:paraId="64A645F2" w14:textId="77777777" w:rsidR="00E26AF9" w:rsidRDefault="00E26AF9" w:rsidP="00FD1D55"/>
    <w:p w14:paraId="147CCC16" w14:textId="45265AC6" w:rsidR="00E3249E" w:rsidRPr="00677668" w:rsidRDefault="00677668" w:rsidP="00BA54C0">
      <w:pPr>
        <w:outlineLvl w:val="0"/>
        <w:rPr>
          <w:b/>
        </w:rPr>
      </w:pPr>
      <w:r w:rsidRPr="00677668">
        <w:rPr>
          <w:b/>
        </w:rPr>
        <w:t>Courbe de lumière</w:t>
      </w:r>
    </w:p>
    <w:p w14:paraId="29063B5F" w14:textId="77777777" w:rsidR="00F76482" w:rsidRDefault="00F76482" w:rsidP="00FD1D55"/>
    <w:p w14:paraId="4E8863CC" w14:textId="1159AF63" w:rsidR="007D1A5F" w:rsidRDefault="00F76482" w:rsidP="00FD1D55">
      <w:r>
        <w:t>La courbe de lumière donne le nombre de particules en fonction du temps. Ce nombre est intégré sur toute la gamme en énergie.</w:t>
      </w:r>
    </w:p>
    <w:p w14:paraId="7E8CF4BB" w14:textId="790F53CF" w:rsidR="00854E3F" w:rsidRDefault="00854E3F" w:rsidP="00FD1D55">
      <w:r>
        <w:t>Le calcul des points de la courbe de lumière est identique à celui du spectre.</w:t>
      </w:r>
      <w:r w:rsidR="009F215E">
        <w:t xml:space="preserve"> La formule est donnée par </w:t>
      </w:r>
    </w:p>
    <w:p w14:paraId="53FCACE9" w14:textId="77777777" w:rsidR="00927FA3" w:rsidRDefault="00927FA3" w:rsidP="00FD1D55"/>
    <w:p w14:paraId="1F824C2D" w14:textId="06F63492" w:rsidR="00927FA3" w:rsidRPr="00927FA3" w:rsidRDefault="00927FA3" w:rsidP="00FD1D55">
      <w:pPr>
        <w:rPr>
          <w:rFonts w:eastAsiaTheme="minorEastAsia"/>
        </w:rPr>
      </w:pPr>
      <m:oMathPara>
        <m:oMath>
          <m:r>
            <w:rPr>
              <w:rFonts w:ascii="Cambria Math" w:hAnsi="Cambria Math"/>
            </w:rPr>
            <m:t xml:space="preserve">F=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excess</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exp</m:t>
                  </m:r>
                </m:sub>
              </m:sSub>
              <m:sSub>
                <m:sSubPr>
                  <m:ctrlPr>
                    <w:rPr>
                      <w:rFonts w:ascii="Cambria Math" w:hAnsi="Cambria Math"/>
                      <w:i/>
                    </w:rPr>
                  </m:ctrlPr>
                </m:sSubPr>
                <m:e>
                  <m:r>
                    <w:rPr>
                      <w:rFonts w:ascii="Cambria Math" w:hAnsi="Cambria Math"/>
                    </w:rPr>
                    <m:t>A</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moy</m:t>
                  </m:r>
                </m:sub>
              </m:sSub>
            </m:den>
          </m:f>
        </m:oMath>
      </m:oMathPara>
    </w:p>
    <w:p w14:paraId="6D15FADE" w14:textId="77777777" w:rsidR="00927FA3" w:rsidRDefault="00927FA3" w:rsidP="00FD1D55">
      <w:pPr>
        <w:rPr>
          <w:rFonts w:eastAsiaTheme="minorEastAsia"/>
        </w:rPr>
      </w:pPr>
    </w:p>
    <w:p w14:paraId="7F460B75" w14:textId="136A915A" w:rsidR="00927FA3" w:rsidRDefault="00092D35" w:rsidP="00FD1D55">
      <w:r>
        <w:t>La surface efficace</w:t>
      </w:r>
      <w:r w:rsidR="00E3249E">
        <w:t xml:space="preserve"> choisie est la moyenne sur tout l’intervalle en énergie.</w:t>
      </w:r>
      <w:r w:rsidR="00677668">
        <w:t xml:space="preserve"> La valeur choisie ici est </w:t>
      </w:r>
      <w:r>
        <w:t>10</w:t>
      </w:r>
      <w:r w:rsidRPr="000E5AF1">
        <w:rPr>
          <w:vertAlign w:val="superscript"/>
        </w:rPr>
        <w:t>6</w:t>
      </w:r>
      <w:r>
        <w:t xml:space="preserve"> m</w:t>
      </w:r>
      <w:r w:rsidRPr="000E5AF1">
        <w:rPr>
          <w:vertAlign w:val="superscript"/>
        </w:rPr>
        <w:t>2</w:t>
      </w:r>
      <w:r>
        <w:t>.</w:t>
      </w:r>
    </w:p>
    <w:p w14:paraId="3A5AFF2B" w14:textId="7235311C" w:rsidR="00092D35" w:rsidRDefault="00092D35" w:rsidP="00092D35">
      <w:r>
        <w:t xml:space="preserve">Source </w:t>
      </w:r>
    </w:p>
    <w:p w14:paraId="4FFBE372" w14:textId="77777777" w:rsidR="00092D35" w:rsidRDefault="00092D35" w:rsidP="00092D35"/>
    <w:tbl>
      <w:tblPr>
        <w:tblStyle w:val="Grilledutableau"/>
        <w:tblW w:w="0" w:type="auto"/>
        <w:tblLook w:val="04A0" w:firstRow="1" w:lastRow="0" w:firstColumn="1" w:lastColumn="0" w:noHBand="0" w:noVBand="1"/>
      </w:tblPr>
      <w:tblGrid>
        <w:gridCol w:w="2156"/>
        <w:gridCol w:w="2343"/>
        <w:gridCol w:w="2378"/>
        <w:gridCol w:w="2179"/>
      </w:tblGrid>
      <w:tr w:rsidR="000E5AF1" w14:paraId="7B9E27DF" w14:textId="77777777" w:rsidTr="00BC42A7">
        <w:trPr>
          <w:trHeight w:val="865"/>
        </w:trPr>
        <w:tc>
          <w:tcPr>
            <w:tcW w:w="2156" w:type="dxa"/>
            <w:shd w:val="clear" w:color="auto" w:fill="92D050"/>
          </w:tcPr>
          <w:p w14:paraId="0BA759F5" w14:textId="483B5D3C" w:rsidR="000E5AF1" w:rsidRDefault="000E5AF1" w:rsidP="00DF6DB4">
            <w:pPr>
              <w:jc w:val="center"/>
            </w:pPr>
            <w:r>
              <w:t>Time bin</w:t>
            </w:r>
          </w:p>
        </w:tc>
        <w:tc>
          <w:tcPr>
            <w:tcW w:w="2343" w:type="dxa"/>
            <w:shd w:val="clear" w:color="auto" w:fill="92D050"/>
          </w:tcPr>
          <w:p w14:paraId="72DE426D" w14:textId="14228725" w:rsidR="000E5AF1" w:rsidRDefault="000E5AF1" w:rsidP="00DF6DB4">
            <w:pPr>
              <w:jc w:val="center"/>
            </w:pPr>
            <w:r>
              <w:t>Excès</w:t>
            </w:r>
          </w:p>
        </w:tc>
        <w:tc>
          <w:tcPr>
            <w:tcW w:w="2378" w:type="dxa"/>
            <w:shd w:val="clear" w:color="auto" w:fill="92D050"/>
          </w:tcPr>
          <w:p w14:paraId="4975C492" w14:textId="2A544F75" w:rsidR="000E5AF1" w:rsidRDefault="000E5AF1" w:rsidP="00BC42A7">
            <w:pPr>
              <w:jc w:val="center"/>
            </w:pPr>
            <w:r>
              <w:t xml:space="preserve">Point de </w:t>
            </w:r>
            <w:r w:rsidR="00BC42A7">
              <w:t>courbe de lumière</w:t>
            </w:r>
            <w:r>
              <w:t xml:space="preserve"> [cm^-2 s^-1</w:t>
            </w:r>
            <w:r w:rsidR="00BC42A7">
              <w:t xml:space="preserve"> MeV^-1</w:t>
            </w:r>
            <w:r>
              <w:t>]</w:t>
            </w:r>
          </w:p>
        </w:tc>
        <w:tc>
          <w:tcPr>
            <w:tcW w:w="2179" w:type="dxa"/>
            <w:shd w:val="clear" w:color="auto" w:fill="92D050"/>
          </w:tcPr>
          <w:p w14:paraId="4602FC84" w14:textId="10E9A8DF" w:rsidR="000E5AF1" w:rsidRDefault="000E5AF1" w:rsidP="00BC42A7">
            <w:pPr>
              <w:jc w:val="center"/>
            </w:pPr>
            <w:r>
              <w:t>Erreur [cm^-2 s^-1</w:t>
            </w:r>
            <w:r w:rsidR="00BC42A7">
              <w:t xml:space="preserve"> MeV^-1</w:t>
            </w:r>
            <w:r>
              <w:t>]</w:t>
            </w:r>
          </w:p>
        </w:tc>
      </w:tr>
      <w:tr w:rsidR="000E5AF1" w14:paraId="2E934C66" w14:textId="77777777" w:rsidTr="000E5AF1">
        <w:tc>
          <w:tcPr>
            <w:tcW w:w="2156" w:type="dxa"/>
          </w:tcPr>
          <w:p w14:paraId="69F199FC" w14:textId="2874B16C" w:rsidR="000E5AF1" w:rsidRDefault="000E5AF1" w:rsidP="00DF6DB4">
            <w:pPr>
              <w:jc w:val="center"/>
            </w:pPr>
            <w:r>
              <w:t>1</w:t>
            </w:r>
          </w:p>
        </w:tc>
        <w:tc>
          <w:tcPr>
            <w:tcW w:w="2343" w:type="dxa"/>
          </w:tcPr>
          <w:p w14:paraId="528B15CA" w14:textId="7344816B" w:rsidR="000E5AF1" w:rsidRDefault="00BC42A7" w:rsidP="00DF6DB4">
            <w:pPr>
              <w:jc w:val="center"/>
            </w:pPr>
            <w:r>
              <w:t>164</w:t>
            </w:r>
          </w:p>
        </w:tc>
        <w:tc>
          <w:tcPr>
            <w:tcW w:w="2378" w:type="dxa"/>
          </w:tcPr>
          <w:p w14:paraId="3D9B301A" w14:textId="2625C974" w:rsidR="000E5AF1" w:rsidRDefault="00BC42A7" w:rsidP="00DF6DB4">
            <w:pPr>
              <w:jc w:val="center"/>
            </w:pPr>
            <w:r>
              <w:t>2.27 x 10</w:t>
            </w:r>
            <w:r w:rsidRPr="00BC42A7">
              <w:rPr>
                <w:vertAlign w:val="superscript"/>
              </w:rPr>
              <w:t>-18</w:t>
            </w:r>
          </w:p>
        </w:tc>
        <w:tc>
          <w:tcPr>
            <w:tcW w:w="2179" w:type="dxa"/>
          </w:tcPr>
          <w:p w14:paraId="05913462" w14:textId="50F5C37C" w:rsidR="000E5AF1" w:rsidRDefault="004D443C" w:rsidP="00DF6DB4">
            <w:pPr>
              <w:jc w:val="center"/>
            </w:pPr>
            <w:r>
              <w:t xml:space="preserve">4.54 </w:t>
            </w:r>
            <w:r w:rsidR="008465BD">
              <w:t>x 10</w:t>
            </w:r>
            <w:r w:rsidR="008465BD" w:rsidRPr="00BC42A7">
              <w:rPr>
                <w:vertAlign w:val="superscript"/>
              </w:rPr>
              <w:t>-1</w:t>
            </w:r>
            <w:r>
              <w:rPr>
                <w:vertAlign w:val="superscript"/>
              </w:rPr>
              <w:t>7</w:t>
            </w:r>
          </w:p>
        </w:tc>
      </w:tr>
      <w:tr w:rsidR="000E5AF1" w14:paraId="3B0576C2" w14:textId="77777777" w:rsidTr="000E5AF1">
        <w:trPr>
          <w:trHeight w:val="306"/>
        </w:trPr>
        <w:tc>
          <w:tcPr>
            <w:tcW w:w="2156" w:type="dxa"/>
          </w:tcPr>
          <w:p w14:paraId="6290EAF3" w14:textId="0EFE1E21" w:rsidR="000E5AF1" w:rsidRDefault="000E5AF1" w:rsidP="00DF6DB4">
            <w:pPr>
              <w:jc w:val="center"/>
            </w:pPr>
            <w:r>
              <w:t>2</w:t>
            </w:r>
          </w:p>
        </w:tc>
        <w:tc>
          <w:tcPr>
            <w:tcW w:w="2343" w:type="dxa"/>
          </w:tcPr>
          <w:p w14:paraId="6C924AC2" w14:textId="3F5E17A6" w:rsidR="000E5AF1" w:rsidRDefault="000C11B0" w:rsidP="00DF6DB4">
            <w:pPr>
              <w:jc w:val="center"/>
            </w:pPr>
            <w:r>
              <w:t>213</w:t>
            </w:r>
          </w:p>
        </w:tc>
        <w:tc>
          <w:tcPr>
            <w:tcW w:w="2378" w:type="dxa"/>
          </w:tcPr>
          <w:p w14:paraId="434AF68D" w14:textId="6E385D68" w:rsidR="000E5AF1" w:rsidRDefault="008C1DBA" w:rsidP="00DF6DB4">
            <w:pPr>
              <w:jc w:val="center"/>
            </w:pPr>
            <w:r>
              <w:t>2.95 x 10</w:t>
            </w:r>
            <w:r w:rsidRPr="00BC42A7">
              <w:rPr>
                <w:vertAlign w:val="superscript"/>
              </w:rPr>
              <w:t>-18</w:t>
            </w:r>
          </w:p>
        </w:tc>
        <w:tc>
          <w:tcPr>
            <w:tcW w:w="2179" w:type="dxa"/>
          </w:tcPr>
          <w:p w14:paraId="2DE165A7" w14:textId="77E11637" w:rsidR="000E5AF1" w:rsidRDefault="004D443C" w:rsidP="00DF6DB4">
            <w:pPr>
              <w:jc w:val="center"/>
            </w:pPr>
            <w:r>
              <w:t xml:space="preserve">5.80 </w:t>
            </w:r>
            <w:r w:rsidR="008465BD">
              <w:t>x 10</w:t>
            </w:r>
            <w:r w:rsidR="008465BD" w:rsidRPr="00BC42A7">
              <w:rPr>
                <w:vertAlign w:val="superscript"/>
              </w:rPr>
              <w:t>-1</w:t>
            </w:r>
            <w:r>
              <w:rPr>
                <w:vertAlign w:val="superscript"/>
              </w:rPr>
              <w:t>7</w:t>
            </w:r>
          </w:p>
        </w:tc>
      </w:tr>
      <w:tr w:rsidR="000E5AF1" w14:paraId="2419D2A3" w14:textId="77777777" w:rsidTr="000E5AF1">
        <w:trPr>
          <w:trHeight w:val="250"/>
        </w:trPr>
        <w:tc>
          <w:tcPr>
            <w:tcW w:w="2156" w:type="dxa"/>
          </w:tcPr>
          <w:p w14:paraId="0A1FD4C3" w14:textId="45D68864" w:rsidR="000E5AF1" w:rsidRDefault="000E5AF1" w:rsidP="00DF6DB4">
            <w:pPr>
              <w:jc w:val="center"/>
            </w:pPr>
            <w:r>
              <w:t>3</w:t>
            </w:r>
          </w:p>
        </w:tc>
        <w:tc>
          <w:tcPr>
            <w:tcW w:w="2343" w:type="dxa"/>
          </w:tcPr>
          <w:p w14:paraId="0231E6E1" w14:textId="2DB04A99" w:rsidR="000E5AF1" w:rsidRDefault="008C1DBA" w:rsidP="00DF6DB4">
            <w:pPr>
              <w:jc w:val="center"/>
            </w:pPr>
            <w:r>
              <w:t>230</w:t>
            </w:r>
          </w:p>
        </w:tc>
        <w:tc>
          <w:tcPr>
            <w:tcW w:w="2378" w:type="dxa"/>
          </w:tcPr>
          <w:p w14:paraId="4F72F564" w14:textId="7D500C0F" w:rsidR="000E5AF1" w:rsidRDefault="008C1DBA" w:rsidP="00DF6DB4">
            <w:pPr>
              <w:jc w:val="center"/>
            </w:pPr>
            <w:r>
              <w:t>3.18 x 10</w:t>
            </w:r>
            <w:r w:rsidRPr="00BC42A7">
              <w:rPr>
                <w:vertAlign w:val="superscript"/>
              </w:rPr>
              <w:t>-18</w:t>
            </w:r>
          </w:p>
        </w:tc>
        <w:tc>
          <w:tcPr>
            <w:tcW w:w="2179" w:type="dxa"/>
          </w:tcPr>
          <w:p w14:paraId="083CEB41" w14:textId="06B341CB" w:rsidR="000E5AF1" w:rsidRDefault="004D443C" w:rsidP="00DF6DB4">
            <w:pPr>
              <w:jc w:val="center"/>
            </w:pPr>
            <w:r>
              <w:t xml:space="preserve">6.36 </w:t>
            </w:r>
            <w:r w:rsidR="008465BD">
              <w:t>x 10</w:t>
            </w:r>
            <w:r w:rsidR="008465BD" w:rsidRPr="00BC42A7">
              <w:rPr>
                <w:vertAlign w:val="superscript"/>
              </w:rPr>
              <w:t>-1</w:t>
            </w:r>
            <w:r>
              <w:rPr>
                <w:vertAlign w:val="superscript"/>
              </w:rPr>
              <w:t>7</w:t>
            </w:r>
          </w:p>
        </w:tc>
      </w:tr>
    </w:tbl>
    <w:p w14:paraId="7EB5784F" w14:textId="23822440" w:rsidR="00092D35" w:rsidRDefault="00092D35" w:rsidP="00092D35">
      <w:pPr>
        <w:jc w:val="center"/>
      </w:pPr>
      <w:r>
        <w:t>Tableau 1 : Données nécessaires aux calculs du flux</w:t>
      </w:r>
      <w:r w:rsidR="00BA54C0">
        <w:t xml:space="preserve"> </w:t>
      </w:r>
      <w:r>
        <w:t xml:space="preserve">pour la </w:t>
      </w:r>
      <w:r w:rsidR="00BA54C0">
        <w:t>Cen-A</w:t>
      </w:r>
    </w:p>
    <w:p w14:paraId="12D57B6B" w14:textId="77777777" w:rsidR="00092D35" w:rsidRDefault="00092D35" w:rsidP="00092D35">
      <w:r>
        <w:t>Source 2</w:t>
      </w:r>
    </w:p>
    <w:p w14:paraId="22EC7025" w14:textId="77777777" w:rsidR="00092D35" w:rsidRDefault="00092D35" w:rsidP="00092D35"/>
    <w:tbl>
      <w:tblPr>
        <w:tblStyle w:val="Grilledutableau"/>
        <w:tblW w:w="0" w:type="auto"/>
        <w:tblLook w:val="04A0" w:firstRow="1" w:lastRow="0" w:firstColumn="1" w:lastColumn="0" w:noHBand="0" w:noVBand="1"/>
      </w:tblPr>
      <w:tblGrid>
        <w:gridCol w:w="2156"/>
        <w:gridCol w:w="2343"/>
        <w:gridCol w:w="2378"/>
        <w:gridCol w:w="2179"/>
      </w:tblGrid>
      <w:tr w:rsidR="000E5AF1" w14:paraId="0B461D3A" w14:textId="77777777" w:rsidTr="000E5AF1">
        <w:tc>
          <w:tcPr>
            <w:tcW w:w="2156" w:type="dxa"/>
            <w:shd w:val="clear" w:color="auto" w:fill="92D050"/>
          </w:tcPr>
          <w:p w14:paraId="7145F227" w14:textId="77777777" w:rsidR="000E5AF1" w:rsidRDefault="000E5AF1" w:rsidP="00DF6DB4">
            <w:pPr>
              <w:jc w:val="center"/>
            </w:pPr>
          </w:p>
        </w:tc>
        <w:tc>
          <w:tcPr>
            <w:tcW w:w="2343" w:type="dxa"/>
            <w:shd w:val="clear" w:color="auto" w:fill="92D050"/>
          </w:tcPr>
          <w:p w14:paraId="165D0E80" w14:textId="3459BA1E" w:rsidR="000E5AF1" w:rsidRDefault="000E5AF1" w:rsidP="00DF6DB4">
            <w:pPr>
              <w:jc w:val="center"/>
            </w:pPr>
            <w:r>
              <w:t>Excès</w:t>
            </w:r>
          </w:p>
        </w:tc>
        <w:tc>
          <w:tcPr>
            <w:tcW w:w="2378" w:type="dxa"/>
            <w:shd w:val="clear" w:color="auto" w:fill="92D050"/>
          </w:tcPr>
          <w:p w14:paraId="24647DD1" w14:textId="129E0C89" w:rsidR="000E5AF1" w:rsidRDefault="000E5AF1" w:rsidP="00DF6DB4">
            <w:pPr>
              <w:jc w:val="center"/>
            </w:pPr>
            <w:r>
              <w:t xml:space="preserve">Point de </w:t>
            </w:r>
            <w:r w:rsidR="00BC42A7">
              <w:t xml:space="preserve">courbe de lumière </w:t>
            </w:r>
            <w:r>
              <w:t>[erg cm^-2 s^-1]</w:t>
            </w:r>
          </w:p>
        </w:tc>
        <w:tc>
          <w:tcPr>
            <w:tcW w:w="2179" w:type="dxa"/>
            <w:shd w:val="clear" w:color="auto" w:fill="92D050"/>
          </w:tcPr>
          <w:p w14:paraId="3E3B7D63" w14:textId="088108E7" w:rsidR="000E5AF1" w:rsidRDefault="000E5AF1" w:rsidP="00DF6DB4">
            <w:pPr>
              <w:jc w:val="center"/>
            </w:pPr>
            <w:r>
              <w:t>Erreur [erg cm^-2 s^-1]</w:t>
            </w:r>
          </w:p>
        </w:tc>
      </w:tr>
      <w:tr w:rsidR="000E5AF1" w14:paraId="605B13A6" w14:textId="77777777" w:rsidTr="000E5AF1">
        <w:trPr>
          <w:trHeight w:val="306"/>
        </w:trPr>
        <w:tc>
          <w:tcPr>
            <w:tcW w:w="2156" w:type="dxa"/>
          </w:tcPr>
          <w:p w14:paraId="5D455784" w14:textId="523B4B34" w:rsidR="000E5AF1" w:rsidRDefault="000E5AF1" w:rsidP="00DF6DB4">
            <w:pPr>
              <w:jc w:val="center"/>
            </w:pPr>
            <w:r>
              <w:t>1</w:t>
            </w:r>
          </w:p>
        </w:tc>
        <w:tc>
          <w:tcPr>
            <w:tcW w:w="2343" w:type="dxa"/>
          </w:tcPr>
          <w:p w14:paraId="681406A6" w14:textId="355AE9B4" w:rsidR="000E5AF1" w:rsidRDefault="00BC42A7" w:rsidP="00DF6DB4">
            <w:pPr>
              <w:jc w:val="center"/>
            </w:pPr>
            <w:r>
              <w:t>92</w:t>
            </w:r>
          </w:p>
        </w:tc>
        <w:tc>
          <w:tcPr>
            <w:tcW w:w="2378" w:type="dxa"/>
          </w:tcPr>
          <w:p w14:paraId="621A842A" w14:textId="22C51298" w:rsidR="000E5AF1" w:rsidRDefault="008C1DBA" w:rsidP="00DF6DB4">
            <w:pPr>
              <w:jc w:val="center"/>
            </w:pPr>
            <w:r>
              <w:t>1.27 x 10</w:t>
            </w:r>
            <w:r w:rsidRPr="00BC42A7">
              <w:rPr>
                <w:vertAlign w:val="superscript"/>
              </w:rPr>
              <w:t>-18</w:t>
            </w:r>
          </w:p>
        </w:tc>
        <w:tc>
          <w:tcPr>
            <w:tcW w:w="2179" w:type="dxa"/>
          </w:tcPr>
          <w:p w14:paraId="2E4D2397" w14:textId="2446C4AE" w:rsidR="000E5AF1" w:rsidRDefault="004D443C" w:rsidP="00DF6DB4">
            <w:pPr>
              <w:jc w:val="center"/>
            </w:pPr>
            <w:r>
              <w:t xml:space="preserve">2.54 </w:t>
            </w:r>
            <w:r w:rsidR="008465BD">
              <w:t>x 10</w:t>
            </w:r>
            <w:r w:rsidR="008465BD" w:rsidRPr="00BC42A7">
              <w:rPr>
                <w:vertAlign w:val="superscript"/>
              </w:rPr>
              <w:t>-1</w:t>
            </w:r>
            <w:r>
              <w:rPr>
                <w:vertAlign w:val="superscript"/>
              </w:rPr>
              <w:t>7</w:t>
            </w:r>
          </w:p>
        </w:tc>
      </w:tr>
      <w:tr w:rsidR="000E5AF1" w14:paraId="44265E58" w14:textId="77777777" w:rsidTr="000E5AF1">
        <w:trPr>
          <w:trHeight w:val="306"/>
        </w:trPr>
        <w:tc>
          <w:tcPr>
            <w:tcW w:w="2156" w:type="dxa"/>
          </w:tcPr>
          <w:p w14:paraId="2F7C5BAE" w14:textId="47C0F2CA" w:rsidR="000E5AF1" w:rsidRDefault="000E5AF1" w:rsidP="00DF6DB4">
            <w:pPr>
              <w:jc w:val="center"/>
            </w:pPr>
            <w:r>
              <w:t>2</w:t>
            </w:r>
          </w:p>
        </w:tc>
        <w:tc>
          <w:tcPr>
            <w:tcW w:w="2343" w:type="dxa"/>
          </w:tcPr>
          <w:p w14:paraId="50D5DDEE" w14:textId="17BE1F1D" w:rsidR="000E5AF1" w:rsidRDefault="000C11B0" w:rsidP="00DF6DB4">
            <w:pPr>
              <w:jc w:val="center"/>
            </w:pPr>
            <w:r>
              <w:t>95</w:t>
            </w:r>
          </w:p>
        </w:tc>
        <w:tc>
          <w:tcPr>
            <w:tcW w:w="2378" w:type="dxa"/>
          </w:tcPr>
          <w:p w14:paraId="37AFC462" w14:textId="3DA17282" w:rsidR="000E5AF1" w:rsidRDefault="008C1DBA" w:rsidP="00DF6DB4">
            <w:pPr>
              <w:jc w:val="center"/>
            </w:pPr>
            <w:r>
              <w:t>1.31 x 10</w:t>
            </w:r>
            <w:r w:rsidRPr="00BC42A7">
              <w:rPr>
                <w:vertAlign w:val="superscript"/>
              </w:rPr>
              <w:t>-18</w:t>
            </w:r>
          </w:p>
        </w:tc>
        <w:tc>
          <w:tcPr>
            <w:tcW w:w="2179" w:type="dxa"/>
          </w:tcPr>
          <w:p w14:paraId="6D0DC408" w14:textId="1DA3EB63" w:rsidR="000E5AF1" w:rsidRDefault="004D443C" w:rsidP="00DF6DB4">
            <w:pPr>
              <w:jc w:val="center"/>
            </w:pPr>
            <w:r>
              <w:t xml:space="preserve">2.62 </w:t>
            </w:r>
            <w:r w:rsidR="008465BD">
              <w:t>x 10</w:t>
            </w:r>
            <w:r w:rsidR="008465BD" w:rsidRPr="00BC42A7">
              <w:rPr>
                <w:vertAlign w:val="superscript"/>
              </w:rPr>
              <w:t>-1</w:t>
            </w:r>
            <w:r>
              <w:rPr>
                <w:vertAlign w:val="superscript"/>
              </w:rPr>
              <w:t>7</w:t>
            </w:r>
          </w:p>
        </w:tc>
      </w:tr>
      <w:tr w:rsidR="000E5AF1" w14:paraId="06BA7FE4" w14:textId="77777777" w:rsidTr="000E5AF1">
        <w:trPr>
          <w:trHeight w:val="306"/>
        </w:trPr>
        <w:tc>
          <w:tcPr>
            <w:tcW w:w="2156" w:type="dxa"/>
          </w:tcPr>
          <w:p w14:paraId="2249611E" w14:textId="502F149C" w:rsidR="000E5AF1" w:rsidRDefault="000E5AF1" w:rsidP="00DF6DB4">
            <w:pPr>
              <w:jc w:val="center"/>
            </w:pPr>
            <w:r>
              <w:t>3</w:t>
            </w:r>
          </w:p>
        </w:tc>
        <w:tc>
          <w:tcPr>
            <w:tcW w:w="2343" w:type="dxa"/>
          </w:tcPr>
          <w:p w14:paraId="741F8FBE" w14:textId="5F2A9DCE" w:rsidR="000E5AF1" w:rsidRDefault="008C1DBA" w:rsidP="00DF6DB4">
            <w:pPr>
              <w:jc w:val="center"/>
            </w:pPr>
            <w:r>
              <w:t>94</w:t>
            </w:r>
          </w:p>
        </w:tc>
        <w:tc>
          <w:tcPr>
            <w:tcW w:w="2378" w:type="dxa"/>
          </w:tcPr>
          <w:p w14:paraId="79DA4FAD" w14:textId="6330D9AD" w:rsidR="000E5AF1" w:rsidRDefault="008C1DBA" w:rsidP="00DF6DB4">
            <w:pPr>
              <w:jc w:val="center"/>
            </w:pPr>
            <w:r>
              <w:t>1.30 x 10</w:t>
            </w:r>
            <w:r w:rsidRPr="00BC42A7">
              <w:rPr>
                <w:vertAlign w:val="superscript"/>
              </w:rPr>
              <w:t>-18</w:t>
            </w:r>
          </w:p>
        </w:tc>
        <w:tc>
          <w:tcPr>
            <w:tcW w:w="2179" w:type="dxa"/>
          </w:tcPr>
          <w:p w14:paraId="472F902A" w14:textId="348A019E" w:rsidR="000E5AF1" w:rsidRDefault="004D443C" w:rsidP="00DF6DB4">
            <w:pPr>
              <w:jc w:val="center"/>
            </w:pPr>
            <w:r>
              <w:t xml:space="preserve">2.60 </w:t>
            </w:r>
            <w:r w:rsidR="008465BD">
              <w:t>x 10</w:t>
            </w:r>
            <w:r w:rsidR="008465BD" w:rsidRPr="00BC42A7">
              <w:rPr>
                <w:vertAlign w:val="superscript"/>
              </w:rPr>
              <w:t>-1</w:t>
            </w:r>
            <w:r>
              <w:rPr>
                <w:vertAlign w:val="superscript"/>
              </w:rPr>
              <w:t>7</w:t>
            </w:r>
          </w:p>
        </w:tc>
      </w:tr>
    </w:tbl>
    <w:p w14:paraId="149BD6EB" w14:textId="05E45449" w:rsidR="00092D35" w:rsidRDefault="00092D35" w:rsidP="00092D35">
      <w:pPr>
        <w:jc w:val="center"/>
      </w:pPr>
      <w:r>
        <w:t>Tableau 1 : Données nécessaires aux calculs du flux</w:t>
      </w:r>
      <w:r w:rsidR="00BA54C0">
        <w:t xml:space="preserve"> </w:t>
      </w:r>
      <w:r>
        <w:t>pour la source 2</w:t>
      </w:r>
    </w:p>
    <w:p w14:paraId="3FAEF49B" w14:textId="77777777" w:rsidR="00677668" w:rsidRDefault="00677668" w:rsidP="00FD1D55"/>
    <w:p w14:paraId="74A24C65" w14:textId="77777777" w:rsidR="00092D35" w:rsidRDefault="00092D35" w:rsidP="00FD1D55"/>
    <w:p w14:paraId="35EABF1E" w14:textId="77777777" w:rsidR="00677668" w:rsidRDefault="00677668" w:rsidP="00FD1D55"/>
    <w:p w14:paraId="7A2DF489" w14:textId="77777777" w:rsidR="004F2A71" w:rsidRDefault="004F2A71" w:rsidP="00FD1D55"/>
    <w:p w14:paraId="500B3078" w14:textId="3F23D585" w:rsidR="004F2A71" w:rsidRDefault="004F2A71" w:rsidP="00FD1D55">
      <w:r>
        <w:t>Les courbes de lumière des premières sources sont stables. Celle-ci évolue.</w:t>
      </w:r>
    </w:p>
    <w:p w14:paraId="18ED6359" w14:textId="7F53200B" w:rsidR="000D3B41" w:rsidRDefault="00161E7A" w:rsidP="000D3B41">
      <w:pPr>
        <w:jc w:val="center"/>
      </w:pPr>
      <w:r>
        <w:rPr>
          <w:noProof/>
        </w:rPr>
        <w:drawing>
          <wp:inline distT="0" distB="0" distL="0" distR="0" wp14:anchorId="0E9448AA" wp14:editId="7091C2BF">
            <wp:extent cx="4150632" cy="2352040"/>
            <wp:effectExtent l="0" t="0" r="0" b="10160"/>
            <wp:docPr id="1" name="Image 1" descr="../../../../Desktop/Capture%20d’écran%202019-04-01%20à%2013.41.5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9-04-01%20à%2013.41.54.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949" cy="2356753"/>
                    </a:xfrm>
                    <a:prstGeom prst="rect">
                      <a:avLst/>
                    </a:prstGeom>
                    <a:noFill/>
                    <a:ln>
                      <a:noFill/>
                    </a:ln>
                  </pic:spPr>
                </pic:pic>
              </a:graphicData>
            </a:graphic>
          </wp:inline>
        </w:drawing>
      </w:r>
    </w:p>
    <w:p w14:paraId="03B2C864" w14:textId="5578784B" w:rsidR="000D3B41" w:rsidRDefault="000D3B41" w:rsidP="00BA54C0">
      <w:pPr>
        <w:jc w:val="center"/>
        <w:outlineLvl w:val="0"/>
      </w:pPr>
      <w:r>
        <w:t>Figure </w:t>
      </w:r>
      <w:r w:rsidR="00BA54C0">
        <w:t xml:space="preserve">6 </w:t>
      </w:r>
      <w:r>
        <w:t xml:space="preserve">: Courbe de lumière de </w:t>
      </w:r>
      <w:r w:rsidR="00BA54C0">
        <w:t>Cen-A</w:t>
      </w:r>
    </w:p>
    <w:p w14:paraId="22E90DD4" w14:textId="77777777" w:rsidR="00040F28" w:rsidRDefault="00040F28" w:rsidP="00BA54C0">
      <w:pPr>
        <w:jc w:val="center"/>
        <w:outlineLvl w:val="0"/>
      </w:pPr>
    </w:p>
    <w:p w14:paraId="61C43BFB" w14:textId="77777777" w:rsidR="00040F28" w:rsidRDefault="00040F28" w:rsidP="00BA54C0">
      <w:pPr>
        <w:jc w:val="center"/>
        <w:outlineLvl w:val="0"/>
      </w:pPr>
    </w:p>
    <w:p w14:paraId="403DEE57" w14:textId="77777777" w:rsidR="00040F28" w:rsidRDefault="00040F28" w:rsidP="00BA54C0">
      <w:pPr>
        <w:jc w:val="center"/>
        <w:outlineLvl w:val="0"/>
      </w:pPr>
    </w:p>
    <w:p w14:paraId="28666D12" w14:textId="4B251969" w:rsidR="00D40798" w:rsidRDefault="000E5AF1" w:rsidP="000D3B41">
      <w:pPr>
        <w:jc w:val="center"/>
      </w:pPr>
      <w:r>
        <w:rPr>
          <w:noProof/>
        </w:rPr>
        <w:drawing>
          <wp:inline distT="0" distB="0" distL="0" distR="0" wp14:anchorId="45D7CFDE" wp14:editId="0100F9E7">
            <wp:extent cx="3908002" cy="2318717"/>
            <wp:effectExtent l="0" t="0" r="3810" b="0"/>
            <wp:docPr id="2" name="Image 2" descr="../../../../Desktop/Capture%20d’écran%202019-04-01%20à%2013.46.2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9-04-01%20à%2013.46.24.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6805" cy="2347673"/>
                    </a:xfrm>
                    <a:prstGeom prst="rect">
                      <a:avLst/>
                    </a:prstGeom>
                    <a:noFill/>
                    <a:ln>
                      <a:noFill/>
                    </a:ln>
                  </pic:spPr>
                </pic:pic>
              </a:graphicData>
            </a:graphic>
          </wp:inline>
        </w:drawing>
      </w:r>
    </w:p>
    <w:p w14:paraId="444D16FF" w14:textId="09ABCA10" w:rsidR="000D3B41" w:rsidRDefault="000D3B41" w:rsidP="00BA54C0">
      <w:pPr>
        <w:jc w:val="center"/>
        <w:outlineLvl w:val="0"/>
      </w:pPr>
      <w:r>
        <w:t>Figure </w:t>
      </w:r>
      <w:r w:rsidR="00BA54C0">
        <w:t xml:space="preserve">7 </w:t>
      </w:r>
      <w:r>
        <w:t>: Courbe de lumière de la source 2</w:t>
      </w:r>
    </w:p>
    <w:p w14:paraId="731B46BB" w14:textId="77777777" w:rsidR="000E5AF1" w:rsidRDefault="000E5AF1" w:rsidP="000D3B41">
      <w:pPr>
        <w:jc w:val="center"/>
      </w:pPr>
    </w:p>
    <w:p w14:paraId="78756034" w14:textId="77777777" w:rsidR="000E5AF1" w:rsidRDefault="000E5AF1" w:rsidP="000D3B41">
      <w:pPr>
        <w:jc w:val="center"/>
      </w:pPr>
    </w:p>
    <w:p w14:paraId="49F896DD" w14:textId="510ACC1C" w:rsidR="000E5AF1" w:rsidRDefault="000E5AF1" w:rsidP="000E5AF1">
      <w:r>
        <w:t>Les deux sources sont stables et ne présentent pas de variations.</w:t>
      </w:r>
    </w:p>
    <w:p w14:paraId="60C06C62" w14:textId="6D8F52FF" w:rsidR="000E5AF1" w:rsidRDefault="00FA4D6C" w:rsidP="000E5AF1">
      <w:r>
        <w:t xml:space="preserve">Les incertitudes calculées à la main sont beaucoup plus grandes </w:t>
      </w:r>
      <w:r w:rsidR="00507957">
        <w:t>q</w:t>
      </w:r>
      <w:r>
        <w:t>ue celles du script car le script intègre sur une gamme en énergie et donc les erreurs sont plus petites alors que nous avons juste divisé par l’énergie. La méthode avec le script est plus précise et meilleure.</w:t>
      </w:r>
    </w:p>
    <w:p w14:paraId="71F3D358" w14:textId="77777777" w:rsidR="00FA4D6C" w:rsidRDefault="00FA4D6C" w:rsidP="000E5AF1"/>
    <w:p w14:paraId="661BE8A4" w14:textId="21C3A007" w:rsidR="002161F9" w:rsidRDefault="002161F9" w:rsidP="002161F9">
      <w:r>
        <w:t>En ce qui concerne le fichi</w:t>
      </w:r>
      <w:r w:rsidR="00AA4AE7">
        <w:t>er d’évènements « events_t.xml</w:t>
      </w:r>
      <w:r>
        <w:t> », la courbe de lumi</w:t>
      </w:r>
      <w:r w:rsidR="00BA54C0">
        <w:t>ère est différente. La Figure 8</w:t>
      </w:r>
      <w:r>
        <w:t xml:space="preserve"> montre cette nouvelle courbe de lumière.</w:t>
      </w:r>
      <w:r w:rsidR="00AA4AE7">
        <w:t xml:space="preserve"> Celle-ci varie au cours du temps. La source est bien variable.</w:t>
      </w:r>
    </w:p>
    <w:p w14:paraId="56ADD6F2" w14:textId="77777777" w:rsidR="002161F9" w:rsidRDefault="002161F9" w:rsidP="000E5AF1"/>
    <w:p w14:paraId="52CB932B" w14:textId="2BFB79E8" w:rsidR="00AA4AE7" w:rsidRDefault="004370FB" w:rsidP="004370FB">
      <w:pPr>
        <w:jc w:val="center"/>
      </w:pPr>
      <w:r>
        <w:rPr>
          <w:noProof/>
        </w:rPr>
        <w:lastRenderedPageBreak/>
        <w:drawing>
          <wp:inline distT="0" distB="0" distL="0" distR="0" wp14:anchorId="7270C36E" wp14:editId="65858AD0">
            <wp:extent cx="3724557" cy="2359025"/>
            <wp:effectExtent l="0" t="0" r="9525" b="3175"/>
            <wp:docPr id="3" name="Image 3" descr="../../../../Desktop/Capture%20d’écran%202019-04-01%20à%2015.21.27.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9-04-01%20à%2015.21.27.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303" cy="2394966"/>
                    </a:xfrm>
                    <a:prstGeom prst="rect">
                      <a:avLst/>
                    </a:prstGeom>
                    <a:noFill/>
                    <a:ln>
                      <a:noFill/>
                    </a:ln>
                  </pic:spPr>
                </pic:pic>
              </a:graphicData>
            </a:graphic>
          </wp:inline>
        </w:drawing>
      </w:r>
    </w:p>
    <w:p w14:paraId="66D9CBEF" w14:textId="1E73821C" w:rsidR="00AA4AE7" w:rsidRDefault="00604586" w:rsidP="00BA54C0">
      <w:pPr>
        <w:jc w:val="center"/>
        <w:outlineLvl w:val="0"/>
      </w:pPr>
      <w:r>
        <w:t>Figure</w:t>
      </w:r>
      <w:r w:rsidR="00BA54C0">
        <w:t xml:space="preserve"> 8</w:t>
      </w:r>
      <w:r>
        <w:t> : Courbe de lumière de la source variable</w:t>
      </w:r>
    </w:p>
    <w:p w14:paraId="4C717E91" w14:textId="77777777" w:rsidR="00AA4AE7" w:rsidRDefault="00AA4AE7" w:rsidP="000E5AF1"/>
    <w:p w14:paraId="70DD8D6C" w14:textId="1DC602F1" w:rsidR="004370FB" w:rsidRDefault="004370FB" w:rsidP="000E5AF1">
      <w:r>
        <w:t>On voit 2 limites supérieures et 1 mesure. La source n’est pas détectée durant les 2 premières observations.</w:t>
      </w:r>
    </w:p>
    <w:p w14:paraId="57B8B68A" w14:textId="77777777" w:rsidR="002161F9" w:rsidRDefault="002161F9" w:rsidP="000E5AF1"/>
    <w:p w14:paraId="7C7326B9" w14:textId="1827F512" w:rsidR="00D40798" w:rsidRDefault="00D40798" w:rsidP="00BA54C0">
      <w:pPr>
        <w:outlineLvl w:val="0"/>
      </w:pPr>
      <w:r w:rsidRPr="00671DFD">
        <w:rPr>
          <w:sz w:val="32"/>
        </w:rPr>
        <w:t>Etape 5</w:t>
      </w:r>
    </w:p>
    <w:p w14:paraId="68A18995" w14:textId="77777777" w:rsidR="00D40798" w:rsidRDefault="00D40798" w:rsidP="00FD1D55"/>
    <w:p w14:paraId="003F3AED" w14:textId="77777777" w:rsidR="0033250C" w:rsidRDefault="0033250C" w:rsidP="00FD1D55"/>
    <w:p w14:paraId="08650348" w14:textId="3F188087" w:rsidR="00854E3F" w:rsidRDefault="00854E3F" w:rsidP="00BA54C0">
      <w:pPr>
        <w:outlineLvl w:val="0"/>
      </w:pPr>
      <w:r>
        <w:t xml:space="preserve">Le spectre en énergie de la </w:t>
      </w:r>
      <w:r w:rsidR="00BA54C0">
        <w:t>Cen-A</w:t>
      </w:r>
      <w:r>
        <w:t xml:space="preserve"> est montré dans la Figure</w:t>
      </w:r>
      <w:r w:rsidR="00BA54C0">
        <w:t xml:space="preserve"> 4.</w:t>
      </w:r>
    </w:p>
    <w:p w14:paraId="41E096BF" w14:textId="77777777" w:rsidR="000F2A36" w:rsidRDefault="000F2A36" w:rsidP="00FD1D55"/>
    <w:p w14:paraId="43150DF5" w14:textId="7DF1BEE1" w:rsidR="00C915FC" w:rsidRDefault="00C915FC" w:rsidP="00FD1D55">
      <w:r>
        <w:t xml:space="preserve">La gamme en énergie du domaine Fermi est 100 MeV 100GeV. Les données multi-longueur d’onde prises sur le site </w:t>
      </w:r>
      <w:proofErr w:type="spellStart"/>
      <w:r>
        <w:t>asdc</w:t>
      </w:r>
      <w:proofErr w:type="spellEnd"/>
      <w:r>
        <w:t xml:space="preserve"> permettent d’étudier la source à ces énergies. </w:t>
      </w:r>
    </w:p>
    <w:p w14:paraId="19C54773" w14:textId="6C338A14" w:rsidR="00C915FC" w:rsidRDefault="00C915FC" w:rsidP="00FD1D55">
      <w:r>
        <w:t xml:space="preserve">L’ajustement de la gamme en énergie dans le </w:t>
      </w:r>
      <w:r w:rsidR="00BA54C0">
        <w:t>domaine de Fermi est donné par :</w:t>
      </w:r>
    </w:p>
    <w:p w14:paraId="53F701C6" w14:textId="77777777" w:rsidR="00C915FC" w:rsidRDefault="00C915FC" w:rsidP="00FD1D55"/>
    <w:p w14:paraId="5ACAFA55" w14:textId="5EE031CB" w:rsidR="00DF6DB4" w:rsidRPr="00BA54C0" w:rsidRDefault="00BA54C0" w:rsidP="00BA54C0">
      <w:pPr>
        <w:pStyle w:val="p1"/>
        <w:outlineLvl w:val="0"/>
        <w:rPr>
          <w:rFonts w:ascii="Times New Roman" w:hAnsi="Times New Roman" w:cs="Times New Roman"/>
          <w:sz w:val="22"/>
          <w:szCs w:val="22"/>
          <w:lang w:val="en-US"/>
        </w:rPr>
      </w:pPr>
      <w:r w:rsidRPr="00BA54C0">
        <w:rPr>
          <w:rStyle w:val="s1"/>
          <w:rFonts w:ascii="Times New Roman" w:hAnsi="Times New Roman" w:cs="Times New Roman"/>
          <w:sz w:val="22"/>
          <w:szCs w:val="22"/>
          <w:lang w:val="en-US"/>
        </w:rPr>
        <w:t>Cen-</w:t>
      </w:r>
      <w:proofErr w:type="gramStart"/>
      <w:r w:rsidRPr="00BA54C0">
        <w:rPr>
          <w:rStyle w:val="s1"/>
          <w:rFonts w:ascii="Times New Roman" w:hAnsi="Times New Roman" w:cs="Times New Roman"/>
          <w:sz w:val="22"/>
          <w:szCs w:val="22"/>
          <w:lang w:val="en-US"/>
        </w:rPr>
        <w:t>A</w:t>
      </w:r>
      <w:r>
        <w:rPr>
          <w:rStyle w:val="s1"/>
          <w:rFonts w:ascii="Times New Roman" w:hAnsi="Times New Roman" w:cs="Times New Roman"/>
          <w:sz w:val="22"/>
          <w:szCs w:val="22"/>
          <w:lang w:val="en-US"/>
        </w:rPr>
        <w:t xml:space="preserve"> </w:t>
      </w:r>
      <w:r w:rsidR="00DF6DB4" w:rsidRPr="00BA54C0">
        <w:rPr>
          <w:rStyle w:val="s1"/>
          <w:rFonts w:ascii="Times New Roman" w:hAnsi="Times New Roman" w:cs="Times New Roman"/>
          <w:sz w:val="22"/>
          <w:szCs w:val="22"/>
          <w:lang w:val="en-US"/>
        </w:rPr>
        <w:t>:</w:t>
      </w:r>
      <w:proofErr w:type="gramEnd"/>
      <w:r>
        <w:rPr>
          <w:rStyle w:val="s1"/>
          <w:rFonts w:ascii="Times New Roman" w:hAnsi="Times New Roman" w:cs="Times New Roman"/>
          <w:sz w:val="22"/>
          <w:szCs w:val="22"/>
          <w:lang w:val="en-US"/>
        </w:rPr>
        <w:t xml:space="preserve"> </w:t>
      </w:r>
      <w:r w:rsidR="00DF6DB4" w:rsidRPr="00BA54C0">
        <w:rPr>
          <w:rStyle w:val="s1"/>
          <w:rFonts w:ascii="Times New Roman" w:hAnsi="Times New Roman" w:cs="Times New Roman"/>
          <w:sz w:val="22"/>
          <w:szCs w:val="22"/>
          <w:lang w:val="en-US"/>
        </w:rPr>
        <w:t>Norm :</w:t>
      </w:r>
      <w:r w:rsidR="00DF6DB4" w:rsidRPr="00BA54C0">
        <w:rPr>
          <w:rStyle w:val="apple-converted-space"/>
          <w:rFonts w:ascii="Times New Roman" w:hAnsi="Times New Roman" w:cs="Times New Roman"/>
          <w:sz w:val="22"/>
          <w:szCs w:val="22"/>
          <w:lang w:val="en-US"/>
        </w:rPr>
        <w:t xml:space="preserve">  </w:t>
      </w:r>
      <w:r>
        <w:rPr>
          <w:rStyle w:val="s1"/>
          <w:rFonts w:ascii="Times New Roman" w:hAnsi="Times New Roman" w:cs="Times New Roman"/>
          <w:sz w:val="22"/>
          <w:szCs w:val="22"/>
          <w:lang w:val="en-US"/>
        </w:rPr>
        <w:t>4.264 10</w:t>
      </w:r>
      <w:r w:rsidR="00DF6DB4" w:rsidRPr="00BA54C0">
        <w:rPr>
          <w:rStyle w:val="s1"/>
          <w:rFonts w:ascii="Times New Roman" w:hAnsi="Times New Roman" w:cs="Times New Roman"/>
          <w:sz w:val="22"/>
          <w:szCs w:val="22"/>
          <w:vertAlign w:val="superscript"/>
          <w:lang w:val="en-US"/>
        </w:rPr>
        <w:t>-14</w:t>
      </w:r>
      <w:r w:rsidR="00DF6DB4" w:rsidRPr="00BA54C0">
        <w:rPr>
          <w:rStyle w:val="apple-converted-space"/>
          <w:rFonts w:ascii="Times New Roman" w:hAnsi="Times New Roman" w:cs="Times New Roman"/>
          <w:sz w:val="22"/>
          <w:szCs w:val="22"/>
          <w:vertAlign w:val="superscript"/>
          <w:lang w:val="en-US"/>
        </w:rPr>
        <w:t> </w:t>
      </w:r>
      <w:r w:rsidR="00DF6DB4" w:rsidRPr="00BA54C0">
        <w:rPr>
          <w:rStyle w:val="apple-converted-space"/>
          <w:rFonts w:ascii="Times New Roman" w:hAnsi="Times New Roman" w:cs="Times New Roman"/>
          <w:sz w:val="22"/>
          <w:szCs w:val="22"/>
          <w:lang w:val="en-US"/>
        </w:rPr>
        <w:t xml:space="preserve"> </w:t>
      </w:r>
      <w:r w:rsidR="00DF6DB4" w:rsidRPr="00BA54C0">
        <w:rPr>
          <w:rStyle w:val="s1"/>
          <w:rFonts w:ascii="Times New Roman" w:hAnsi="Times New Roman" w:cs="Times New Roman"/>
          <w:sz w:val="22"/>
          <w:szCs w:val="22"/>
          <w:lang w:val="en-US"/>
        </w:rPr>
        <w:t>+/-</w:t>
      </w:r>
      <w:r w:rsidR="00DF6DB4" w:rsidRPr="00BA54C0">
        <w:rPr>
          <w:rStyle w:val="apple-converted-space"/>
          <w:rFonts w:ascii="Times New Roman" w:hAnsi="Times New Roman" w:cs="Times New Roman"/>
          <w:sz w:val="22"/>
          <w:szCs w:val="22"/>
          <w:lang w:val="en-US"/>
        </w:rPr>
        <w:t xml:space="preserve">  </w:t>
      </w:r>
      <w:r>
        <w:rPr>
          <w:rStyle w:val="s1"/>
          <w:rFonts w:ascii="Times New Roman" w:hAnsi="Times New Roman" w:cs="Times New Roman"/>
          <w:sz w:val="22"/>
          <w:szCs w:val="22"/>
          <w:lang w:val="en-US"/>
        </w:rPr>
        <w:t>1.37 10</w:t>
      </w:r>
      <w:r w:rsidR="00DF6DB4" w:rsidRPr="00BA54C0">
        <w:rPr>
          <w:rStyle w:val="s1"/>
          <w:rFonts w:ascii="Times New Roman" w:hAnsi="Times New Roman" w:cs="Times New Roman"/>
          <w:sz w:val="22"/>
          <w:szCs w:val="22"/>
          <w:vertAlign w:val="superscript"/>
          <w:lang w:val="en-US"/>
        </w:rPr>
        <w:t>-28</w:t>
      </w:r>
    </w:p>
    <w:p w14:paraId="37F27036" w14:textId="22ADC27C" w:rsidR="00DF6DB4" w:rsidRPr="00BA54C0" w:rsidRDefault="00DF6DB4" w:rsidP="00DF6DB4">
      <w:pPr>
        <w:pStyle w:val="p1"/>
        <w:rPr>
          <w:rFonts w:ascii="Times New Roman" w:hAnsi="Times New Roman" w:cs="Times New Roman"/>
          <w:sz w:val="22"/>
          <w:szCs w:val="22"/>
          <w:lang w:val="en-US"/>
        </w:rPr>
      </w:pPr>
      <w:proofErr w:type="gramStart"/>
      <w:r w:rsidRPr="00BA54C0">
        <w:rPr>
          <w:rStyle w:val="s1"/>
          <w:rFonts w:ascii="Times New Roman" w:hAnsi="Times New Roman" w:cs="Times New Roman"/>
          <w:sz w:val="22"/>
          <w:szCs w:val="22"/>
          <w:lang w:val="en-US"/>
        </w:rPr>
        <w:t>Index :</w:t>
      </w:r>
      <w:proofErr w:type="gramEnd"/>
      <w:r w:rsidRPr="00BA54C0">
        <w:rPr>
          <w:rStyle w:val="apple-converted-space"/>
          <w:rFonts w:ascii="Times New Roman" w:hAnsi="Times New Roman" w:cs="Times New Roman"/>
          <w:sz w:val="22"/>
          <w:szCs w:val="22"/>
          <w:lang w:val="en-US"/>
        </w:rPr>
        <w:t xml:space="preserve">  </w:t>
      </w:r>
      <w:r w:rsidRPr="00BA54C0">
        <w:rPr>
          <w:rStyle w:val="s1"/>
          <w:rFonts w:ascii="Times New Roman" w:hAnsi="Times New Roman" w:cs="Times New Roman"/>
          <w:sz w:val="22"/>
          <w:szCs w:val="22"/>
          <w:lang w:val="en-US"/>
        </w:rPr>
        <w:t>0.76</w:t>
      </w:r>
      <w:r w:rsidRPr="00BA54C0">
        <w:rPr>
          <w:rStyle w:val="apple-converted-space"/>
          <w:rFonts w:ascii="Times New Roman" w:hAnsi="Times New Roman" w:cs="Times New Roman"/>
          <w:sz w:val="22"/>
          <w:szCs w:val="22"/>
          <w:lang w:val="en-US"/>
        </w:rPr>
        <w:t> </w:t>
      </w:r>
      <w:r w:rsidRPr="00BA54C0">
        <w:rPr>
          <w:rStyle w:val="s1"/>
          <w:rFonts w:ascii="Times New Roman" w:hAnsi="Times New Roman" w:cs="Times New Roman"/>
          <w:sz w:val="22"/>
          <w:szCs w:val="22"/>
          <w:lang w:val="en-US"/>
        </w:rPr>
        <w:t>+/-</w:t>
      </w:r>
      <w:r w:rsidRPr="00BA54C0">
        <w:rPr>
          <w:rStyle w:val="apple-converted-space"/>
          <w:rFonts w:ascii="Times New Roman" w:hAnsi="Times New Roman" w:cs="Times New Roman"/>
          <w:sz w:val="22"/>
          <w:szCs w:val="22"/>
          <w:lang w:val="en-US"/>
        </w:rPr>
        <w:t xml:space="preserve">  </w:t>
      </w:r>
      <w:r w:rsidRPr="00BA54C0">
        <w:rPr>
          <w:rStyle w:val="s1"/>
          <w:rFonts w:ascii="Times New Roman" w:hAnsi="Times New Roman" w:cs="Times New Roman"/>
          <w:sz w:val="22"/>
          <w:szCs w:val="22"/>
          <w:lang w:val="en-US"/>
        </w:rPr>
        <w:t>0.001</w:t>
      </w:r>
    </w:p>
    <w:p w14:paraId="0741FA6A" w14:textId="5E51B432" w:rsidR="00DF6DB4" w:rsidRPr="00BA54C0" w:rsidRDefault="00DF6DB4" w:rsidP="00DF6DB4">
      <w:pPr>
        <w:pStyle w:val="p1"/>
        <w:rPr>
          <w:rFonts w:ascii="Times New Roman" w:hAnsi="Times New Roman" w:cs="Times New Roman"/>
          <w:sz w:val="22"/>
          <w:szCs w:val="22"/>
          <w:lang w:val="en-US"/>
        </w:rPr>
      </w:pPr>
      <w:r w:rsidRPr="00BA54C0">
        <w:rPr>
          <w:rStyle w:val="s1"/>
          <w:rFonts w:ascii="Times New Roman" w:hAnsi="Times New Roman" w:cs="Times New Roman"/>
          <w:sz w:val="22"/>
          <w:szCs w:val="22"/>
          <w:lang w:val="en-US"/>
        </w:rPr>
        <w:t xml:space="preserve">Source </w:t>
      </w:r>
      <w:proofErr w:type="gramStart"/>
      <w:r w:rsidRPr="00BA54C0">
        <w:rPr>
          <w:rStyle w:val="s1"/>
          <w:rFonts w:ascii="Times New Roman" w:hAnsi="Times New Roman" w:cs="Times New Roman"/>
          <w:sz w:val="22"/>
          <w:szCs w:val="22"/>
          <w:lang w:val="en-US"/>
        </w:rPr>
        <w:t>2 :</w:t>
      </w:r>
      <w:proofErr w:type="gramEnd"/>
      <w:r w:rsidRPr="00BA54C0">
        <w:rPr>
          <w:rStyle w:val="s1"/>
          <w:rFonts w:ascii="Times New Roman" w:hAnsi="Times New Roman" w:cs="Times New Roman"/>
          <w:sz w:val="22"/>
          <w:szCs w:val="22"/>
          <w:lang w:val="en-US"/>
        </w:rPr>
        <w:t xml:space="preserve"> Norm :</w:t>
      </w:r>
      <w:r w:rsidRPr="00BA54C0">
        <w:rPr>
          <w:rStyle w:val="apple-converted-space"/>
          <w:rFonts w:ascii="Times New Roman" w:hAnsi="Times New Roman" w:cs="Times New Roman"/>
          <w:sz w:val="22"/>
          <w:szCs w:val="22"/>
          <w:lang w:val="en-US"/>
        </w:rPr>
        <w:t xml:space="preserve">  </w:t>
      </w:r>
      <w:r w:rsidR="00BA54C0" w:rsidRPr="00BA54C0">
        <w:rPr>
          <w:rStyle w:val="s1"/>
          <w:rFonts w:ascii="Times New Roman" w:hAnsi="Times New Roman" w:cs="Times New Roman"/>
          <w:sz w:val="22"/>
          <w:szCs w:val="22"/>
          <w:lang w:val="en-US"/>
        </w:rPr>
        <w:t>9.27 10</w:t>
      </w:r>
      <w:r w:rsidRPr="00BA54C0">
        <w:rPr>
          <w:rStyle w:val="s1"/>
          <w:rFonts w:ascii="Times New Roman" w:hAnsi="Times New Roman" w:cs="Times New Roman"/>
          <w:sz w:val="22"/>
          <w:szCs w:val="22"/>
          <w:vertAlign w:val="superscript"/>
          <w:lang w:val="en-US"/>
        </w:rPr>
        <w:t>-11</w:t>
      </w:r>
      <w:r w:rsidRPr="00BA54C0">
        <w:rPr>
          <w:rStyle w:val="apple-converted-space"/>
          <w:rFonts w:ascii="Times New Roman" w:hAnsi="Times New Roman" w:cs="Times New Roman"/>
          <w:sz w:val="22"/>
          <w:szCs w:val="22"/>
          <w:vertAlign w:val="superscript"/>
          <w:lang w:val="en-US"/>
        </w:rPr>
        <w:t> </w:t>
      </w:r>
      <w:r w:rsidRPr="00BA54C0">
        <w:rPr>
          <w:rStyle w:val="s1"/>
          <w:rFonts w:ascii="Times New Roman" w:hAnsi="Times New Roman" w:cs="Times New Roman"/>
          <w:sz w:val="22"/>
          <w:szCs w:val="22"/>
          <w:lang w:val="en-US"/>
        </w:rPr>
        <w:t>+/-</w:t>
      </w:r>
      <w:r w:rsidRPr="00BA54C0">
        <w:rPr>
          <w:rStyle w:val="apple-converted-space"/>
          <w:rFonts w:ascii="Times New Roman" w:hAnsi="Times New Roman" w:cs="Times New Roman"/>
          <w:sz w:val="22"/>
          <w:szCs w:val="22"/>
          <w:lang w:val="en-US"/>
        </w:rPr>
        <w:t xml:space="preserve">  </w:t>
      </w:r>
      <w:r w:rsidR="003448F6" w:rsidRPr="00BA54C0">
        <w:rPr>
          <w:rStyle w:val="s1"/>
          <w:rFonts w:ascii="Times New Roman" w:hAnsi="Times New Roman" w:cs="Times New Roman"/>
          <w:sz w:val="22"/>
          <w:szCs w:val="22"/>
          <w:lang w:val="en-US"/>
        </w:rPr>
        <w:t>5.25</w:t>
      </w:r>
      <w:r w:rsidR="00BA54C0" w:rsidRPr="00BA54C0">
        <w:rPr>
          <w:rStyle w:val="s1"/>
          <w:rFonts w:ascii="Times New Roman" w:hAnsi="Times New Roman" w:cs="Times New Roman"/>
          <w:sz w:val="22"/>
          <w:szCs w:val="22"/>
          <w:lang w:val="en-US"/>
        </w:rPr>
        <w:t xml:space="preserve"> 10</w:t>
      </w:r>
      <w:r w:rsidRPr="00BA54C0">
        <w:rPr>
          <w:rStyle w:val="s1"/>
          <w:rFonts w:ascii="Times New Roman" w:hAnsi="Times New Roman" w:cs="Times New Roman"/>
          <w:sz w:val="22"/>
          <w:szCs w:val="22"/>
          <w:vertAlign w:val="superscript"/>
          <w:lang w:val="en-US"/>
        </w:rPr>
        <w:t>-21</w:t>
      </w:r>
    </w:p>
    <w:p w14:paraId="09305B8D" w14:textId="7F7ABCE6" w:rsidR="00DF6DB4" w:rsidRPr="00BA54C0" w:rsidRDefault="00DF6DB4" w:rsidP="00DF6DB4">
      <w:pPr>
        <w:pStyle w:val="p1"/>
        <w:rPr>
          <w:rStyle w:val="s1"/>
          <w:rFonts w:ascii="Times New Roman" w:hAnsi="Times New Roman" w:cs="Times New Roman"/>
          <w:sz w:val="22"/>
          <w:szCs w:val="22"/>
          <w:lang w:val="en-US"/>
        </w:rPr>
      </w:pPr>
      <w:proofErr w:type="gramStart"/>
      <w:r w:rsidRPr="00BA54C0">
        <w:rPr>
          <w:rStyle w:val="s1"/>
          <w:rFonts w:ascii="Times New Roman" w:hAnsi="Times New Roman" w:cs="Times New Roman"/>
          <w:sz w:val="22"/>
          <w:szCs w:val="22"/>
          <w:lang w:val="en-US"/>
        </w:rPr>
        <w:t>Index :</w:t>
      </w:r>
      <w:proofErr w:type="gramEnd"/>
      <w:r w:rsidRPr="00BA54C0">
        <w:rPr>
          <w:rStyle w:val="apple-converted-space"/>
          <w:rFonts w:ascii="Times New Roman" w:hAnsi="Times New Roman" w:cs="Times New Roman"/>
          <w:sz w:val="22"/>
          <w:szCs w:val="22"/>
          <w:lang w:val="en-US"/>
        </w:rPr>
        <w:t xml:space="preserve">  </w:t>
      </w:r>
      <w:r w:rsidRPr="00BA54C0">
        <w:rPr>
          <w:rStyle w:val="s1"/>
          <w:rFonts w:ascii="Times New Roman" w:hAnsi="Times New Roman" w:cs="Times New Roman"/>
          <w:sz w:val="22"/>
          <w:szCs w:val="22"/>
          <w:lang w:val="en-US"/>
        </w:rPr>
        <w:t>-0.22</w:t>
      </w:r>
      <w:r w:rsidRPr="00BA54C0">
        <w:rPr>
          <w:rStyle w:val="apple-converted-space"/>
          <w:rFonts w:ascii="Times New Roman" w:hAnsi="Times New Roman" w:cs="Times New Roman"/>
          <w:sz w:val="22"/>
          <w:szCs w:val="22"/>
          <w:lang w:val="en-US"/>
        </w:rPr>
        <w:t> </w:t>
      </w:r>
      <w:r w:rsidRPr="00BA54C0">
        <w:rPr>
          <w:rStyle w:val="s1"/>
          <w:rFonts w:ascii="Times New Roman" w:hAnsi="Times New Roman" w:cs="Times New Roman"/>
          <w:sz w:val="22"/>
          <w:szCs w:val="22"/>
          <w:lang w:val="en-US"/>
        </w:rPr>
        <w:t>+/-</w:t>
      </w:r>
      <w:r w:rsidRPr="00BA54C0">
        <w:rPr>
          <w:rStyle w:val="apple-converted-space"/>
          <w:rFonts w:ascii="Times New Roman" w:hAnsi="Times New Roman" w:cs="Times New Roman"/>
          <w:sz w:val="22"/>
          <w:szCs w:val="22"/>
          <w:lang w:val="en-US"/>
        </w:rPr>
        <w:t xml:space="preserve">  </w:t>
      </w:r>
      <w:r w:rsidRPr="00BA54C0">
        <w:rPr>
          <w:rStyle w:val="s1"/>
          <w:rFonts w:ascii="Times New Roman" w:hAnsi="Times New Roman" w:cs="Times New Roman"/>
          <w:sz w:val="22"/>
          <w:szCs w:val="22"/>
          <w:lang w:val="en-US"/>
        </w:rPr>
        <w:t>0.024</w:t>
      </w:r>
    </w:p>
    <w:p w14:paraId="72ABA671" w14:textId="77777777" w:rsidR="003448F6" w:rsidRPr="00BA54C0" w:rsidRDefault="003448F6" w:rsidP="00DF6DB4">
      <w:pPr>
        <w:pStyle w:val="p1"/>
        <w:rPr>
          <w:rStyle w:val="s1"/>
          <w:rFonts w:ascii="Times New Roman" w:hAnsi="Times New Roman" w:cs="Times New Roman"/>
          <w:sz w:val="22"/>
          <w:szCs w:val="22"/>
          <w:lang w:val="en-US"/>
        </w:rPr>
      </w:pPr>
    </w:p>
    <w:p w14:paraId="3E1D335D" w14:textId="71AFB52E" w:rsidR="003448F6" w:rsidRPr="00BA54C0" w:rsidRDefault="003448F6" w:rsidP="00DF6DB4">
      <w:pPr>
        <w:pStyle w:val="p1"/>
        <w:rPr>
          <w:rStyle w:val="s1"/>
          <w:rFonts w:ascii="Times New Roman" w:hAnsi="Times New Roman" w:cs="Times New Roman"/>
          <w:sz w:val="24"/>
          <w:szCs w:val="22"/>
        </w:rPr>
      </w:pPr>
      <w:r w:rsidRPr="00BA54C0">
        <w:rPr>
          <w:rStyle w:val="s1"/>
          <w:rFonts w:ascii="Times New Roman" w:hAnsi="Times New Roman" w:cs="Times New Roman"/>
          <w:sz w:val="24"/>
          <w:szCs w:val="22"/>
        </w:rPr>
        <w:t xml:space="preserve">Les indices à utiliser doivent être </w:t>
      </w:r>
      <w:r w:rsidR="00BE3817" w:rsidRPr="00BA54C0">
        <w:rPr>
          <w:rStyle w:val="s1"/>
          <w:rFonts w:ascii="Times New Roman" w:hAnsi="Times New Roman" w:cs="Times New Roman"/>
          <w:sz w:val="24"/>
          <w:szCs w:val="22"/>
        </w:rPr>
        <w:t>additionnés</w:t>
      </w:r>
      <w:r w:rsidRPr="00BA54C0">
        <w:rPr>
          <w:rStyle w:val="s1"/>
          <w:rFonts w:ascii="Times New Roman" w:hAnsi="Times New Roman" w:cs="Times New Roman"/>
          <w:sz w:val="24"/>
          <w:szCs w:val="22"/>
        </w:rPr>
        <w:t xml:space="preserve"> de 2 car le fit est ici fa</w:t>
      </w:r>
      <w:r w:rsidR="00BA54C0">
        <w:rPr>
          <w:rStyle w:val="s1"/>
          <w:rFonts w:ascii="Times New Roman" w:hAnsi="Times New Roman" w:cs="Times New Roman"/>
          <w:sz w:val="24"/>
          <w:szCs w:val="22"/>
        </w:rPr>
        <w:t>it sur le graphique erg cm</w:t>
      </w:r>
      <w:r w:rsidR="00BA54C0" w:rsidRPr="00BA54C0">
        <w:rPr>
          <w:rStyle w:val="s1"/>
          <w:rFonts w:ascii="Times New Roman" w:hAnsi="Times New Roman" w:cs="Times New Roman"/>
          <w:sz w:val="24"/>
          <w:szCs w:val="22"/>
          <w:vertAlign w:val="superscript"/>
        </w:rPr>
        <w:t>-2</w:t>
      </w:r>
      <w:r w:rsidR="00BA54C0">
        <w:rPr>
          <w:rStyle w:val="s1"/>
          <w:rFonts w:ascii="Times New Roman" w:hAnsi="Times New Roman" w:cs="Times New Roman"/>
          <w:sz w:val="24"/>
          <w:szCs w:val="22"/>
        </w:rPr>
        <w:t xml:space="preserve"> s</w:t>
      </w:r>
      <w:r w:rsidRPr="00BA54C0">
        <w:rPr>
          <w:rStyle w:val="s1"/>
          <w:rFonts w:ascii="Times New Roman" w:hAnsi="Times New Roman" w:cs="Times New Roman"/>
          <w:sz w:val="24"/>
          <w:szCs w:val="22"/>
          <w:vertAlign w:val="superscript"/>
        </w:rPr>
        <w:t>-1</w:t>
      </w:r>
      <w:r w:rsidRPr="00BA54C0">
        <w:rPr>
          <w:rStyle w:val="s1"/>
          <w:rFonts w:ascii="Times New Roman" w:hAnsi="Times New Roman" w:cs="Times New Roman"/>
          <w:sz w:val="24"/>
          <w:szCs w:val="22"/>
        </w:rPr>
        <w:t>. Il nous faut le photon index et non l’indice spectral.</w:t>
      </w:r>
    </w:p>
    <w:p w14:paraId="4AA36E66" w14:textId="7CF7BA91" w:rsidR="0021349B" w:rsidRPr="00BA54C0" w:rsidRDefault="0021349B" w:rsidP="00DF6DB4">
      <w:pPr>
        <w:pStyle w:val="p1"/>
        <w:rPr>
          <w:rFonts w:ascii="Times New Roman" w:hAnsi="Times New Roman" w:cs="Times New Roman"/>
          <w:sz w:val="24"/>
          <w:szCs w:val="22"/>
        </w:rPr>
      </w:pPr>
      <w:r w:rsidRPr="00BA54C0">
        <w:rPr>
          <w:rStyle w:val="s1"/>
          <w:rFonts w:ascii="Times New Roman" w:hAnsi="Times New Roman" w:cs="Times New Roman"/>
          <w:sz w:val="24"/>
          <w:szCs w:val="22"/>
        </w:rPr>
        <w:t>Les indices des sources 1 et 2 sont donc respectivement 2.76 et 1.78 dans les gammes de Fermi-LAT.</w:t>
      </w:r>
    </w:p>
    <w:p w14:paraId="484CE724" w14:textId="77777777" w:rsidR="00DF6DB4" w:rsidRDefault="00DF6DB4" w:rsidP="00FD1D55"/>
    <w:p w14:paraId="3E34BACB" w14:textId="77777777" w:rsidR="00C915FC" w:rsidRDefault="00C915FC" w:rsidP="00FD1D55"/>
    <w:p w14:paraId="07EEDDBC" w14:textId="1A869819" w:rsidR="00C915FC" w:rsidRDefault="00C915FC" w:rsidP="00FD1D55">
      <w:r>
        <w:t xml:space="preserve">L’ajustement du pic synchrotron donne une position à </w:t>
      </w:r>
      <w:r w:rsidR="003C60F1">
        <w:t>0.05</w:t>
      </w:r>
      <w:r w:rsidR="002227A5">
        <w:t xml:space="preserve"> </w:t>
      </w:r>
      <w:r>
        <w:t>eV</w:t>
      </w:r>
      <w:r w:rsidR="00296A5E">
        <w:t xml:space="preserve"> </w:t>
      </w:r>
      <w:r w:rsidR="003E4711">
        <w:t xml:space="preserve">pour la </w:t>
      </w:r>
      <w:r w:rsidR="00BA54C0">
        <w:t>Cen-A</w:t>
      </w:r>
      <w:r w:rsidR="003E4711">
        <w:t xml:space="preserve"> et 20.6 </w:t>
      </w:r>
      <w:r w:rsidR="00296A5E">
        <w:t>eV pour la source 2</w:t>
      </w:r>
      <w:r>
        <w:t>.</w:t>
      </w:r>
      <w:r w:rsidR="006909D5">
        <w:t xml:space="preserve"> La conversion de eV en Hz donne respectivement </w:t>
      </w:r>
      <w:r w:rsidR="003C60F1" w:rsidRPr="003C60F1">
        <w:t>1.2</w:t>
      </w:r>
      <w:r w:rsidR="00BA54C0">
        <w:t xml:space="preserve"> 10</w:t>
      </w:r>
      <w:r w:rsidR="003C60F1" w:rsidRPr="00BA54C0">
        <w:rPr>
          <w:vertAlign w:val="superscript"/>
        </w:rPr>
        <w:t>13</w:t>
      </w:r>
      <w:r w:rsidR="002227A5">
        <w:t xml:space="preserve"> </w:t>
      </w:r>
      <w:r w:rsidR="006909D5">
        <w:t>Hz et</w:t>
      </w:r>
      <w:r w:rsidR="003E4711">
        <w:t xml:space="preserve"> </w:t>
      </w:r>
      <w:r w:rsidR="003E4711" w:rsidRPr="003E4711">
        <w:t>4.98</w:t>
      </w:r>
      <w:r w:rsidR="00BA54C0">
        <w:t xml:space="preserve"> 10</w:t>
      </w:r>
      <w:r w:rsidR="003E4711" w:rsidRPr="00BA54C0">
        <w:rPr>
          <w:vertAlign w:val="superscript"/>
        </w:rPr>
        <w:t>15</w:t>
      </w:r>
      <w:r w:rsidR="00BA54C0">
        <w:t>Hz pour les sources Cen-A</w:t>
      </w:r>
      <w:r w:rsidR="006909D5">
        <w:t xml:space="preserve"> et 2.</w:t>
      </w:r>
    </w:p>
    <w:p w14:paraId="2057865D" w14:textId="77777777" w:rsidR="00C915FC" w:rsidRDefault="00C915FC" w:rsidP="00FD1D55"/>
    <w:p w14:paraId="0BFC08F7" w14:textId="4AE7302F" w:rsidR="00C915FC" w:rsidRDefault="00C915FC" w:rsidP="00BA54C0">
      <w:pPr>
        <w:outlineLvl w:val="0"/>
      </w:pPr>
      <w:r>
        <w:t>Ainsi la position dans l’espace des par</w:t>
      </w:r>
      <w:r w:rsidR="00EB130E">
        <w:t>a</w:t>
      </w:r>
      <w:r>
        <w:t xml:space="preserve">mètres de cette source est montrée sur la Figure </w:t>
      </w:r>
      <w:r w:rsidR="00BA54C0">
        <w:t>9.</w:t>
      </w:r>
    </w:p>
    <w:p w14:paraId="520CAF6C" w14:textId="77777777" w:rsidR="00C915FC" w:rsidRDefault="00C915FC" w:rsidP="00FD1D55"/>
    <w:p w14:paraId="7B4CE64C" w14:textId="3885BB58" w:rsidR="008E43D1" w:rsidRDefault="00BA54C0" w:rsidP="00FD1D55">
      <w:r>
        <w:t>Cen-A</w:t>
      </w:r>
      <w:r w:rsidR="00C915FC">
        <w:t xml:space="preserve"> est ainsi catalogué comme un </w:t>
      </w:r>
      <w:r w:rsidR="00B02644">
        <w:t>FSRQ.</w:t>
      </w:r>
    </w:p>
    <w:p w14:paraId="57594193" w14:textId="5B33690B" w:rsidR="000C011E" w:rsidRDefault="000C011E" w:rsidP="00FD1D55">
      <w:r>
        <w:t xml:space="preserve">La source 2 peut </w:t>
      </w:r>
      <w:r w:rsidR="00B02644">
        <w:t xml:space="preserve">donc être catégorisée comme </w:t>
      </w:r>
      <w:r w:rsidR="00BA54C0">
        <w:t>un HBL</w:t>
      </w:r>
      <w:r w:rsidR="00B02644">
        <w:t>.</w:t>
      </w:r>
    </w:p>
    <w:p w14:paraId="68763CA7" w14:textId="69E1B61B" w:rsidR="00C915FC" w:rsidRDefault="00C915FC" w:rsidP="00FD1D55">
      <w:r>
        <w:rPr>
          <w:noProof/>
        </w:rPr>
        <w:lastRenderedPageBreak/>
        <w:drawing>
          <wp:inline distT="0" distB="0" distL="0" distR="0" wp14:anchorId="131411AA" wp14:editId="03F65F2F">
            <wp:extent cx="5752465" cy="3724275"/>
            <wp:effectExtent l="0" t="0" r="0" b="9525"/>
            <wp:docPr id="14" name="Image 14" descr="../../../Desktop/Capture%20d’écran%202019-03-22%20à%2016.2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9-03-22%20à%2016.25.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724275"/>
                    </a:xfrm>
                    <a:prstGeom prst="rect">
                      <a:avLst/>
                    </a:prstGeom>
                    <a:noFill/>
                    <a:ln>
                      <a:noFill/>
                    </a:ln>
                  </pic:spPr>
                </pic:pic>
              </a:graphicData>
            </a:graphic>
          </wp:inline>
        </w:drawing>
      </w:r>
    </w:p>
    <w:p w14:paraId="59E31EDF" w14:textId="2B8B5690" w:rsidR="00BA54C0" w:rsidRDefault="00BA54C0" w:rsidP="00BA54C0">
      <w:pPr>
        <w:jc w:val="center"/>
      </w:pPr>
      <w:r>
        <w:t>Figure 9 : Position des Noyaux actifs de galaxie en fonction de l’indice spectral dans la gamme Fermi-LAT et la position du pic synchrotron</w:t>
      </w:r>
    </w:p>
    <w:p w14:paraId="6003E88A" w14:textId="77777777" w:rsidR="000F2A36" w:rsidRDefault="000F2A36" w:rsidP="00FD1D55"/>
    <w:p w14:paraId="10FCD718" w14:textId="45C6F7FE" w:rsidR="000F2A36" w:rsidRPr="00671DFD" w:rsidRDefault="000F2A36" w:rsidP="00BA54C0">
      <w:pPr>
        <w:outlineLvl w:val="0"/>
        <w:rPr>
          <w:sz w:val="32"/>
        </w:rPr>
      </w:pPr>
      <w:r w:rsidRPr="00671DFD">
        <w:rPr>
          <w:sz w:val="32"/>
        </w:rPr>
        <w:t>Conclusion</w:t>
      </w:r>
    </w:p>
    <w:p w14:paraId="4ED468D8" w14:textId="77777777" w:rsidR="000F2A36" w:rsidRDefault="000F2A36" w:rsidP="00FD1D55"/>
    <w:p w14:paraId="73DDF1B3" w14:textId="6F00B1A8" w:rsidR="00957672" w:rsidRDefault="00D23160" w:rsidP="00FD1D55">
      <w:r>
        <w:t>Ce TP a pa</w:t>
      </w:r>
      <w:r w:rsidR="000F2A36">
        <w:t xml:space="preserve">rmi de mettre en application les notions vues durant les formations théoriques en astronomie gamma et </w:t>
      </w:r>
      <w:proofErr w:type="spellStart"/>
      <w:r w:rsidR="000F2A36">
        <w:t>Cherenkov</w:t>
      </w:r>
      <w:proofErr w:type="spellEnd"/>
      <w:r w:rsidR="000F2A36">
        <w:t xml:space="preserve">. </w:t>
      </w:r>
      <w:r w:rsidR="00957672">
        <w:t xml:space="preserve">Des informations fondamentales sur la source connues </w:t>
      </w:r>
      <w:proofErr w:type="spellStart"/>
      <w:r w:rsidR="00957672">
        <w:t>Centaurus</w:t>
      </w:r>
      <w:proofErr w:type="spellEnd"/>
      <w:r w:rsidR="00957672">
        <w:t xml:space="preserve"> A ont </w:t>
      </w:r>
      <w:r w:rsidR="00BA54C0">
        <w:t>pu</w:t>
      </w:r>
      <w:r w:rsidR="00957672">
        <w:t xml:space="preserve"> être retrouvée. De plus une nouvelle source inconnue a été détectée. </w:t>
      </w:r>
    </w:p>
    <w:p w14:paraId="7D2496B9" w14:textId="019EF0C2" w:rsidR="000F2A36" w:rsidRDefault="00957672" w:rsidP="00FD1D55">
      <w:r>
        <w:t xml:space="preserve"> </w:t>
      </w:r>
      <w:r w:rsidR="000F2A36">
        <w:t xml:space="preserve">Les méthodes appliquées ont permis d’identifier la </w:t>
      </w:r>
      <w:r>
        <w:t xml:space="preserve">nouvelle </w:t>
      </w:r>
      <w:r w:rsidR="000F2A36">
        <w:t>source comme …</w:t>
      </w:r>
    </w:p>
    <w:sectPr w:rsidR="000F2A36" w:rsidSect="004C1B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518E"/>
    <w:multiLevelType w:val="hybridMultilevel"/>
    <w:tmpl w:val="FCEA49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4E699F"/>
    <w:multiLevelType w:val="multilevel"/>
    <w:tmpl w:val="9BE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958DE"/>
    <w:multiLevelType w:val="hybridMultilevel"/>
    <w:tmpl w:val="1E2E4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882705"/>
    <w:multiLevelType w:val="hybridMultilevel"/>
    <w:tmpl w:val="21B0C6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096A3E"/>
    <w:multiLevelType w:val="hybridMultilevel"/>
    <w:tmpl w:val="553E82E8"/>
    <w:lvl w:ilvl="0" w:tplc="618E1CA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2202FF"/>
    <w:multiLevelType w:val="hybridMultilevel"/>
    <w:tmpl w:val="518CC342"/>
    <w:lvl w:ilvl="0" w:tplc="BB9ABCF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82A61B1"/>
    <w:multiLevelType w:val="hybridMultilevel"/>
    <w:tmpl w:val="51A211C0"/>
    <w:lvl w:ilvl="0" w:tplc="325A0300">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99579C"/>
    <w:multiLevelType w:val="hybridMultilevel"/>
    <w:tmpl w:val="B4883A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5"/>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66"/>
    <w:rsid w:val="00007487"/>
    <w:rsid w:val="0001696B"/>
    <w:rsid w:val="00020254"/>
    <w:rsid w:val="00020FA8"/>
    <w:rsid w:val="00022B1B"/>
    <w:rsid w:val="00023BF4"/>
    <w:rsid w:val="00024D18"/>
    <w:rsid w:val="00026097"/>
    <w:rsid w:val="00026B83"/>
    <w:rsid w:val="00032704"/>
    <w:rsid w:val="00035259"/>
    <w:rsid w:val="00035833"/>
    <w:rsid w:val="000359A9"/>
    <w:rsid w:val="000400C8"/>
    <w:rsid w:val="00040F28"/>
    <w:rsid w:val="00042CA1"/>
    <w:rsid w:val="00055B77"/>
    <w:rsid w:val="00056D24"/>
    <w:rsid w:val="000704A6"/>
    <w:rsid w:val="00075C9A"/>
    <w:rsid w:val="00080A2F"/>
    <w:rsid w:val="00085229"/>
    <w:rsid w:val="00087345"/>
    <w:rsid w:val="00092D35"/>
    <w:rsid w:val="00097487"/>
    <w:rsid w:val="000A6847"/>
    <w:rsid w:val="000B3178"/>
    <w:rsid w:val="000B3A9A"/>
    <w:rsid w:val="000B45BF"/>
    <w:rsid w:val="000B6424"/>
    <w:rsid w:val="000C00E7"/>
    <w:rsid w:val="000C011E"/>
    <w:rsid w:val="000C11B0"/>
    <w:rsid w:val="000D1A28"/>
    <w:rsid w:val="000D23FF"/>
    <w:rsid w:val="000D3B41"/>
    <w:rsid w:val="000D7610"/>
    <w:rsid w:val="000E452B"/>
    <w:rsid w:val="000E5A4B"/>
    <w:rsid w:val="000E5A6D"/>
    <w:rsid w:val="000E5AF1"/>
    <w:rsid w:val="000E5B3A"/>
    <w:rsid w:val="000E696D"/>
    <w:rsid w:val="000F2A36"/>
    <w:rsid w:val="000F6558"/>
    <w:rsid w:val="000F6C14"/>
    <w:rsid w:val="001071FF"/>
    <w:rsid w:val="001201E7"/>
    <w:rsid w:val="00122D2C"/>
    <w:rsid w:val="0013337E"/>
    <w:rsid w:val="0013406A"/>
    <w:rsid w:val="00135F67"/>
    <w:rsid w:val="00136579"/>
    <w:rsid w:val="00137235"/>
    <w:rsid w:val="00143E16"/>
    <w:rsid w:val="001464DB"/>
    <w:rsid w:val="00146A74"/>
    <w:rsid w:val="0014783E"/>
    <w:rsid w:val="00152001"/>
    <w:rsid w:val="00160E9D"/>
    <w:rsid w:val="00161E7A"/>
    <w:rsid w:val="00164066"/>
    <w:rsid w:val="0016463F"/>
    <w:rsid w:val="0017320D"/>
    <w:rsid w:val="001735BE"/>
    <w:rsid w:val="00174616"/>
    <w:rsid w:val="0017684A"/>
    <w:rsid w:val="0018186F"/>
    <w:rsid w:val="00182A66"/>
    <w:rsid w:val="00182B1B"/>
    <w:rsid w:val="001935F2"/>
    <w:rsid w:val="00194373"/>
    <w:rsid w:val="001B0C21"/>
    <w:rsid w:val="001B2823"/>
    <w:rsid w:val="001B3D20"/>
    <w:rsid w:val="001B6F10"/>
    <w:rsid w:val="001C2B61"/>
    <w:rsid w:val="001D32BB"/>
    <w:rsid w:val="001E0F80"/>
    <w:rsid w:val="001E31DA"/>
    <w:rsid w:val="00211278"/>
    <w:rsid w:val="0021349B"/>
    <w:rsid w:val="002161F9"/>
    <w:rsid w:val="0021721C"/>
    <w:rsid w:val="0021781A"/>
    <w:rsid w:val="002227A5"/>
    <w:rsid w:val="002309A7"/>
    <w:rsid w:val="002347D2"/>
    <w:rsid w:val="00236C77"/>
    <w:rsid w:val="002469DA"/>
    <w:rsid w:val="00247C9D"/>
    <w:rsid w:val="00250186"/>
    <w:rsid w:val="0025175C"/>
    <w:rsid w:val="00252976"/>
    <w:rsid w:val="002577FE"/>
    <w:rsid w:val="002611AF"/>
    <w:rsid w:val="00263369"/>
    <w:rsid w:val="0026414F"/>
    <w:rsid w:val="00270899"/>
    <w:rsid w:val="0027300F"/>
    <w:rsid w:val="002809DA"/>
    <w:rsid w:val="00286492"/>
    <w:rsid w:val="0028665F"/>
    <w:rsid w:val="00290B9D"/>
    <w:rsid w:val="00290FE1"/>
    <w:rsid w:val="00296A5E"/>
    <w:rsid w:val="002A6F77"/>
    <w:rsid w:val="002B5871"/>
    <w:rsid w:val="002B5FB6"/>
    <w:rsid w:val="002B6E9F"/>
    <w:rsid w:val="002C3A1A"/>
    <w:rsid w:val="002C5990"/>
    <w:rsid w:val="002C61F4"/>
    <w:rsid w:val="002D16BB"/>
    <w:rsid w:val="002D6AA4"/>
    <w:rsid w:val="002E1E96"/>
    <w:rsid w:val="002E2350"/>
    <w:rsid w:val="002F6E19"/>
    <w:rsid w:val="00301661"/>
    <w:rsid w:val="00301D5B"/>
    <w:rsid w:val="00301FCD"/>
    <w:rsid w:val="003046A8"/>
    <w:rsid w:val="0031489D"/>
    <w:rsid w:val="00314CCE"/>
    <w:rsid w:val="0031593D"/>
    <w:rsid w:val="0032057F"/>
    <w:rsid w:val="0032338A"/>
    <w:rsid w:val="0033250C"/>
    <w:rsid w:val="003326CC"/>
    <w:rsid w:val="00343B3E"/>
    <w:rsid w:val="00343C10"/>
    <w:rsid w:val="003448F6"/>
    <w:rsid w:val="003603B4"/>
    <w:rsid w:val="00366E9F"/>
    <w:rsid w:val="00367ADC"/>
    <w:rsid w:val="00381AD4"/>
    <w:rsid w:val="00382454"/>
    <w:rsid w:val="00385062"/>
    <w:rsid w:val="00385A6A"/>
    <w:rsid w:val="00394ACB"/>
    <w:rsid w:val="003A20EF"/>
    <w:rsid w:val="003A6A2C"/>
    <w:rsid w:val="003B23D7"/>
    <w:rsid w:val="003B7358"/>
    <w:rsid w:val="003C5334"/>
    <w:rsid w:val="003C60F1"/>
    <w:rsid w:val="003D6361"/>
    <w:rsid w:val="003E06D6"/>
    <w:rsid w:val="003E0A35"/>
    <w:rsid w:val="003E1139"/>
    <w:rsid w:val="003E4711"/>
    <w:rsid w:val="003E4EEE"/>
    <w:rsid w:val="003E56F6"/>
    <w:rsid w:val="003E6A4B"/>
    <w:rsid w:val="003F0900"/>
    <w:rsid w:val="0040005D"/>
    <w:rsid w:val="00400089"/>
    <w:rsid w:val="004030F1"/>
    <w:rsid w:val="00414F3B"/>
    <w:rsid w:val="00422618"/>
    <w:rsid w:val="0042375B"/>
    <w:rsid w:val="00424196"/>
    <w:rsid w:val="00427048"/>
    <w:rsid w:val="00427DDB"/>
    <w:rsid w:val="00431A97"/>
    <w:rsid w:val="004370FB"/>
    <w:rsid w:val="0044005E"/>
    <w:rsid w:val="004431DD"/>
    <w:rsid w:val="004443F9"/>
    <w:rsid w:val="00444F88"/>
    <w:rsid w:val="00454379"/>
    <w:rsid w:val="00455E63"/>
    <w:rsid w:val="0046145A"/>
    <w:rsid w:val="00462785"/>
    <w:rsid w:val="004642FC"/>
    <w:rsid w:val="00472766"/>
    <w:rsid w:val="00473B87"/>
    <w:rsid w:val="0048401D"/>
    <w:rsid w:val="00485B98"/>
    <w:rsid w:val="004979AC"/>
    <w:rsid w:val="004A2390"/>
    <w:rsid w:val="004A442C"/>
    <w:rsid w:val="004A5718"/>
    <w:rsid w:val="004B0336"/>
    <w:rsid w:val="004B18BD"/>
    <w:rsid w:val="004B2B29"/>
    <w:rsid w:val="004C1BA4"/>
    <w:rsid w:val="004C4A1D"/>
    <w:rsid w:val="004D0162"/>
    <w:rsid w:val="004D443C"/>
    <w:rsid w:val="004D586B"/>
    <w:rsid w:val="004D5EF4"/>
    <w:rsid w:val="004E26F0"/>
    <w:rsid w:val="004E37C3"/>
    <w:rsid w:val="004F2A71"/>
    <w:rsid w:val="004F63A4"/>
    <w:rsid w:val="004F74D1"/>
    <w:rsid w:val="0050142F"/>
    <w:rsid w:val="00503FB0"/>
    <w:rsid w:val="00504BD0"/>
    <w:rsid w:val="00507957"/>
    <w:rsid w:val="005113CF"/>
    <w:rsid w:val="005160D5"/>
    <w:rsid w:val="005206EE"/>
    <w:rsid w:val="00520D25"/>
    <w:rsid w:val="0052286D"/>
    <w:rsid w:val="00534F37"/>
    <w:rsid w:val="00540D41"/>
    <w:rsid w:val="005413B2"/>
    <w:rsid w:val="00546C8B"/>
    <w:rsid w:val="005565F6"/>
    <w:rsid w:val="00557B82"/>
    <w:rsid w:val="00567337"/>
    <w:rsid w:val="00570B8D"/>
    <w:rsid w:val="0058589F"/>
    <w:rsid w:val="005907A0"/>
    <w:rsid w:val="00591312"/>
    <w:rsid w:val="005916C0"/>
    <w:rsid w:val="005928F1"/>
    <w:rsid w:val="00592C38"/>
    <w:rsid w:val="005936DC"/>
    <w:rsid w:val="00593B0C"/>
    <w:rsid w:val="00595A0D"/>
    <w:rsid w:val="005A6FDE"/>
    <w:rsid w:val="005B70C7"/>
    <w:rsid w:val="005C0E25"/>
    <w:rsid w:val="005D20B5"/>
    <w:rsid w:val="005D3082"/>
    <w:rsid w:val="005D7BDA"/>
    <w:rsid w:val="005F0ADF"/>
    <w:rsid w:val="005F2578"/>
    <w:rsid w:val="005F5660"/>
    <w:rsid w:val="00600DE2"/>
    <w:rsid w:val="00602149"/>
    <w:rsid w:val="006022C1"/>
    <w:rsid w:val="00604586"/>
    <w:rsid w:val="00606828"/>
    <w:rsid w:val="0061016A"/>
    <w:rsid w:val="00611CDC"/>
    <w:rsid w:val="00617ADE"/>
    <w:rsid w:val="0062368B"/>
    <w:rsid w:val="0063256C"/>
    <w:rsid w:val="00636A45"/>
    <w:rsid w:val="00645227"/>
    <w:rsid w:val="00646CBE"/>
    <w:rsid w:val="006511AB"/>
    <w:rsid w:val="006533BC"/>
    <w:rsid w:val="006567E9"/>
    <w:rsid w:val="00660986"/>
    <w:rsid w:val="00663AB0"/>
    <w:rsid w:val="006707EE"/>
    <w:rsid w:val="00671DFD"/>
    <w:rsid w:val="00677668"/>
    <w:rsid w:val="006812A8"/>
    <w:rsid w:val="00683D68"/>
    <w:rsid w:val="00683DA1"/>
    <w:rsid w:val="00685AE5"/>
    <w:rsid w:val="006909D5"/>
    <w:rsid w:val="00691D4E"/>
    <w:rsid w:val="00695F99"/>
    <w:rsid w:val="006963A0"/>
    <w:rsid w:val="006969DD"/>
    <w:rsid w:val="006A14AA"/>
    <w:rsid w:val="006A2168"/>
    <w:rsid w:val="006A3120"/>
    <w:rsid w:val="006A47E9"/>
    <w:rsid w:val="006A7DEA"/>
    <w:rsid w:val="006B0DF2"/>
    <w:rsid w:val="006C104E"/>
    <w:rsid w:val="006C3EDE"/>
    <w:rsid w:val="006D1A09"/>
    <w:rsid w:val="006E71FE"/>
    <w:rsid w:val="006F0EC9"/>
    <w:rsid w:val="006F1455"/>
    <w:rsid w:val="006F33A7"/>
    <w:rsid w:val="006F4155"/>
    <w:rsid w:val="0070570E"/>
    <w:rsid w:val="00705C2A"/>
    <w:rsid w:val="00713B08"/>
    <w:rsid w:val="00714A1D"/>
    <w:rsid w:val="00724874"/>
    <w:rsid w:val="00736B1C"/>
    <w:rsid w:val="00752FAC"/>
    <w:rsid w:val="00765782"/>
    <w:rsid w:val="00770013"/>
    <w:rsid w:val="0077373A"/>
    <w:rsid w:val="00775017"/>
    <w:rsid w:val="007765D1"/>
    <w:rsid w:val="00783D66"/>
    <w:rsid w:val="0078689E"/>
    <w:rsid w:val="00787E06"/>
    <w:rsid w:val="0079463E"/>
    <w:rsid w:val="007A1C90"/>
    <w:rsid w:val="007A224C"/>
    <w:rsid w:val="007B18A0"/>
    <w:rsid w:val="007B311B"/>
    <w:rsid w:val="007D0303"/>
    <w:rsid w:val="007D1A5F"/>
    <w:rsid w:val="007D1B1C"/>
    <w:rsid w:val="007D466C"/>
    <w:rsid w:val="007D6174"/>
    <w:rsid w:val="007E2999"/>
    <w:rsid w:val="007E4275"/>
    <w:rsid w:val="007E4769"/>
    <w:rsid w:val="007F41E6"/>
    <w:rsid w:val="007F4C91"/>
    <w:rsid w:val="007F6F19"/>
    <w:rsid w:val="007F7511"/>
    <w:rsid w:val="0080496B"/>
    <w:rsid w:val="00811DB6"/>
    <w:rsid w:val="0081259D"/>
    <w:rsid w:val="00826999"/>
    <w:rsid w:val="008322C5"/>
    <w:rsid w:val="00834F36"/>
    <w:rsid w:val="008358F0"/>
    <w:rsid w:val="00840F13"/>
    <w:rsid w:val="00841352"/>
    <w:rsid w:val="00842560"/>
    <w:rsid w:val="008465BD"/>
    <w:rsid w:val="008477C6"/>
    <w:rsid w:val="00850257"/>
    <w:rsid w:val="008515D2"/>
    <w:rsid w:val="00854E3F"/>
    <w:rsid w:val="00862B3C"/>
    <w:rsid w:val="00863BE1"/>
    <w:rsid w:val="008850F9"/>
    <w:rsid w:val="00886C0B"/>
    <w:rsid w:val="00887853"/>
    <w:rsid w:val="00887944"/>
    <w:rsid w:val="00887DC0"/>
    <w:rsid w:val="008920E9"/>
    <w:rsid w:val="00896D34"/>
    <w:rsid w:val="008A50F9"/>
    <w:rsid w:val="008B1DA0"/>
    <w:rsid w:val="008B31A9"/>
    <w:rsid w:val="008B3877"/>
    <w:rsid w:val="008B6628"/>
    <w:rsid w:val="008C1DBA"/>
    <w:rsid w:val="008C56DA"/>
    <w:rsid w:val="008D562F"/>
    <w:rsid w:val="008D5723"/>
    <w:rsid w:val="008D7659"/>
    <w:rsid w:val="008E43D1"/>
    <w:rsid w:val="008F0BFB"/>
    <w:rsid w:val="008F3B08"/>
    <w:rsid w:val="009037EC"/>
    <w:rsid w:val="00910206"/>
    <w:rsid w:val="00911CC6"/>
    <w:rsid w:val="00915163"/>
    <w:rsid w:val="00916086"/>
    <w:rsid w:val="00916DD5"/>
    <w:rsid w:val="00921707"/>
    <w:rsid w:val="00927FA3"/>
    <w:rsid w:val="00935D97"/>
    <w:rsid w:val="00952557"/>
    <w:rsid w:val="00957672"/>
    <w:rsid w:val="0096759B"/>
    <w:rsid w:val="00975397"/>
    <w:rsid w:val="009753E3"/>
    <w:rsid w:val="009771A7"/>
    <w:rsid w:val="009862ED"/>
    <w:rsid w:val="0099264E"/>
    <w:rsid w:val="00993D89"/>
    <w:rsid w:val="009B496A"/>
    <w:rsid w:val="009B72F2"/>
    <w:rsid w:val="009B7BC8"/>
    <w:rsid w:val="009C078B"/>
    <w:rsid w:val="009D079D"/>
    <w:rsid w:val="009D20B6"/>
    <w:rsid w:val="009D44EA"/>
    <w:rsid w:val="009D6F93"/>
    <w:rsid w:val="009E1777"/>
    <w:rsid w:val="009E6CA3"/>
    <w:rsid w:val="009F215E"/>
    <w:rsid w:val="009F3DCA"/>
    <w:rsid w:val="009F4D63"/>
    <w:rsid w:val="009F51A2"/>
    <w:rsid w:val="00A0379F"/>
    <w:rsid w:val="00A04381"/>
    <w:rsid w:val="00A310BB"/>
    <w:rsid w:val="00A36540"/>
    <w:rsid w:val="00A5377F"/>
    <w:rsid w:val="00A53C95"/>
    <w:rsid w:val="00A57496"/>
    <w:rsid w:val="00A613A7"/>
    <w:rsid w:val="00A61746"/>
    <w:rsid w:val="00A65DF8"/>
    <w:rsid w:val="00A672DD"/>
    <w:rsid w:val="00A71DE1"/>
    <w:rsid w:val="00A73123"/>
    <w:rsid w:val="00A77944"/>
    <w:rsid w:val="00A80011"/>
    <w:rsid w:val="00A855B7"/>
    <w:rsid w:val="00A85E65"/>
    <w:rsid w:val="00A91CEA"/>
    <w:rsid w:val="00A91FF7"/>
    <w:rsid w:val="00A9550D"/>
    <w:rsid w:val="00AA4AE7"/>
    <w:rsid w:val="00AB46BD"/>
    <w:rsid w:val="00AB4CEE"/>
    <w:rsid w:val="00AB558E"/>
    <w:rsid w:val="00AB67C2"/>
    <w:rsid w:val="00AC5709"/>
    <w:rsid w:val="00AC5F20"/>
    <w:rsid w:val="00AD009B"/>
    <w:rsid w:val="00AD1618"/>
    <w:rsid w:val="00AD4A48"/>
    <w:rsid w:val="00AD5B33"/>
    <w:rsid w:val="00B005A3"/>
    <w:rsid w:val="00B02644"/>
    <w:rsid w:val="00B04D41"/>
    <w:rsid w:val="00B0536F"/>
    <w:rsid w:val="00B14FEB"/>
    <w:rsid w:val="00B15475"/>
    <w:rsid w:val="00B22F08"/>
    <w:rsid w:val="00B231F5"/>
    <w:rsid w:val="00B251CB"/>
    <w:rsid w:val="00B30BDF"/>
    <w:rsid w:val="00B31857"/>
    <w:rsid w:val="00B34B14"/>
    <w:rsid w:val="00B37428"/>
    <w:rsid w:val="00B43515"/>
    <w:rsid w:val="00B6356D"/>
    <w:rsid w:val="00B817D8"/>
    <w:rsid w:val="00B81B9A"/>
    <w:rsid w:val="00B81F91"/>
    <w:rsid w:val="00B82DCB"/>
    <w:rsid w:val="00B91D40"/>
    <w:rsid w:val="00B93FB3"/>
    <w:rsid w:val="00BA54C0"/>
    <w:rsid w:val="00BA6B3F"/>
    <w:rsid w:val="00BA6D56"/>
    <w:rsid w:val="00BB1D55"/>
    <w:rsid w:val="00BB30A2"/>
    <w:rsid w:val="00BC42A7"/>
    <w:rsid w:val="00BC5227"/>
    <w:rsid w:val="00BD3528"/>
    <w:rsid w:val="00BE01D2"/>
    <w:rsid w:val="00BE117A"/>
    <w:rsid w:val="00BE3817"/>
    <w:rsid w:val="00BE5952"/>
    <w:rsid w:val="00BE7280"/>
    <w:rsid w:val="00BF1531"/>
    <w:rsid w:val="00BF2C88"/>
    <w:rsid w:val="00C016D4"/>
    <w:rsid w:val="00C075B1"/>
    <w:rsid w:val="00C110B5"/>
    <w:rsid w:val="00C16A16"/>
    <w:rsid w:val="00C2213B"/>
    <w:rsid w:val="00C25625"/>
    <w:rsid w:val="00C271BA"/>
    <w:rsid w:val="00C33B56"/>
    <w:rsid w:val="00C35DD6"/>
    <w:rsid w:val="00C37CD9"/>
    <w:rsid w:val="00C446D7"/>
    <w:rsid w:val="00C53E47"/>
    <w:rsid w:val="00C6227F"/>
    <w:rsid w:val="00C72B09"/>
    <w:rsid w:val="00C731FF"/>
    <w:rsid w:val="00C776A2"/>
    <w:rsid w:val="00C83EF9"/>
    <w:rsid w:val="00C841D3"/>
    <w:rsid w:val="00C85BFD"/>
    <w:rsid w:val="00C915FC"/>
    <w:rsid w:val="00C93C17"/>
    <w:rsid w:val="00C93C78"/>
    <w:rsid w:val="00C93CDB"/>
    <w:rsid w:val="00C95F7C"/>
    <w:rsid w:val="00CA0BD4"/>
    <w:rsid w:val="00CB0858"/>
    <w:rsid w:val="00CC46BC"/>
    <w:rsid w:val="00CD7881"/>
    <w:rsid w:val="00CE4B67"/>
    <w:rsid w:val="00CE50B6"/>
    <w:rsid w:val="00CF702D"/>
    <w:rsid w:val="00CF7B27"/>
    <w:rsid w:val="00D01A3D"/>
    <w:rsid w:val="00D024BC"/>
    <w:rsid w:val="00D13D9F"/>
    <w:rsid w:val="00D154A2"/>
    <w:rsid w:val="00D16BDE"/>
    <w:rsid w:val="00D16D65"/>
    <w:rsid w:val="00D21BA1"/>
    <w:rsid w:val="00D23160"/>
    <w:rsid w:val="00D24123"/>
    <w:rsid w:val="00D241B4"/>
    <w:rsid w:val="00D24E70"/>
    <w:rsid w:val="00D25CD9"/>
    <w:rsid w:val="00D40798"/>
    <w:rsid w:val="00D40A98"/>
    <w:rsid w:val="00D4152D"/>
    <w:rsid w:val="00D426CD"/>
    <w:rsid w:val="00D43EFB"/>
    <w:rsid w:val="00D47800"/>
    <w:rsid w:val="00D623DD"/>
    <w:rsid w:val="00D70803"/>
    <w:rsid w:val="00D73C95"/>
    <w:rsid w:val="00D83CD3"/>
    <w:rsid w:val="00D95311"/>
    <w:rsid w:val="00D97D94"/>
    <w:rsid w:val="00DA2CBF"/>
    <w:rsid w:val="00DA69DF"/>
    <w:rsid w:val="00DB4142"/>
    <w:rsid w:val="00DB5059"/>
    <w:rsid w:val="00DB56A1"/>
    <w:rsid w:val="00DB5AF2"/>
    <w:rsid w:val="00DB7588"/>
    <w:rsid w:val="00DC11C1"/>
    <w:rsid w:val="00DC4686"/>
    <w:rsid w:val="00DC701F"/>
    <w:rsid w:val="00DD0FD7"/>
    <w:rsid w:val="00DD19E5"/>
    <w:rsid w:val="00DD4835"/>
    <w:rsid w:val="00DE39C4"/>
    <w:rsid w:val="00DF6DB4"/>
    <w:rsid w:val="00E020DB"/>
    <w:rsid w:val="00E11BAB"/>
    <w:rsid w:val="00E13CAA"/>
    <w:rsid w:val="00E13E58"/>
    <w:rsid w:val="00E17307"/>
    <w:rsid w:val="00E266A4"/>
    <w:rsid w:val="00E26AF9"/>
    <w:rsid w:val="00E3249E"/>
    <w:rsid w:val="00E34E47"/>
    <w:rsid w:val="00E47E14"/>
    <w:rsid w:val="00E55541"/>
    <w:rsid w:val="00E55E63"/>
    <w:rsid w:val="00E56982"/>
    <w:rsid w:val="00E63487"/>
    <w:rsid w:val="00E67DD0"/>
    <w:rsid w:val="00E80E62"/>
    <w:rsid w:val="00E80F82"/>
    <w:rsid w:val="00E86D77"/>
    <w:rsid w:val="00E90B24"/>
    <w:rsid w:val="00E90D5D"/>
    <w:rsid w:val="00EA02D0"/>
    <w:rsid w:val="00EA065E"/>
    <w:rsid w:val="00EA3B61"/>
    <w:rsid w:val="00EB02D0"/>
    <w:rsid w:val="00EB130E"/>
    <w:rsid w:val="00EB1541"/>
    <w:rsid w:val="00EB55E0"/>
    <w:rsid w:val="00EC1F28"/>
    <w:rsid w:val="00EC256F"/>
    <w:rsid w:val="00EC2D85"/>
    <w:rsid w:val="00ED6CBF"/>
    <w:rsid w:val="00ED7504"/>
    <w:rsid w:val="00EE1EF8"/>
    <w:rsid w:val="00EE3028"/>
    <w:rsid w:val="00EE6BB0"/>
    <w:rsid w:val="00EE7EEC"/>
    <w:rsid w:val="00EF1741"/>
    <w:rsid w:val="00EF58F4"/>
    <w:rsid w:val="00F0249D"/>
    <w:rsid w:val="00F10498"/>
    <w:rsid w:val="00F13EF5"/>
    <w:rsid w:val="00F152E1"/>
    <w:rsid w:val="00F22D4C"/>
    <w:rsid w:val="00F23A8C"/>
    <w:rsid w:val="00F275A0"/>
    <w:rsid w:val="00F3587C"/>
    <w:rsid w:val="00F36099"/>
    <w:rsid w:val="00F36F3A"/>
    <w:rsid w:val="00F3772D"/>
    <w:rsid w:val="00F420F9"/>
    <w:rsid w:val="00F44CD4"/>
    <w:rsid w:val="00F45779"/>
    <w:rsid w:val="00F502EE"/>
    <w:rsid w:val="00F65491"/>
    <w:rsid w:val="00F666A5"/>
    <w:rsid w:val="00F67015"/>
    <w:rsid w:val="00F74A58"/>
    <w:rsid w:val="00F76482"/>
    <w:rsid w:val="00F76BC9"/>
    <w:rsid w:val="00F77CCA"/>
    <w:rsid w:val="00F95D72"/>
    <w:rsid w:val="00F96EB3"/>
    <w:rsid w:val="00FA349B"/>
    <w:rsid w:val="00FA4D6C"/>
    <w:rsid w:val="00FA5BC3"/>
    <w:rsid w:val="00FB2AE3"/>
    <w:rsid w:val="00FB39DE"/>
    <w:rsid w:val="00FB4F5D"/>
    <w:rsid w:val="00FB7DCC"/>
    <w:rsid w:val="00FC6DD9"/>
    <w:rsid w:val="00FC6FD7"/>
    <w:rsid w:val="00FD1D55"/>
    <w:rsid w:val="00FD6C21"/>
    <w:rsid w:val="00FE0C82"/>
    <w:rsid w:val="00FE1833"/>
    <w:rsid w:val="00FE2AD8"/>
    <w:rsid w:val="00FF5365"/>
    <w:rsid w:val="00FF53DE"/>
    <w:rsid w:val="00FF54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74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2578"/>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164066"/>
    <w:pPr>
      <w:ind w:left="720"/>
      <w:contextualSpacing/>
    </w:pPr>
    <w:rPr>
      <w:rFonts w:asciiTheme="minorHAnsi" w:hAnsiTheme="minorHAnsi" w:cstheme="minorBidi"/>
      <w:lang w:eastAsia="en-US"/>
    </w:rPr>
  </w:style>
  <w:style w:type="paragraph" w:styleId="PrformatHTML">
    <w:name w:val="HTML Preformatted"/>
    <w:basedOn w:val="Normal"/>
    <w:link w:val="PrformatHTMLCar"/>
    <w:uiPriority w:val="99"/>
    <w:unhideWhenUsed/>
    <w:rsid w:val="0030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301661"/>
    <w:rPr>
      <w:rFonts w:ascii="Courier New" w:hAnsi="Courier New" w:cs="Courier New"/>
      <w:sz w:val="20"/>
      <w:szCs w:val="20"/>
      <w:lang w:eastAsia="fr-FR"/>
    </w:rPr>
  </w:style>
  <w:style w:type="character" w:customStyle="1" w:styleId="o">
    <w:name w:val="o"/>
    <w:basedOn w:val="Policepardfaut"/>
    <w:rsid w:val="00301661"/>
  </w:style>
  <w:style w:type="character" w:customStyle="1" w:styleId="m">
    <w:name w:val="m"/>
    <w:basedOn w:val="Policepardfaut"/>
    <w:rsid w:val="00301661"/>
  </w:style>
  <w:style w:type="character" w:customStyle="1" w:styleId="p">
    <w:name w:val="p"/>
    <w:basedOn w:val="Policepardfaut"/>
    <w:rsid w:val="00301661"/>
  </w:style>
  <w:style w:type="character" w:customStyle="1" w:styleId="nv">
    <w:name w:val="nv"/>
    <w:basedOn w:val="Policepardfaut"/>
    <w:rsid w:val="00301661"/>
  </w:style>
  <w:style w:type="character" w:customStyle="1" w:styleId="k">
    <w:name w:val="k"/>
    <w:basedOn w:val="Policepardfaut"/>
    <w:rsid w:val="005D7BDA"/>
  </w:style>
  <w:style w:type="character" w:customStyle="1" w:styleId="nb">
    <w:name w:val="nb"/>
    <w:basedOn w:val="Policepardfaut"/>
    <w:rsid w:val="005D7BDA"/>
  </w:style>
  <w:style w:type="character" w:customStyle="1" w:styleId="cp">
    <w:name w:val="cp"/>
    <w:basedOn w:val="Policepardfaut"/>
    <w:rsid w:val="00E020DB"/>
  </w:style>
  <w:style w:type="character" w:customStyle="1" w:styleId="nt">
    <w:name w:val="nt"/>
    <w:basedOn w:val="Policepardfaut"/>
    <w:rsid w:val="00E020DB"/>
  </w:style>
  <w:style w:type="character" w:customStyle="1" w:styleId="na">
    <w:name w:val="na"/>
    <w:basedOn w:val="Policepardfaut"/>
    <w:rsid w:val="00E020DB"/>
  </w:style>
  <w:style w:type="character" w:customStyle="1" w:styleId="s">
    <w:name w:val="s"/>
    <w:basedOn w:val="Policepardfaut"/>
    <w:rsid w:val="00E020DB"/>
  </w:style>
  <w:style w:type="character" w:styleId="Emphase">
    <w:name w:val="Emphasis"/>
    <w:basedOn w:val="Policepardfaut"/>
    <w:uiPriority w:val="20"/>
    <w:qFormat/>
    <w:rsid w:val="005F2578"/>
    <w:rPr>
      <w:i/>
      <w:iCs/>
    </w:rPr>
  </w:style>
  <w:style w:type="character" w:customStyle="1" w:styleId="apple-converted-space">
    <w:name w:val="apple-converted-space"/>
    <w:basedOn w:val="Policepardfaut"/>
    <w:rsid w:val="009E6CA3"/>
  </w:style>
  <w:style w:type="character" w:customStyle="1" w:styleId="pre">
    <w:name w:val="pre"/>
    <w:basedOn w:val="Policepardfaut"/>
    <w:rsid w:val="009E6CA3"/>
  </w:style>
  <w:style w:type="character" w:customStyle="1" w:styleId="std">
    <w:name w:val="std"/>
    <w:basedOn w:val="Policepardfaut"/>
    <w:rsid w:val="009E6CA3"/>
  </w:style>
  <w:style w:type="character" w:customStyle="1" w:styleId="mi">
    <w:name w:val="mi"/>
    <w:basedOn w:val="Policepardfaut"/>
    <w:rsid w:val="004B2B29"/>
  </w:style>
  <w:style w:type="character" w:customStyle="1" w:styleId="mo">
    <w:name w:val="mo"/>
    <w:basedOn w:val="Policepardfaut"/>
    <w:rsid w:val="004B2B29"/>
  </w:style>
  <w:style w:type="character" w:customStyle="1" w:styleId="mjxassistivemathml">
    <w:name w:val="mjx_assistive_mathml"/>
    <w:basedOn w:val="Policepardfaut"/>
    <w:rsid w:val="004B2B29"/>
  </w:style>
  <w:style w:type="character" w:customStyle="1" w:styleId="msqrt">
    <w:name w:val="msqrt"/>
    <w:basedOn w:val="Policepardfaut"/>
    <w:rsid w:val="004B2B29"/>
  </w:style>
  <w:style w:type="character" w:customStyle="1" w:styleId="mn">
    <w:name w:val="mn"/>
    <w:basedOn w:val="Policepardfaut"/>
    <w:rsid w:val="004B2B29"/>
  </w:style>
  <w:style w:type="character" w:customStyle="1" w:styleId="highlighted">
    <w:name w:val="highlighted"/>
    <w:basedOn w:val="Policepardfaut"/>
    <w:rsid w:val="00EB1541"/>
  </w:style>
  <w:style w:type="character" w:styleId="Lienhypertexte">
    <w:name w:val="Hyperlink"/>
    <w:basedOn w:val="Policepardfaut"/>
    <w:uiPriority w:val="99"/>
    <w:unhideWhenUsed/>
    <w:rsid w:val="00591312"/>
    <w:rPr>
      <w:color w:val="0563C1" w:themeColor="hyperlink"/>
      <w:u w:val="single"/>
    </w:rPr>
  </w:style>
  <w:style w:type="character" w:styleId="Textedelespacerserv">
    <w:name w:val="Placeholder Text"/>
    <w:basedOn w:val="Policepardfaut"/>
    <w:uiPriority w:val="99"/>
    <w:semiHidden/>
    <w:rsid w:val="00E67DD0"/>
    <w:rPr>
      <w:color w:val="808080"/>
    </w:rPr>
  </w:style>
  <w:style w:type="table" w:styleId="Grilledutableau">
    <w:name w:val="Table Grid"/>
    <w:basedOn w:val="TableauNormal"/>
    <w:uiPriority w:val="39"/>
    <w:rsid w:val="00CD7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753E3"/>
    <w:rPr>
      <w:rFonts w:ascii="Menlo" w:hAnsi="Menlo" w:cs="Menlo"/>
      <w:sz w:val="17"/>
      <w:szCs w:val="17"/>
    </w:rPr>
  </w:style>
  <w:style w:type="character" w:customStyle="1" w:styleId="s1">
    <w:name w:val="s1"/>
    <w:basedOn w:val="Policepardfaut"/>
    <w:rsid w:val="009753E3"/>
  </w:style>
  <w:style w:type="character" w:styleId="Lienhypertextevisit">
    <w:name w:val="FollowedHyperlink"/>
    <w:basedOn w:val="Policepardfaut"/>
    <w:uiPriority w:val="99"/>
    <w:semiHidden/>
    <w:unhideWhenUsed/>
    <w:rsid w:val="00152001"/>
    <w:rPr>
      <w:color w:val="954F72" w:themeColor="followedHyperlink"/>
      <w:u w:val="single"/>
    </w:rPr>
  </w:style>
  <w:style w:type="paragraph" w:styleId="Explorateurdedocuments">
    <w:name w:val="Document Map"/>
    <w:basedOn w:val="Normal"/>
    <w:link w:val="ExplorateurdedocumentsCar"/>
    <w:uiPriority w:val="99"/>
    <w:semiHidden/>
    <w:unhideWhenUsed/>
    <w:rsid w:val="00BA54C0"/>
  </w:style>
  <w:style w:type="character" w:customStyle="1" w:styleId="ExplorateurdedocumentsCar">
    <w:name w:val="Explorateur de documents Car"/>
    <w:basedOn w:val="Policepardfaut"/>
    <w:link w:val="Explorateurdedocuments"/>
    <w:uiPriority w:val="99"/>
    <w:semiHidden/>
    <w:rsid w:val="00BA54C0"/>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8511">
      <w:bodyDiv w:val="1"/>
      <w:marLeft w:val="0"/>
      <w:marRight w:val="0"/>
      <w:marTop w:val="0"/>
      <w:marBottom w:val="0"/>
      <w:divBdr>
        <w:top w:val="none" w:sz="0" w:space="0" w:color="auto"/>
        <w:left w:val="none" w:sz="0" w:space="0" w:color="auto"/>
        <w:bottom w:val="none" w:sz="0" w:space="0" w:color="auto"/>
        <w:right w:val="none" w:sz="0" w:space="0" w:color="auto"/>
      </w:divBdr>
    </w:div>
    <w:div w:id="95297987">
      <w:bodyDiv w:val="1"/>
      <w:marLeft w:val="0"/>
      <w:marRight w:val="0"/>
      <w:marTop w:val="0"/>
      <w:marBottom w:val="0"/>
      <w:divBdr>
        <w:top w:val="none" w:sz="0" w:space="0" w:color="auto"/>
        <w:left w:val="none" w:sz="0" w:space="0" w:color="auto"/>
        <w:bottom w:val="none" w:sz="0" w:space="0" w:color="auto"/>
        <w:right w:val="none" w:sz="0" w:space="0" w:color="auto"/>
      </w:divBdr>
    </w:div>
    <w:div w:id="233441866">
      <w:bodyDiv w:val="1"/>
      <w:marLeft w:val="0"/>
      <w:marRight w:val="0"/>
      <w:marTop w:val="0"/>
      <w:marBottom w:val="0"/>
      <w:divBdr>
        <w:top w:val="none" w:sz="0" w:space="0" w:color="auto"/>
        <w:left w:val="none" w:sz="0" w:space="0" w:color="auto"/>
        <w:bottom w:val="none" w:sz="0" w:space="0" w:color="auto"/>
        <w:right w:val="none" w:sz="0" w:space="0" w:color="auto"/>
      </w:divBdr>
    </w:div>
    <w:div w:id="269895986">
      <w:bodyDiv w:val="1"/>
      <w:marLeft w:val="0"/>
      <w:marRight w:val="0"/>
      <w:marTop w:val="0"/>
      <w:marBottom w:val="0"/>
      <w:divBdr>
        <w:top w:val="none" w:sz="0" w:space="0" w:color="auto"/>
        <w:left w:val="none" w:sz="0" w:space="0" w:color="auto"/>
        <w:bottom w:val="none" w:sz="0" w:space="0" w:color="auto"/>
        <w:right w:val="none" w:sz="0" w:space="0" w:color="auto"/>
      </w:divBdr>
    </w:div>
    <w:div w:id="454175443">
      <w:bodyDiv w:val="1"/>
      <w:marLeft w:val="0"/>
      <w:marRight w:val="0"/>
      <w:marTop w:val="0"/>
      <w:marBottom w:val="0"/>
      <w:divBdr>
        <w:top w:val="none" w:sz="0" w:space="0" w:color="auto"/>
        <w:left w:val="none" w:sz="0" w:space="0" w:color="auto"/>
        <w:bottom w:val="none" w:sz="0" w:space="0" w:color="auto"/>
        <w:right w:val="none" w:sz="0" w:space="0" w:color="auto"/>
      </w:divBdr>
    </w:div>
    <w:div w:id="494030996">
      <w:bodyDiv w:val="1"/>
      <w:marLeft w:val="0"/>
      <w:marRight w:val="0"/>
      <w:marTop w:val="0"/>
      <w:marBottom w:val="0"/>
      <w:divBdr>
        <w:top w:val="none" w:sz="0" w:space="0" w:color="auto"/>
        <w:left w:val="none" w:sz="0" w:space="0" w:color="auto"/>
        <w:bottom w:val="none" w:sz="0" w:space="0" w:color="auto"/>
        <w:right w:val="none" w:sz="0" w:space="0" w:color="auto"/>
      </w:divBdr>
      <w:divsChild>
        <w:div w:id="1343119337">
          <w:marLeft w:val="0"/>
          <w:marRight w:val="0"/>
          <w:marTop w:val="0"/>
          <w:marBottom w:val="0"/>
          <w:divBdr>
            <w:top w:val="none" w:sz="0" w:space="0" w:color="auto"/>
            <w:left w:val="none" w:sz="0" w:space="0" w:color="auto"/>
            <w:bottom w:val="none" w:sz="0" w:space="0" w:color="auto"/>
            <w:right w:val="none" w:sz="0" w:space="0" w:color="auto"/>
          </w:divBdr>
          <w:divsChild>
            <w:div w:id="8006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245">
      <w:bodyDiv w:val="1"/>
      <w:marLeft w:val="0"/>
      <w:marRight w:val="0"/>
      <w:marTop w:val="0"/>
      <w:marBottom w:val="0"/>
      <w:divBdr>
        <w:top w:val="none" w:sz="0" w:space="0" w:color="auto"/>
        <w:left w:val="none" w:sz="0" w:space="0" w:color="auto"/>
        <w:bottom w:val="none" w:sz="0" w:space="0" w:color="auto"/>
        <w:right w:val="none" w:sz="0" w:space="0" w:color="auto"/>
      </w:divBdr>
    </w:div>
    <w:div w:id="597979322">
      <w:bodyDiv w:val="1"/>
      <w:marLeft w:val="0"/>
      <w:marRight w:val="0"/>
      <w:marTop w:val="0"/>
      <w:marBottom w:val="0"/>
      <w:divBdr>
        <w:top w:val="none" w:sz="0" w:space="0" w:color="auto"/>
        <w:left w:val="none" w:sz="0" w:space="0" w:color="auto"/>
        <w:bottom w:val="none" w:sz="0" w:space="0" w:color="auto"/>
        <w:right w:val="none" w:sz="0" w:space="0" w:color="auto"/>
      </w:divBdr>
    </w:div>
    <w:div w:id="601573912">
      <w:bodyDiv w:val="1"/>
      <w:marLeft w:val="0"/>
      <w:marRight w:val="0"/>
      <w:marTop w:val="0"/>
      <w:marBottom w:val="0"/>
      <w:divBdr>
        <w:top w:val="none" w:sz="0" w:space="0" w:color="auto"/>
        <w:left w:val="none" w:sz="0" w:space="0" w:color="auto"/>
        <w:bottom w:val="none" w:sz="0" w:space="0" w:color="auto"/>
        <w:right w:val="none" w:sz="0" w:space="0" w:color="auto"/>
      </w:divBdr>
    </w:div>
    <w:div w:id="627048594">
      <w:bodyDiv w:val="1"/>
      <w:marLeft w:val="0"/>
      <w:marRight w:val="0"/>
      <w:marTop w:val="0"/>
      <w:marBottom w:val="0"/>
      <w:divBdr>
        <w:top w:val="none" w:sz="0" w:space="0" w:color="auto"/>
        <w:left w:val="none" w:sz="0" w:space="0" w:color="auto"/>
        <w:bottom w:val="none" w:sz="0" w:space="0" w:color="auto"/>
        <w:right w:val="none" w:sz="0" w:space="0" w:color="auto"/>
      </w:divBdr>
    </w:div>
    <w:div w:id="657853341">
      <w:bodyDiv w:val="1"/>
      <w:marLeft w:val="0"/>
      <w:marRight w:val="0"/>
      <w:marTop w:val="0"/>
      <w:marBottom w:val="0"/>
      <w:divBdr>
        <w:top w:val="none" w:sz="0" w:space="0" w:color="auto"/>
        <w:left w:val="none" w:sz="0" w:space="0" w:color="auto"/>
        <w:bottom w:val="none" w:sz="0" w:space="0" w:color="auto"/>
        <w:right w:val="none" w:sz="0" w:space="0" w:color="auto"/>
      </w:divBdr>
    </w:div>
    <w:div w:id="747651919">
      <w:bodyDiv w:val="1"/>
      <w:marLeft w:val="0"/>
      <w:marRight w:val="0"/>
      <w:marTop w:val="0"/>
      <w:marBottom w:val="0"/>
      <w:divBdr>
        <w:top w:val="none" w:sz="0" w:space="0" w:color="auto"/>
        <w:left w:val="none" w:sz="0" w:space="0" w:color="auto"/>
        <w:bottom w:val="none" w:sz="0" w:space="0" w:color="auto"/>
        <w:right w:val="none" w:sz="0" w:space="0" w:color="auto"/>
      </w:divBdr>
    </w:div>
    <w:div w:id="777606738">
      <w:bodyDiv w:val="1"/>
      <w:marLeft w:val="0"/>
      <w:marRight w:val="0"/>
      <w:marTop w:val="0"/>
      <w:marBottom w:val="0"/>
      <w:divBdr>
        <w:top w:val="none" w:sz="0" w:space="0" w:color="auto"/>
        <w:left w:val="none" w:sz="0" w:space="0" w:color="auto"/>
        <w:bottom w:val="none" w:sz="0" w:space="0" w:color="auto"/>
        <w:right w:val="none" w:sz="0" w:space="0" w:color="auto"/>
      </w:divBdr>
    </w:div>
    <w:div w:id="888809037">
      <w:bodyDiv w:val="1"/>
      <w:marLeft w:val="0"/>
      <w:marRight w:val="0"/>
      <w:marTop w:val="0"/>
      <w:marBottom w:val="0"/>
      <w:divBdr>
        <w:top w:val="none" w:sz="0" w:space="0" w:color="auto"/>
        <w:left w:val="none" w:sz="0" w:space="0" w:color="auto"/>
        <w:bottom w:val="none" w:sz="0" w:space="0" w:color="auto"/>
        <w:right w:val="none" w:sz="0" w:space="0" w:color="auto"/>
      </w:divBdr>
    </w:div>
    <w:div w:id="902181359">
      <w:bodyDiv w:val="1"/>
      <w:marLeft w:val="0"/>
      <w:marRight w:val="0"/>
      <w:marTop w:val="0"/>
      <w:marBottom w:val="0"/>
      <w:divBdr>
        <w:top w:val="none" w:sz="0" w:space="0" w:color="auto"/>
        <w:left w:val="none" w:sz="0" w:space="0" w:color="auto"/>
        <w:bottom w:val="none" w:sz="0" w:space="0" w:color="auto"/>
        <w:right w:val="none" w:sz="0" w:space="0" w:color="auto"/>
      </w:divBdr>
    </w:div>
    <w:div w:id="997423929">
      <w:bodyDiv w:val="1"/>
      <w:marLeft w:val="0"/>
      <w:marRight w:val="0"/>
      <w:marTop w:val="0"/>
      <w:marBottom w:val="0"/>
      <w:divBdr>
        <w:top w:val="none" w:sz="0" w:space="0" w:color="auto"/>
        <w:left w:val="none" w:sz="0" w:space="0" w:color="auto"/>
        <w:bottom w:val="none" w:sz="0" w:space="0" w:color="auto"/>
        <w:right w:val="none" w:sz="0" w:space="0" w:color="auto"/>
      </w:divBdr>
    </w:div>
    <w:div w:id="1018892915">
      <w:bodyDiv w:val="1"/>
      <w:marLeft w:val="0"/>
      <w:marRight w:val="0"/>
      <w:marTop w:val="0"/>
      <w:marBottom w:val="0"/>
      <w:divBdr>
        <w:top w:val="none" w:sz="0" w:space="0" w:color="auto"/>
        <w:left w:val="none" w:sz="0" w:space="0" w:color="auto"/>
        <w:bottom w:val="none" w:sz="0" w:space="0" w:color="auto"/>
        <w:right w:val="none" w:sz="0" w:space="0" w:color="auto"/>
      </w:divBdr>
    </w:div>
    <w:div w:id="1027753389">
      <w:bodyDiv w:val="1"/>
      <w:marLeft w:val="0"/>
      <w:marRight w:val="0"/>
      <w:marTop w:val="0"/>
      <w:marBottom w:val="0"/>
      <w:divBdr>
        <w:top w:val="none" w:sz="0" w:space="0" w:color="auto"/>
        <w:left w:val="none" w:sz="0" w:space="0" w:color="auto"/>
        <w:bottom w:val="none" w:sz="0" w:space="0" w:color="auto"/>
        <w:right w:val="none" w:sz="0" w:space="0" w:color="auto"/>
      </w:divBdr>
    </w:div>
    <w:div w:id="1040981548">
      <w:bodyDiv w:val="1"/>
      <w:marLeft w:val="0"/>
      <w:marRight w:val="0"/>
      <w:marTop w:val="0"/>
      <w:marBottom w:val="0"/>
      <w:divBdr>
        <w:top w:val="none" w:sz="0" w:space="0" w:color="auto"/>
        <w:left w:val="none" w:sz="0" w:space="0" w:color="auto"/>
        <w:bottom w:val="none" w:sz="0" w:space="0" w:color="auto"/>
        <w:right w:val="none" w:sz="0" w:space="0" w:color="auto"/>
      </w:divBdr>
    </w:div>
    <w:div w:id="1059668120">
      <w:bodyDiv w:val="1"/>
      <w:marLeft w:val="0"/>
      <w:marRight w:val="0"/>
      <w:marTop w:val="0"/>
      <w:marBottom w:val="0"/>
      <w:divBdr>
        <w:top w:val="none" w:sz="0" w:space="0" w:color="auto"/>
        <w:left w:val="none" w:sz="0" w:space="0" w:color="auto"/>
        <w:bottom w:val="none" w:sz="0" w:space="0" w:color="auto"/>
        <w:right w:val="none" w:sz="0" w:space="0" w:color="auto"/>
      </w:divBdr>
    </w:div>
    <w:div w:id="1165125029">
      <w:bodyDiv w:val="1"/>
      <w:marLeft w:val="0"/>
      <w:marRight w:val="0"/>
      <w:marTop w:val="0"/>
      <w:marBottom w:val="0"/>
      <w:divBdr>
        <w:top w:val="none" w:sz="0" w:space="0" w:color="auto"/>
        <w:left w:val="none" w:sz="0" w:space="0" w:color="auto"/>
        <w:bottom w:val="none" w:sz="0" w:space="0" w:color="auto"/>
        <w:right w:val="none" w:sz="0" w:space="0" w:color="auto"/>
      </w:divBdr>
    </w:div>
    <w:div w:id="1172642955">
      <w:bodyDiv w:val="1"/>
      <w:marLeft w:val="0"/>
      <w:marRight w:val="0"/>
      <w:marTop w:val="0"/>
      <w:marBottom w:val="0"/>
      <w:divBdr>
        <w:top w:val="none" w:sz="0" w:space="0" w:color="auto"/>
        <w:left w:val="none" w:sz="0" w:space="0" w:color="auto"/>
        <w:bottom w:val="none" w:sz="0" w:space="0" w:color="auto"/>
        <w:right w:val="none" w:sz="0" w:space="0" w:color="auto"/>
      </w:divBdr>
    </w:div>
    <w:div w:id="1281764827">
      <w:bodyDiv w:val="1"/>
      <w:marLeft w:val="0"/>
      <w:marRight w:val="0"/>
      <w:marTop w:val="0"/>
      <w:marBottom w:val="0"/>
      <w:divBdr>
        <w:top w:val="none" w:sz="0" w:space="0" w:color="auto"/>
        <w:left w:val="none" w:sz="0" w:space="0" w:color="auto"/>
        <w:bottom w:val="none" w:sz="0" w:space="0" w:color="auto"/>
        <w:right w:val="none" w:sz="0" w:space="0" w:color="auto"/>
      </w:divBdr>
    </w:div>
    <w:div w:id="1297107919">
      <w:bodyDiv w:val="1"/>
      <w:marLeft w:val="0"/>
      <w:marRight w:val="0"/>
      <w:marTop w:val="0"/>
      <w:marBottom w:val="0"/>
      <w:divBdr>
        <w:top w:val="none" w:sz="0" w:space="0" w:color="auto"/>
        <w:left w:val="none" w:sz="0" w:space="0" w:color="auto"/>
        <w:bottom w:val="none" w:sz="0" w:space="0" w:color="auto"/>
        <w:right w:val="none" w:sz="0" w:space="0" w:color="auto"/>
      </w:divBdr>
    </w:div>
    <w:div w:id="1307708171">
      <w:bodyDiv w:val="1"/>
      <w:marLeft w:val="0"/>
      <w:marRight w:val="0"/>
      <w:marTop w:val="0"/>
      <w:marBottom w:val="0"/>
      <w:divBdr>
        <w:top w:val="none" w:sz="0" w:space="0" w:color="auto"/>
        <w:left w:val="none" w:sz="0" w:space="0" w:color="auto"/>
        <w:bottom w:val="none" w:sz="0" w:space="0" w:color="auto"/>
        <w:right w:val="none" w:sz="0" w:space="0" w:color="auto"/>
      </w:divBdr>
    </w:div>
    <w:div w:id="1358657140">
      <w:bodyDiv w:val="1"/>
      <w:marLeft w:val="0"/>
      <w:marRight w:val="0"/>
      <w:marTop w:val="0"/>
      <w:marBottom w:val="0"/>
      <w:divBdr>
        <w:top w:val="none" w:sz="0" w:space="0" w:color="auto"/>
        <w:left w:val="none" w:sz="0" w:space="0" w:color="auto"/>
        <w:bottom w:val="none" w:sz="0" w:space="0" w:color="auto"/>
        <w:right w:val="none" w:sz="0" w:space="0" w:color="auto"/>
      </w:divBdr>
    </w:div>
    <w:div w:id="1652560827">
      <w:bodyDiv w:val="1"/>
      <w:marLeft w:val="0"/>
      <w:marRight w:val="0"/>
      <w:marTop w:val="0"/>
      <w:marBottom w:val="0"/>
      <w:divBdr>
        <w:top w:val="none" w:sz="0" w:space="0" w:color="auto"/>
        <w:left w:val="none" w:sz="0" w:space="0" w:color="auto"/>
        <w:bottom w:val="none" w:sz="0" w:space="0" w:color="auto"/>
        <w:right w:val="none" w:sz="0" w:space="0" w:color="auto"/>
      </w:divBdr>
    </w:div>
    <w:div w:id="1704868911">
      <w:bodyDiv w:val="1"/>
      <w:marLeft w:val="0"/>
      <w:marRight w:val="0"/>
      <w:marTop w:val="0"/>
      <w:marBottom w:val="0"/>
      <w:divBdr>
        <w:top w:val="none" w:sz="0" w:space="0" w:color="auto"/>
        <w:left w:val="none" w:sz="0" w:space="0" w:color="auto"/>
        <w:bottom w:val="none" w:sz="0" w:space="0" w:color="auto"/>
        <w:right w:val="none" w:sz="0" w:space="0" w:color="auto"/>
      </w:divBdr>
    </w:div>
    <w:div w:id="1718429153">
      <w:bodyDiv w:val="1"/>
      <w:marLeft w:val="0"/>
      <w:marRight w:val="0"/>
      <w:marTop w:val="0"/>
      <w:marBottom w:val="0"/>
      <w:divBdr>
        <w:top w:val="none" w:sz="0" w:space="0" w:color="auto"/>
        <w:left w:val="none" w:sz="0" w:space="0" w:color="auto"/>
        <w:bottom w:val="none" w:sz="0" w:space="0" w:color="auto"/>
        <w:right w:val="none" w:sz="0" w:space="0" w:color="auto"/>
      </w:divBdr>
    </w:div>
    <w:div w:id="1726103482">
      <w:bodyDiv w:val="1"/>
      <w:marLeft w:val="0"/>
      <w:marRight w:val="0"/>
      <w:marTop w:val="0"/>
      <w:marBottom w:val="0"/>
      <w:divBdr>
        <w:top w:val="none" w:sz="0" w:space="0" w:color="auto"/>
        <w:left w:val="none" w:sz="0" w:space="0" w:color="auto"/>
        <w:bottom w:val="none" w:sz="0" w:space="0" w:color="auto"/>
        <w:right w:val="none" w:sz="0" w:space="0" w:color="auto"/>
      </w:divBdr>
    </w:div>
    <w:div w:id="1740907278">
      <w:bodyDiv w:val="1"/>
      <w:marLeft w:val="0"/>
      <w:marRight w:val="0"/>
      <w:marTop w:val="0"/>
      <w:marBottom w:val="0"/>
      <w:divBdr>
        <w:top w:val="none" w:sz="0" w:space="0" w:color="auto"/>
        <w:left w:val="none" w:sz="0" w:space="0" w:color="auto"/>
        <w:bottom w:val="none" w:sz="0" w:space="0" w:color="auto"/>
        <w:right w:val="none" w:sz="0" w:space="0" w:color="auto"/>
      </w:divBdr>
    </w:div>
    <w:div w:id="1865047977">
      <w:bodyDiv w:val="1"/>
      <w:marLeft w:val="0"/>
      <w:marRight w:val="0"/>
      <w:marTop w:val="0"/>
      <w:marBottom w:val="0"/>
      <w:divBdr>
        <w:top w:val="none" w:sz="0" w:space="0" w:color="auto"/>
        <w:left w:val="none" w:sz="0" w:space="0" w:color="auto"/>
        <w:bottom w:val="none" w:sz="0" w:space="0" w:color="auto"/>
        <w:right w:val="none" w:sz="0" w:space="0" w:color="auto"/>
      </w:divBdr>
    </w:div>
    <w:div w:id="1871527531">
      <w:bodyDiv w:val="1"/>
      <w:marLeft w:val="0"/>
      <w:marRight w:val="0"/>
      <w:marTop w:val="0"/>
      <w:marBottom w:val="0"/>
      <w:divBdr>
        <w:top w:val="none" w:sz="0" w:space="0" w:color="auto"/>
        <w:left w:val="none" w:sz="0" w:space="0" w:color="auto"/>
        <w:bottom w:val="none" w:sz="0" w:space="0" w:color="auto"/>
        <w:right w:val="none" w:sz="0" w:space="0" w:color="auto"/>
      </w:divBdr>
    </w:div>
    <w:div w:id="1898206275">
      <w:bodyDiv w:val="1"/>
      <w:marLeft w:val="0"/>
      <w:marRight w:val="0"/>
      <w:marTop w:val="0"/>
      <w:marBottom w:val="0"/>
      <w:divBdr>
        <w:top w:val="none" w:sz="0" w:space="0" w:color="auto"/>
        <w:left w:val="none" w:sz="0" w:space="0" w:color="auto"/>
        <w:bottom w:val="none" w:sz="0" w:space="0" w:color="auto"/>
        <w:right w:val="none" w:sz="0" w:space="0" w:color="auto"/>
      </w:divBdr>
    </w:div>
    <w:div w:id="1940988260">
      <w:bodyDiv w:val="1"/>
      <w:marLeft w:val="0"/>
      <w:marRight w:val="0"/>
      <w:marTop w:val="0"/>
      <w:marBottom w:val="0"/>
      <w:divBdr>
        <w:top w:val="none" w:sz="0" w:space="0" w:color="auto"/>
        <w:left w:val="none" w:sz="0" w:space="0" w:color="auto"/>
        <w:bottom w:val="none" w:sz="0" w:space="0" w:color="auto"/>
        <w:right w:val="none" w:sz="0" w:space="0" w:color="auto"/>
      </w:divBdr>
    </w:div>
    <w:div w:id="1963610109">
      <w:bodyDiv w:val="1"/>
      <w:marLeft w:val="0"/>
      <w:marRight w:val="0"/>
      <w:marTop w:val="0"/>
      <w:marBottom w:val="0"/>
      <w:divBdr>
        <w:top w:val="none" w:sz="0" w:space="0" w:color="auto"/>
        <w:left w:val="none" w:sz="0" w:space="0" w:color="auto"/>
        <w:bottom w:val="none" w:sz="0" w:space="0" w:color="auto"/>
        <w:right w:val="none" w:sz="0" w:space="0" w:color="auto"/>
      </w:divBdr>
    </w:div>
    <w:div w:id="2010717946">
      <w:bodyDiv w:val="1"/>
      <w:marLeft w:val="0"/>
      <w:marRight w:val="0"/>
      <w:marTop w:val="0"/>
      <w:marBottom w:val="0"/>
      <w:divBdr>
        <w:top w:val="none" w:sz="0" w:space="0" w:color="auto"/>
        <w:left w:val="none" w:sz="0" w:space="0" w:color="auto"/>
        <w:bottom w:val="none" w:sz="0" w:space="0" w:color="auto"/>
        <w:right w:val="none" w:sz="0" w:space="0" w:color="auto"/>
      </w:divBdr>
    </w:div>
    <w:div w:id="2024940746">
      <w:bodyDiv w:val="1"/>
      <w:marLeft w:val="0"/>
      <w:marRight w:val="0"/>
      <w:marTop w:val="0"/>
      <w:marBottom w:val="0"/>
      <w:divBdr>
        <w:top w:val="none" w:sz="0" w:space="0" w:color="auto"/>
        <w:left w:val="none" w:sz="0" w:space="0" w:color="auto"/>
        <w:bottom w:val="none" w:sz="0" w:space="0" w:color="auto"/>
        <w:right w:val="none" w:sz="0" w:space="0" w:color="auto"/>
      </w:divBdr>
    </w:div>
    <w:div w:id="2098869300">
      <w:bodyDiv w:val="1"/>
      <w:marLeft w:val="0"/>
      <w:marRight w:val="0"/>
      <w:marTop w:val="0"/>
      <w:marBottom w:val="0"/>
      <w:divBdr>
        <w:top w:val="none" w:sz="0" w:space="0" w:color="auto"/>
        <w:left w:val="none" w:sz="0" w:space="0" w:color="auto"/>
        <w:bottom w:val="none" w:sz="0" w:space="0" w:color="auto"/>
        <w:right w:val="none" w:sz="0" w:space="0" w:color="auto"/>
      </w:divBdr>
    </w:div>
    <w:div w:id="2105413256">
      <w:bodyDiv w:val="1"/>
      <w:marLeft w:val="0"/>
      <w:marRight w:val="0"/>
      <w:marTop w:val="0"/>
      <w:marBottom w:val="0"/>
      <w:divBdr>
        <w:top w:val="none" w:sz="0" w:space="0" w:color="auto"/>
        <w:left w:val="none" w:sz="0" w:space="0" w:color="auto"/>
        <w:bottom w:val="none" w:sz="0" w:space="0" w:color="auto"/>
        <w:right w:val="none" w:sz="0" w:space="0" w:color="auto"/>
      </w:divBdr>
    </w:div>
    <w:div w:id="2114981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DEA861-60DC-1A43-A34B-2EE36231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11</Pages>
  <Words>1680</Words>
  <Characters>9241</Characters>
  <Application>Microsoft Macintosh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493</cp:revision>
  <cp:lastPrinted>2018-12-17T09:03:00Z</cp:lastPrinted>
  <dcterms:created xsi:type="dcterms:W3CDTF">2018-03-26T14:10:00Z</dcterms:created>
  <dcterms:modified xsi:type="dcterms:W3CDTF">2019-04-09T08:39:00Z</dcterms:modified>
</cp:coreProperties>
</file>