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3393FA62" w:rsidR="00522EA1" w:rsidRPr="009A44FC" w:rsidRDefault="00522EA1" w:rsidP="00522EA1">
      <w:pPr>
        <w:pStyle w:val="PlainText"/>
        <w:spacing w:line="300" w:lineRule="exact"/>
        <w:rPr>
          <w:rFonts w:ascii="Times New Roman" w:hAnsi="Times New Roman" w:cs="Times New Roman"/>
        </w:rPr>
      </w:pPr>
      <w:r w:rsidRPr="009A44FC">
        <w:rPr>
          <w:rFonts w:ascii="Times New Roman" w:hAnsi="Times New Roman" w:cs="Times New Roman"/>
        </w:rPr>
        <w:t xml:space="preserve">We greatly appreciate all reviewers for taking time and effort to review our manuscript. We found the comments incredibly insightful, which contributed significantly to improving the quality of the manuscript. Considering all suggestions, we have made improvements, summarized below: </w:t>
      </w:r>
    </w:p>
    <w:p w14:paraId="32E57F7C" w14:textId="77777777"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p>
    <w:p w14:paraId="297C7741" w14:textId="67C92D5C"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A1F80" w:rsidRPr="009A44FC">
        <w:rPr>
          <w:rFonts w:ascii="Times New Roman" w:hAnsi="Times New Roman" w:cs="Times New Roman"/>
        </w:rPr>
        <w:t>have provided more clarity</w:t>
      </w:r>
      <w:r w:rsidR="008E7103">
        <w:rPr>
          <w:rFonts w:ascii="Times New Roman" w:hAnsi="Times New Roman" w:cs="Times New Roman"/>
        </w:rPr>
        <w:t xml:space="preserve"> and precision</w:t>
      </w:r>
      <w:r w:rsidR="001A1F80" w:rsidRPr="009A44FC">
        <w:rPr>
          <w:rFonts w:ascii="Times New Roman" w:hAnsi="Times New Roman" w:cs="Times New Roman"/>
        </w:rPr>
        <w:t xml:space="preserve"> in the language surrounding statistical concepts and results discussed in the manuscript. </w:t>
      </w:r>
    </w:p>
    <w:p w14:paraId="4EF956DF" w14:textId="6939FB3B" w:rsidR="00522EA1" w:rsidRPr="009A44FC" w:rsidRDefault="00C23CFA"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When discussing our results, we provide additional </w:t>
      </w:r>
      <w:r w:rsidR="001A1F80" w:rsidRPr="009A44FC">
        <w:rPr>
          <w:rFonts w:ascii="Times New Roman" w:hAnsi="Times New Roman" w:cs="Times New Roman"/>
        </w:rPr>
        <w:t>context of our experimental conditions</w:t>
      </w:r>
      <w:r w:rsidRPr="009A44FC">
        <w:rPr>
          <w:rFonts w:ascii="Times New Roman" w:hAnsi="Times New Roman" w:cs="Times New Roman"/>
        </w:rPr>
        <w:t xml:space="preserve"> to ensure proper interpretation</w:t>
      </w:r>
      <w:r w:rsidR="006F5CFE" w:rsidRPr="009A44FC">
        <w:rPr>
          <w:rFonts w:ascii="Times New Roman" w:hAnsi="Times New Roman" w:cs="Times New Roman"/>
        </w:rPr>
        <w:t xml:space="preserve"> and avoid overstatements</w:t>
      </w:r>
      <w:r w:rsidR="001A1F80" w:rsidRPr="009A44FC">
        <w:rPr>
          <w:rFonts w:ascii="Times New Roman" w:hAnsi="Times New Roman" w:cs="Times New Roman"/>
        </w:rPr>
        <w:t xml:space="preserve">. </w:t>
      </w:r>
    </w:p>
    <w:p w14:paraId="7F2F9D97" w14:textId="091ECE37"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provided more precision in the language surrounding the idea of zero-inflated and compositionality of microbiome data, </w:t>
      </w:r>
      <w:r w:rsidR="008733CC" w:rsidRPr="009A44FC">
        <w:rPr>
          <w:rFonts w:ascii="Times New Roman" w:hAnsi="Times New Roman" w:cs="Times New Roman"/>
        </w:rPr>
        <w:t xml:space="preserve">highlighting </w:t>
      </w:r>
      <w:r w:rsidR="00B57180" w:rsidRPr="009A44FC">
        <w:rPr>
          <w:rFonts w:ascii="Times New Roman" w:hAnsi="Times New Roman" w:cs="Times New Roman"/>
        </w:rPr>
        <w:t xml:space="preserve">the </w:t>
      </w:r>
      <w:r w:rsidR="008733CC" w:rsidRPr="009A44FC">
        <w:rPr>
          <w:rFonts w:ascii="Times New Roman" w:hAnsi="Times New Roman" w:cs="Times New Roman"/>
        </w:rPr>
        <w:t xml:space="preserve">motivation behind our </w:t>
      </w:r>
      <w:r w:rsidR="00B57180" w:rsidRPr="009A44FC">
        <w:rPr>
          <w:rFonts w:ascii="Times New Roman" w:hAnsi="Times New Roman" w:cs="Times New Roman"/>
        </w:rPr>
        <w:t>approach</w:t>
      </w:r>
      <w:r w:rsidR="008733CC" w:rsidRPr="009A44FC">
        <w:rPr>
          <w:rFonts w:ascii="Times New Roman" w:hAnsi="Times New Roman" w:cs="Times New Roman"/>
        </w:rPr>
        <w:t xml:space="preserve"> and the assumptions we’re making</w:t>
      </w:r>
      <w:r w:rsidRPr="009A44FC">
        <w:rPr>
          <w:rFonts w:ascii="Times New Roman" w:hAnsi="Times New Roman" w:cs="Times New Roman"/>
        </w:rPr>
        <w:t xml:space="preserve">. </w:t>
      </w:r>
    </w:p>
    <w:p w14:paraId="726EF149" w14:textId="0095D861"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t>
      </w:r>
      <w:r w:rsidR="00001DB3" w:rsidRPr="009A44FC">
        <w:rPr>
          <w:rFonts w:ascii="Times New Roman" w:hAnsi="Times New Roman" w:cs="Times New Roman"/>
        </w:rPr>
        <w:t>whether</w:t>
      </w:r>
      <w:r w:rsidRPr="009A44FC">
        <w:rPr>
          <w:rFonts w:ascii="Times New Roman" w:hAnsi="Times New Roman" w:cs="Times New Roman"/>
        </w:rPr>
        <w:t xml:space="preserve"> to adjust for correlation when using our method. </w:t>
      </w:r>
    </w:p>
    <w:p w14:paraId="2043388C" w14:textId="588747B1"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reorganized our manuscript to highlight our main contribution which is a new approach for set-based testing </w:t>
      </w:r>
      <w:r w:rsidR="00001DB3" w:rsidRPr="009A44FC">
        <w:rPr>
          <w:rFonts w:ascii="Times New Roman" w:hAnsi="Times New Roman" w:cs="Times New Roman"/>
        </w:rPr>
        <w:t xml:space="preserve">for </w:t>
      </w:r>
      <w:r w:rsidRPr="009A44FC">
        <w:rPr>
          <w:rFonts w:ascii="Times New Roman" w:hAnsi="Times New Roman" w:cs="Times New Roman"/>
        </w:rPr>
        <w:t xml:space="preserve">relative abundance microbiome data. </w:t>
      </w:r>
      <w:r w:rsidR="001A1F80" w:rsidRPr="009A44FC">
        <w:rPr>
          <w:rFonts w:ascii="Times New Roman" w:hAnsi="Times New Roman" w:cs="Times New Roman"/>
        </w:rPr>
        <w:t xml:space="preserve">This organization is also motivated by </w:t>
      </w:r>
      <w:proofErr w:type="spellStart"/>
      <w:r w:rsidR="001A1F80" w:rsidRPr="009A44FC">
        <w:rPr>
          <w:rFonts w:ascii="Times New Roman" w:hAnsi="Times New Roman" w:cs="Times New Roman"/>
        </w:rPr>
        <w:t>Geistlinger</w:t>
      </w:r>
      <w:proofErr w:type="spellEnd"/>
      <w:r w:rsidR="001A1F80" w:rsidRPr="009A44FC">
        <w:rPr>
          <w:rFonts w:ascii="Times New Roman" w:hAnsi="Times New Roman" w:cs="Times New Roman"/>
        </w:rPr>
        <w:t xml:space="preserve"> et al.’s paper on benchmarking standards for gene set testing approaches as suggested by Reviewer 2. </w:t>
      </w:r>
      <w:r w:rsidR="005D4CA7" w:rsidRPr="009A44FC">
        <w:rPr>
          <w:rFonts w:ascii="Times New Roman" w:hAnsi="Times New Roman" w:cs="Times New Roman"/>
        </w:rPr>
        <w:t xml:space="preserve">We hope this reorganization of the manuscript will also make it easier to follow and not fractured in three parts, as Reviewer 1 has pointed out. </w:t>
      </w:r>
    </w:p>
    <w:p w14:paraId="0809C9CF" w14:textId="57C92F10" w:rsidR="005D4CA7" w:rsidRPr="009A44FC"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agree with Reviewer 1 that enrichment analysis is equivalent differential abundance for sets and have grouped the “single-sample enrichment testing” and “differential abundance analysis” into one section titled “enrichment analysis”. </w:t>
      </w:r>
      <w:r w:rsidR="005D4CA7" w:rsidRPr="009A44FC">
        <w:rPr>
          <w:rFonts w:ascii="Times New Roman" w:hAnsi="Times New Roman" w:cs="Times New Roman"/>
        </w:rPr>
        <w:t>The “single-sample enrichment testing” is now referred to as</w:t>
      </w:r>
      <w:r w:rsidR="00001DB3" w:rsidRPr="009A44FC">
        <w:rPr>
          <w:rFonts w:ascii="Times New Roman" w:hAnsi="Times New Roman" w:cs="Times New Roman"/>
        </w:rPr>
        <w:t xml:space="preserve"> “Inference at the sample level” while the differential abundance section is now titled “Inference at the population level”. </w:t>
      </w:r>
    </w:p>
    <w:p w14:paraId="7A240838" w14:textId="39A8F1AD" w:rsidR="005D4CA7" w:rsidRDefault="005D4CA7" w:rsidP="005D4CA7">
      <w:pPr>
        <w:pStyle w:val="PlainText"/>
        <w:numPr>
          <w:ilvl w:val="2"/>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on the real data set for all “single sample enrichment testing” </w:t>
      </w:r>
      <w:r w:rsidR="00145EA4" w:rsidRPr="009A44FC">
        <w:rPr>
          <w:rFonts w:ascii="Times New Roman" w:hAnsi="Times New Roman" w:cs="Times New Roman"/>
        </w:rPr>
        <w:t xml:space="preserve">section </w:t>
      </w:r>
      <w:r w:rsidR="00001DB3" w:rsidRPr="009A44FC">
        <w:rPr>
          <w:rFonts w:ascii="Times New Roman" w:hAnsi="Times New Roman" w:cs="Times New Roman"/>
        </w:rPr>
        <w:t xml:space="preserve">which are: </w:t>
      </w:r>
      <w:commentRangeStart w:id="0"/>
      <w:r w:rsidR="00001DB3" w:rsidRPr="009A44FC">
        <w:rPr>
          <w:rFonts w:ascii="Times New Roman" w:hAnsi="Times New Roman" w:cs="Times New Roman"/>
        </w:rPr>
        <w:t xml:space="preserve">random [gene] sets and label permutation. </w:t>
      </w:r>
      <w:r w:rsidR="00145EA4" w:rsidRPr="009A44FC">
        <w:rPr>
          <w:rFonts w:ascii="Times New Roman" w:hAnsi="Times New Roman" w:cs="Times New Roman"/>
        </w:rPr>
        <w:t>We added the random [gene] set analyses for the real data portion of the “differential abundance analysis” section</w:t>
      </w:r>
      <w:commentRangeEnd w:id="0"/>
      <w:r w:rsidR="001E7EFB">
        <w:rPr>
          <w:rStyle w:val="CommentReference"/>
          <w:rFonts w:asciiTheme="minorHAnsi" w:hAnsiTheme="minorHAnsi"/>
        </w:rPr>
        <w:commentReference w:id="0"/>
      </w:r>
      <w:r w:rsidR="00145EA4" w:rsidRPr="009A44FC">
        <w:rPr>
          <w:rFonts w:ascii="Times New Roman" w:hAnsi="Times New Roman" w:cs="Times New Roman"/>
        </w:rPr>
        <w:t xml:space="preserve">. These additional analyses were motivated by </w:t>
      </w:r>
      <w:proofErr w:type="spellStart"/>
      <w:r w:rsidR="00145EA4" w:rsidRPr="009A44FC">
        <w:rPr>
          <w:rFonts w:ascii="Times New Roman" w:hAnsi="Times New Roman" w:cs="Times New Roman"/>
        </w:rPr>
        <w:t>Geistlinger</w:t>
      </w:r>
      <w:proofErr w:type="spellEnd"/>
      <w:r w:rsidR="00145EA4" w:rsidRPr="009A44FC">
        <w:rPr>
          <w:rFonts w:ascii="Times New Roman" w:hAnsi="Times New Roman" w:cs="Times New Roman"/>
        </w:rPr>
        <w:t xml:space="preserve"> et al. </w:t>
      </w:r>
      <w:r w:rsidR="008E7103">
        <w:rPr>
          <w:rFonts w:ascii="Times New Roman" w:hAnsi="Times New Roman" w:cs="Times New Roman"/>
        </w:rPr>
        <w:t xml:space="preserve">Consequently, we have moved the simulation results for this section to the supplemental. </w:t>
      </w:r>
    </w:p>
    <w:p w14:paraId="214C4334" w14:textId="11E92EBD" w:rsidR="008E7103" w:rsidRPr="009A44FC" w:rsidRDefault="008E7103" w:rsidP="005D4CA7">
      <w:pPr>
        <w:pStyle w:val="PlainText"/>
        <w:numPr>
          <w:ilvl w:val="2"/>
          <w:numId w:val="12"/>
        </w:numPr>
        <w:spacing w:line="300" w:lineRule="exact"/>
        <w:rPr>
          <w:rFonts w:ascii="Times New Roman" w:hAnsi="Times New Roman" w:cs="Times New Roman"/>
        </w:rPr>
      </w:pPr>
      <w:r>
        <w:rPr>
          <w:rFonts w:ascii="Times New Roman" w:hAnsi="Times New Roman" w:cs="Times New Roman"/>
        </w:rPr>
        <w:t xml:space="preserve">Under the new section </w:t>
      </w:r>
      <w:commentRangeStart w:id="1"/>
      <w:r>
        <w:rPr>
          <w:rFonts w:ascii="Times New Roman" w:hAnsi="Times New Roman" w:cs="Times New Roman"/>
        </w:rPr>
        <w:t>“Inference at the population level”</w:t>
      </w:r>
      <w:commentRangeEnd w:id="1"/>
      <w:r w:rsidR="005556EE">
        <w:rPr>
          <w:rStyle w:val="CommentReference"/>
          <w:rFonts w:asciiTheme="minorHAnsi" w:hAnsiTheme="minorHAnsi"/>
        </w:rPr>
        <w:commentReference w:id="1"/>
      </w:r>
      <w:r>
        <w:rPr>
          <w:rFonts w:ascii="Times New Roman" w:hAnsi="Times New Roman" w:cs="Times New Roman"/>
        </w:rPr>
        <w:t xml:space="preserve">, we are still retaining our analysis with respect to traditional differential abundance methods (i.e., corncob and DESeq2) </w:t>
      </w:r>
    </w:p>
    <w:p w14:paraId="32D30838" w14:textId="2C862342" w:rsidR="00030436" w:rsidRPr="009A44FC" w:rsidRDefault="00FC08D0"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lastRenderedPageBreak/>
        <w:t xml:space="preserve">We have also added a new section parallel to “enrichment analysis” titled “downstream analysis” where we would expand on using our single sample scores for disease prediction (the “disease prediction” section). </w:t>
      </w:r>
      <w:commentRangeStart w:id="2"/>
      <w:r w:rsidRPr="009A44FC">
        <w:rPr>
          <w:rFonts w:ascii="Times New Roman" w:hAnsi="Times New Roman" w:cs="Times New Roman"/>
        </w:rPr>
        <w:t>We also added a new section on “ordination analyses” using our single sample scores.</w:t>
      </w:r>
      <w:commentRangeEnd w:id="2"/>
      <w:r w:rsidR="001E7EFB">
        <w:rPr>
          <w:rStyle w:val="CommentReference"/>
          <w:rFonts w:asciiTheme="minorHAnsi" w:hAnsiTheme="minorHAnsi"/>
        </w:rPr>
        <w:commentReference w:id="2"/>
      </w:r>
      <w:r w:rsidRPr="009A44FC">
        <w:rPr>
          <w:rFonts w:ascii="Times New Roman" w:hAnsi="Times New Roman" w:cs="Times New Roman"/>
        </w:rPr>
        <w:t xml:space="preserve">  </w:t>
      </w:r>
    </w:p>
    <w:p w14:paraId="7D6BAEBF" w14:textId="53D4CFBD" w:rsidR="00030436" w:rsidRPr="009A44FC" w:rsidRDefault="00145EA4"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have added in the discussion section the difficulty of evaluating power/phenotypic relevance of the enrichment methods and a clarification about how our evaluation data set can start to achieve those goals.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3F5703EA" w:rsidR="00522EA1" w:rsidRPr="009A44FC" w:rsidRDefault="00001DB3" w:rsidP="00522EA1">
      <w:pPr>
        <w:pStyle w:val="PlainText"/>
        <w:spacing w:line="300" w:lineRule="exact"/>
        <w:rPr>
          <w:rFonts w:ascii="Times New Roman" w:hAnsi="Times New Roman" w:cs="Times New Roman"/>
        </w:rPr>
      </w:pPr>
      <w:r w:rsidRPr="009A44FC">
        <w:rPr>
          <w:rFonts w:ascii="Times New Roman" w:hAnsi="Times New Roman" w:cs="Times New Roman"/>
        </w:rPr>
        <w:t xml:space="preserve">These changes will make the manuscript more focused and aligned with previous standards of benchmarking similar methods, while additionally provided the needed clarity and precision of language around complex statistical terminology. It will also highlight the contribution of the manuscript which is fundamentally a single sample set enrichment analysis approach (in the same vein as </w:t>
      </w:r>
      <w:proofErr w:type="spellStart"/>
      <w:r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We hope these changes have addressed the concerns raised by both reviewers. </w:t>
      </w:r>
      <w:r w:rsidR="00522EA1"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28E91120"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greatly appreciate reviewer 1’s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 add further clarification to the concepts we are advancing, as well as providing 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73AE6B8D" w14:textId="605F567D"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063D7C54" w14:textId="437E41A2"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fldChar w:fldCharType="begin"/>
      </w:r>
      <w:r w:rsidR="00141495" w:rsidRPr="009A44FC">
        <w:rPr>
          <w:rFonts w:ascii="Times New Roman" w:hAnsi="Times New Roman" w:cs="Times New Roman"/>
          <w:color w:val="000000" w:themeColor="text1"/>
          <w:sz w:val="22"/>
          <w:szCs w:val="22"/>
        </w:rPr>
        <w:instrText xml:space="preserve"> ADDIN ZOTERO_ITEM CSL_CITATION {"citationID":"IfcgHSlE","properties":{"formattedCitation":"[1]","plainCitation":"[1]","noteIndex":0},"citationItems":[{"id":1634,"uris":["http://zotero.org/users/4849999/items/793FEQPC"],"uri":["http://zotero.org/users/4849999/items/793FEQPC"],"itemData":{"id":1634,"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141495" w:rsidRPr="009A44FC">
        <w:rPr>
          <w:rFonts w:ascii="Times New Roman" w:hAnsi="Times New Roman" w:cs="Times New Roman"/>
          <w:noProof/>
          <w:color w:val="000000" w:themeColor="text1"/>
          <w:sz w:val="22"/>
          <w:szCs w:val="22"/>
        </w:rPr>
        <w:t>[1]</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wpRPlzWQ","properties":{"formattedCitation":"[2,3]","plainCitation":"[2,3]","noteIndex":0},"citationItems":[{"id":1291,"uris":["http://zotero.org/users/4849999/items/NTPQC378"],"uri":["http://zotero.org/users/4849999/items/NTPQC378"],"itemData":{"id":1291,"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J."}],"accessed":{"date-parts":[["2018",12,4]]},"issued":{"date-parts":[["2017"]]}}},{"id":1937,"uris":["http://zotero.org/users/4849999/items/46TX6ZUD"],"uri":["http://zotero.org/users/4849999/items/46TX6ZUD"],"itemData":{"id":1937,"type":"article-journal","abstract":"Although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[2,3]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8fY3vLfL","properties":{"formattedCitation":"[4]","plainCitation":"[4]","noteIndex":0},"citationItems":[{"id":398,"uris":["http://zotero.org/users/4849999/items/KEVYP497"],"uri":["http://zotero.org/users/4849999/items/KEVYP497"],"itemData":{"id":398,"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sRD0MwyB","properties":{"formattedCitation":"[5]","plainCitation":"[5]","noteIndex":0},"citationItems":[{"id":1582,"uris":["http://zotero.org/users/4849999/items/KM654JUI"],"uri":["http://zotero.org/users/4849999/items/KM654JUI"],"itemData":{"id":1582,"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[5]</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dGiUGrlW","properties":{"formattedCitation":"[6]","plainCitation":"[6]","noteIndex":0},"citationItems":[{"id":1584,"uris":["http://zotero.org/users/4849999/items/KKDG4TCX"],"uri":["http://zotero.org/users/4849999/items/KKDG4TCX"],"itemData":{"id":1584,"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[6]</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654CF32B"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3463C6" w:rsidRPr="009A44FC">
        <w:rPr>
          <w:rFonts w:ascii="Times New Roman" w:hAnsi="Times New Roman" w:cs="Times New Roman"/>
          <w:color w:val="000000" w:themeColor="text1"/>
          <w:sz w:val="22"/>
          <w:szCs w:val="22"/>
        </w:rPr>
        <w:instrText xml:space="preserve"> ADDIN ZOTERO_ITEM CSL_CITATION {"citationID":"fL9Li2d1","properties":{"formattedCitation":"[2]","plainCitation":"[2]","noteIndex":0},"citationItems":[{"id":1291,"uris":["http://zotero.org/users/4849999/items/NTPQC378"],"uri":["http://zotero.org/users/4849999/items/NTPQC378"],"itemData":{"id":1291,"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3463C6" w:rsidRPr="009A44FC">
        <w:rPr>
          <w:rFonts w:ascii="Times New Roman" w:hAnsi="Times New Roman" w:cs="Times New Roman"/>
          <w:noProof/>
          <w:color w:val="000000" w:themeColor="text1"/>
          <w:sz w:val="22"/>
          <w:szCs w:val="22"/>
        </w:rPr>
        <w:t>[2]</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vs6beO4F","properties":{"formattedCitation":"[7]","plainCitation":"[7]","noteIndex":0},"citationItems":[{"id":2063,"uris":["http://zotero.org/users/4849999/items/EFR2VMT4"],"uri":["http://zotero.org/users/4849999/items/EFR2VMT4"],"itemData":{"id":2063,"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[7]</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1E7E09EE"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made it clearer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terms that is confusing such as “strictly compositional” </w:t>
      </w:r>
      <w:r w:rsidR="005B7C6B" w:rsidRPr="009A44FC">
        <w:rPr>
          <w:rFonts w:ascii="Times New Roman" w:hAnsi="Times New Roman" w:cs="Times New Roman"/>
          <w:color w:val="000000" w:themeColor="text1"/>
          <w:sz w:val="22"/>
          <w:szCs w:val="22"/>
        </w:rPr>
        <w:t xml:space="preserve">(lines X-Y).  </w:t>
      </w:r>
      <w:r w:rsidR="00846427" w:rsidRPr="009A44FC">
        <w:rPr>
          <w:rFonts w:ascii="Times New Roman" w:hAnsi="Times New Roman" w:cs="Times New Roman"/>
          <w:color w:val="000000" w:themeColor="text1"/>
          <w:sz w:val="22"/>
          <w:szCs w:val="22"/>
        </w:rPr>
        <w:t xml:space="preserve">   </w:t>
      </w:r>
    </w:p>
    <w:p w14:paraId="676EAF83" w14:textId="5155822C"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9A44FC">
        <w:rPr>
          <w:rFonts w:ascii="Times New Roman" w:hAnsi="Times New Roman" w:cs="Times New Roman"/>
          <w:color w:val="FF0000"/>
          <w:sz w:val="22"/>
          <w:szCs w:val="22"/>
        </w:rPr>
        <w:t>phylofactor</w:t>
      </w:r>
      <w:proofErr w:type="spellEnd"/>
      <w:r w:rsidRPr="009A44FC">
        <w:rPr>
          <w:rFonts w:ascii="Times New Roman" w:hAnsi="Times New Roman" w:cs="Times New Roman"/>
          <w:color w:val="FF0000"/>
          <w:sz w:val="22"/>
          <w:szCs w:val="22"/>
        </w:rPr>
        <w:t xml:space="preserve"> which takes a similar approach (in </w:t>
      </w:r>
      <w:proofErr w:type="spellStart"/>
      <w:r w:rsidRPr="009A44FC">
        <w:rPr>
          <w:rFonts w:ascii="Times New Roman" w:hAnsi="Times New Roman" w:cs="Times New Roman"/>
          <w:color w:val="FF0000"/>
          <w:sz w:val="22"/>
          <w:szCs w:val="22"/>
        </w:rPr>
        <w:t>phylofactor</w:t>
      </w:r>
      <w:proofErr w:type="spellEnd"/>
      <w:r w:rsidRPr="009A44FC">
        <w:rPr>
          <w:rFonts w:ascii="Times New Roman" w:hAnsi="Times New Roman" w:cs="Times New Roman"/>
          <w:color w:val="FF0000"/>
          <w:sz w:val="22"/>
          <w:szCs w:val="22"/>
        </w:rPr>
        <w:t xml:space="preserve"> set membership is dictated by the topology of the tree).</w:t>
      </w:r>
    </w:p>
    <w:p w14:paraId="586FBC62" w14:textId="7478EF4D"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A61BA0"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RhwQehGy","properties":{"formattedCitation":"[8]","plainCitation":"[8]","noteIndex":0},"citationItems":[{"id":1583,"uris":["http://zotero.org/users/4849999/items/RUTVKDMS"],"uri":["http://zotero.org/users/4849999/items/RUTVKDMS"],"itemData":{"id":1583,"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[8]</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xml:space="preserve">) and was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nQgTks8x","properties":{"formattedCitation":"[7]","plainCitation":"[7]","noteIndex":0},"citationItems":[{"id":2063,"uris":["http://zotero.org/users/4849999/items/EFR2VMT4"],"uri":["http://zotero.org/users/4849999/items/EFR2VMT4"],"itemData":{"id":2063,"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[7]</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As such, our approach will be renamed “Competitive compositional balances for taxonomic enrichment analysis” (CBEA). We hope that this rename 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we’re still referring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 </w:t>
      </w:r>
    </w:p>
    <w:p w14:paraId="30703D86" w14:textId="1DA273B0"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7C3CF05D" w14:textId="220FA01D" w:rsidR="00890711" w:rsidRPr="009A44FC" w:rsidRDefault="00890711" w:rsidP="0089071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 xml:space="preserve">instead of a catch 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 zero-inflation process, we have amended the article to use “zero abundant”</w:t>
      </w:r>
      <w:r w:rsidR="00710E0E" w:rsidRPr="009A44FC">
        <w:rPr>
          <w:rFonts w:ascii="Times New Roman" w:hAnsi="Times New Roman" w:cs="Times New Roman"/>
          <w:color w:val="000000" w:themeColor="text1"/>
          <w:sz w:val="22"/>
          <w:szCs w:val="22"/>
        </w:rPr>
        <w:t xml:space="preserve"> or “sparse”</w:t>
      </w:r>
      <w:r w:rsidR="00A61BA0" w:rsidRPr="009A44FC">
        <w:rPr>
          <w:rFonts w:ascii="Times New Roman" w:hAnsi="Times New Roman" w:cs="Times New Roman"/>
          <w:color w:val="000000" w:themeColor="text1"/>
          <w:sz w:val="22"/>
          <w:szCs w:val="22"/>
        </w:rPr>
        <w:t xml:space="preserve">, which hopefully is better at distinguishing the two concepts.  </w:t>
      </w:r>
    </w:p>
    <w:p w14:paraId="7A2A6543" w14:textId="4B97E48B"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087F83F2"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We have provided a more comprehensive response on the issue of the compositional nature of microbiome data in the above section (response to first comment)</w:t>
      </w:r>
      <w:r w:rsidRPr="009A44FC">
        <w:rPr>
          <w:rFonts w:ascii="Times New Roman" w:hAnsi="Times New Roman" w:cs="Times New Roman"/>
          <w:color w:val="000000" w:themeColor="text1"/>
          <w:sz w:val="22"/>
          <w:szCs w:val="22"/>
        </w:rPr>
        <w:t xml:space="preserve">, which we hope also answers some of the issues raised in this comment. </w:t>
      </w:r>
    </w:p>
    <w:p w14:paraId="31F3C6B6" w14:textId="6344C2F7"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64350932"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 (lines X – Y)</w:t>
      </w:r>
      <w:r w:rsidR="00FB2A50" w:rsidRPr="009A44FC">
        <w:rPr>
          <w:rFonts w:ascii="Times New Roman" w:hAnsi="Times New Roman" w:cs="Times New Roman"/>
          <w:color w:val="000000" w:themeColor="text1"/>
          <w:sz w:val="22"/>
          <w:szCs w:val="22"/>
        </w:rPr>
        <w:t xml:space="preserve">. </w:t>
      </w:r>
      <w:r w:rsidR="00C41D3A" w:rsidRPr="009A44FC">
        <w:rPr>
          <w:rFonts w:ascii="Times New Roman" w:hAnsi="Times New Roman" w:cs="Times New Roman"/>
          <w:color w:val="000000" w:themeColor="text1"/>
          <w:sz w:val="22"/>
          <w:szCs w:val="22"/>
        </w:rPr>
        <w:t xml:space="preserve"> </w:t>
      </w:r>
    </w:p>
    <w:p w14:paraId="1F8997AC" w14:textId="7A76D30E" w:rsidR="00BB779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3B8BAE75" w14:textId="133C44EE" w:rsidR="00E546A5" w:rsidRPr="009A44FC" w:rsidRDefault="00E546A5"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labelling additive amalgamation as “naïve” is a mischaracterization</w:t>
      </w:r>
      <w:r w:rsidR="001A7D21" w:rsidRPr="009A44FC">
        <w:rPr>
          <w:rFonts w:ascii="Times New Roman" w:hAnsi="Times New Roman" w:cs="Times New Roman"/>
          <w:color w:val="000000" w:themeColor="text1"/>
          <w:sz w:val="22"/>
          <w:szCs w:val="22"/>
        </w:rPr>
        <w:t xml:space="preserve">. We have reworked the introduction section (lines X – Y) to highlight the differences more clearly between product and sum-based aggregations and provide a robust justification for our approach. </w:t>
      </w:r>
    </w:p>
    <w:p w14:paraId="2165E24A" w14:textId="62315677" w:rsidR="0016557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9A44FC">
        <w:rPr>
          <w:rFonts w:ascii="Times New Roman" w:hAnsi="Times New Roman" w:cs="Times New Roman"/>
          <w:color w:val="FF0000"/>
          <w:sz w:val="22"/>
          <w:szCs w:val="22"/>
        </w:rPr>
        <w:t>null-hypothesis</w:t>
      </w:r>
      <w:proofErr w:type="gramEnd"/>
      <w:r w:rsidRPr="009A44FC">
        <w:rPr>
          <w:rFonts w:ascii="Times New Roman" w:hAnsi="Times New Roman" w:cs="Times New Roman"/>
          <w:color w:val="FF0000"/>
          <w:sz w:val="22"/>
          <w:szCs w:val="22"/>
        </w:rPr>
        <w:t xml:space="preserve">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completely but I think it is likely non-trivial. I would encourage the authors to clarify the role of correlation.</w:t>
      </w:r>
    </w:p>
    <w:p w14:paraId="163D68B2" w14:textId="324DFA7F" w:rsidR="00B32102" w:rsidRPr="009A44FC" w:rsidRDefault="00E546A5"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w:t>
      </w:r>
      <w:r w:rsidR="00C41D3A" w:rsidRPr="009A44FC">
        <w:rPr>
          <w:rFonts w:ascii="Times New Roman" w:hAnsi="Times New Roman" w:cs="Times New Roman"/>
          <w:color w:val="000000" w:themeColor="text1"/>
          <w:sz w:val="22"/>
          <w:szCs w:val="22"/>
        </w:rPr>
        <w:t xml:space="preserve">the reviewer 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t</w:t>
      </w:r>
      <w:r w:rsidR="003463C6" w:rsidRPr="009A44FC">
        <w:rPr>
          <w:rFonts w:ascii="Times New Roman" w:hAnsi="Times New Roman" w:cs="Times New Roman"/>
          <w:color w:val="000000" w:themeColor="text1"/>
          <w:sz w:val="22"/>
          <w:szCs w:val="22"/>
        </w:rPr>
        <w:t xml:space="preserve"> (lines X-Y)</w:t>
      </w:r>
      <w:r w:rsidR="00B32102" w:rsidRPr="009A44FC">
        <w:rPr>
          <w:rFonts w:ascii="Times New Roman" w:hAnsi="Times New Roman" w:cs="Times New Roman"/>
          <w:color w:val="000000" w:themeColor="text1"/>
          <w:sz w:val="22"/>
          <w:szCs w:val="22"/>
        </w:rPr>
        <w:t xml:space="preserve">. </w:t>
      </w:r>
    </w:p>
    <w:p w14:paraId="19CEFDDB" w14:textId="359135DA"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more commentary in the same section (lines X-Y) with regards to that issue and have left the decision whether to adjust for correlation to the user. This also supports the notion (as also recommended by reviewer 2) that set-based analysis is </w:t>
      </w:r>
      <w:r w:rsidRPr="009A44FC">
        <w:rPr>
          <w:rFonts w:ascii="Times New Roman" w:hAnsi="Times New Roman" w:cs="Times New Roman"/>
          <w:color w:val="000000" w:themeColor="text1"/>
          <w:sz w:val="22"/>
          <w:szCs w:val="22"/>
        </w:rPr>
        <w:lastRenderedPageBreak/>
        <w:t xml:space="preserve">also exploratory and not confirmatory, of which an inflated type I error is acceptable if higher power is achieved. </w:t>
      </w:r>
    </w:p>
    <w:p w14:paraId="0BF3FF5D" w14:textId="4EBFCB34" w:rsidR="0016557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4F552F3F" w:rsidR="0072510F" w:rsidRPr="009A44FC" w:rsidRDefault="0072510F" w:rsidP="0072510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reviewer’s comment. </w:t>
      </w:r>
      <w:r w:rsidR="00B32102" w:rsidRPr="009A44FC">
        <w:rPr>
          <w:rFonts w:ascii="Times New Roman" w:hAnsi="Times New Roman" w:cs="Times New Roman"/>
          <w:color w:val="000000" w:themeColor="text1"/>
          <w:sz w:val="22"/>
          <w:szCs w:val="22"/>
        </w:rPr>
        <w:t xml:space="preserve">The relevant section (lines X – Y, “Statistical properties” section) to correct for this misconception. </w:t>
      </w:r>
    </w:p>
    <w:p w14:paraId="72E81829" w14:textId="748FB0FA" w:rsidR="0016557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55D55509"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proofErr w:type="spellStart"/>
      <w:r w:rsidR="00C41506">
        <w:rPr>
          <w:rFonts w:ascii="Times New Roman" w:hAnsi="Times New Roman" w:cs="Times New Roman"/>
          <w:color w:val="000000" w:themeColor="text1"/>
          <w:sz w:val="22"/>
          <w:szCs w:val="22"/>
        </w:rPr>
        <w:t>cILR</w:t>
      </w:r>
      <w:proofErr w:type="spellEnd"/>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0B7497">
        <w:rPr>
          <w:rFonts w:ascii="Times New Roman" w:hAnsi="Times New Roman" w:cs="Times New Roman"/>
          <w:color w:val="000000" w:themeColor="text1"/>
          <w:sz w:val="22"/>
          <w:szCs w:val="22"/>
        </w:rPr>
        <w:instrText xml:space="preserve"> ADDIN ZOTERO_ITEM CSL_CITATION {"citationID":"Cvkz6sNI","properties":{"formattedCitation":"[9]","plainCitation":"[9]","noteIndex":0},"citationItems":[{"id":2399,"uris":["http://zotero.org/users/4849999/items/72ZT3IFA"],"uri":["http://zotero.org/users/4849999/items/72ZT3IFA"],"itemData":{"id":2399,"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0B7497">
        <w:rPr>
          <w:rFonts w:ascii="Times New Roman" w:hAnsi="Times New Roman" w:cs="Times New Roman"/>
          <w:noProof/>
          <w:color w:val="000000" w:themeColor="text1"/>
          <w:sz w:val="22"/>
          <w:szCs w:val="22"/>
        </w:rPr>
        <w:t>[9]</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0B7497">
        <w:rPr>
          <w:rFonts w:ascii="Times New Roman" w:hAnsi="Times New Roman" w:cs="Times New Roman"/>
          <w:color w:val="000000" w:themeColor="text1"/>
          <w:sz w:val="22"/>
          <w:szCs w:val="22"/>
        </w:rPr>
        <w:instrText xml:space="preserve"> ADDIN ZOTERO_ITEM CSL_CITATION {"citationID":"oepyLX8w","properties":{"formattedCitation":"[10]","plainCitation":"[10]","noteIndex":0},"citationItems":[{"id":2401,"uris":["http://zotero.org/users/4849999/items/G4UTDLD9"],"uri":["http://zotero.org/users/4849999/items/G4UTDLD9"],"itemData":{"id":2401,"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0B7497">
        <w:rPr>
          <w:rFonts w:ascii="Times New Roman" w:hAnsi="Times New Roman" w:cs="Times New Roman"/>
          <w:noProof/>
          <w:color w:val="000000" w:themeColor="text1"/>
          <w:sz w:val="22"/>
          <w:szCs w:val="22"/>
        </w:rPr>
        <w:t>[10]</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proofErr w:type="spellStart"/>
      <w:r w:rsidR="000B7497">
        <w:rPr>
          <w:rFonts w:ascii="Times New Roman" w:hAnsi="Times New Roman" w:cs="Times New Roman"/>
          <w:color w:val="000000" w:themeColor="text1"/>
          <w:sz w:val="22"/>
          <w:szCs w:val="22"/>
        </w:rPr>
        <w:t>coordiates</w:t>
      </w:r>
      <w:proofErr w:type="spellEnd"/>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3C920504"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apologize for the confusing terminology. 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33904FC6" w14:textId="1849AA94" w:rsidR="007311CD" w:rsidRPr="009A44FC" w:rsidRDefault="00BB7799" w:rsidP="002270CE">
      <w:pPr>
        <w:pStyle w:val="ListParagraph"/>
        <w:numPr>
          <w:ilvl w:val="0"/>
          <w:numId w:val="2"/>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0522980A"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80238E">
        <w:rPr>
          <w:rFonts w:ascii="Times New Roman" w:hAnsi="Times New Roman" w:cs="Times New Roman"/>
          <w:color w:val="000000" w:themeColor="text1"/>
          <w:sz w:val="22"/>
          <w:szCs w:val="22"/>
        </w:rPr>
        <w:t>In our results, w</w:t>
      </w:r>
      <w:r w:rsidR="007D777C">
        <w:rPr>
          <w:rFonts w:ascii="Times New Roman" w:hAnsi="Times New Roman" w:cs="Times New Roman"/>
          <w:color w:val="000000" w:themeColor="text1"/>
          <w:sz w:val="22"/>
          <w:szCs w:val="22"/>
        </w:rPr>
        <w:t xml:space="preserve">e observed some surprising differences in the performance of DESeq2 and corncob differs between simulations and real data analysis. </w:t>
      </w:r>
      <w:r w:rsidR="00F72979">
        <w:rPr>
          <w:rFonts w:ascii="Times New Roman" w:hAnsi="Times New Roman" w:cs="Times New Roman"/>
          <w:color w:val="000000" w:themeColor="text1"/>
          <w:sz w:val="22"/>
          <w:szCs w:val="22"/>
        </w:rPr>
        <w:t xml:space="preserve">In 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proofErr w:type="spellStart"/>
      <w:r w:rsidR="0080238E">
        <w:rPr>
          <w:rFonts w:ascii="Times New Roman" w:hAnsi="Times New Roman" w:cs="Times New Roman"/>
          <w:color w:val="000000" w:themeColor="text1"/>
          <w:sz w:val="22"/>
          <w:szCs w:val="22"/>
        </w:rPr>
        <w:t>cILR</w:t>
      </w:r>
      <w:proofErr w:type="spellEnd"/>
      <w:r w:rsidR="0080238E">
        <w:rPr>
          <w:rFonts w:ascii="Times New Roman" w:hAnsi="Times New Roman" w:cs="Times New Roman"/>
          <w:color w:val="000000" w:themeColor="text1"/>
          <w:sz w:val="22"/>
          <w:szCs w:val="22"/>
        </w:rPr>
        <w:t xml:space="preserve">).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UfgNlsHf","properties":{"formattedCitation":"[11]","plainCitation":"[11]","noteIndex":0},"citationItems":[{"id":2322,"uris":["http://zotero.org/users/4849999/items/ANESCJQ7"],"uri":["http://zotero.org/users/4849999/items/ANESCJQ7"],"itemData":{"id":2322,"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[11]</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EF09A1">
        <w:rPr>
          <w:rFonts w:ascii="Times New Roman" w:hAnsi="Times New Roman" w:cs="Times New Roman"/>
          <w:color w:val="000000" w:themeColor="text1"/>
          <w:sz w:val="22"/>
          <w:szCs w:val="22"/>
        </w:rPr>
        <w:t xml:space="preserve">In the permutation analyses using real data this bias would be preserved as </w:t>
      </w:r>
      <w:r w:rsidR="0080238E">
        <w:rPr>
          <w:rFonts w:ascii="Times New Roman" w:hAnsi="Times New Roman" w:cs="Times New Roman"/>
          <w:color w:val="000000" w:themeColor="text1"/>
          <w:sz w:val="22"/>
          <w:szCs w:val="22"/>
        </w:rPr>
        <w:t xml:space="preserve">the reviewer has stated, </w:t>
      </w:r>
      <w:r w:rsidR="00EF09A1">
        <w:rPr>
          <w:rFonts w:ascii="Times New Roman" w:hAnsi="Times New Roman" w:cs="Times New Roman"/>
          <w:color w:val="000000" w:themeColor="text1"/>
          <w:sz w:val="22"/>
          <w:szCs w:val="22"/>
        </w:rPr>
        <w:t xml:space="preserve">which explains that the high type I error observed when </w:t>
      </w:r>
      <w:r w:rsidR="0080238E">
        <w:rPr>
          <w:rFonts w:ascii="Times New Roman" w:hAnsi="Times New Roman" w:cs="Times New Roman"/>
          <w:color w:val="000000" w:themeColor="text1"/>
          <w:sz w:val="22"/>
          <w:szCs w:val="22"/>
        </w:rPr>
        <w:t>applying DESeq2 and corncob simulation</w:t>
      </w:r>
      <w:r w:rsidR="00EF09A1">
        <w:rPr>
          <w:rFonts w:ascii="Times New Roman" w:hAnsi="Times New Roman" w:cs="Times New Roman"/>
          <w:color w:val="000000" w:themeColor="text1"/>
          <w:sz w:val="22"/>
          <w:szCs w:val="22"/>
        </w:rPr>
        <w:t xml:space="preserve">s where </w:t>
      </w:r>
      <w:r w:rsidR="0080238E">
        <w:rPr>
          <w:rFonts w:ascii="Times New Roman" w:hAnsi="Times New Roman" w:cs="Times New Roman"/>
          <w:color w:val="000000" w:themeColor="text1"/>
          <w:sz w:val="22"/>
          <w:szCs w:val="22"/>
        </w:rPr>
        <w:t xml:space="preserve">this aspect of the data </w:t>
      </w:r>
      <w:r w:rsidR="00EF09A1">
        <w:rPr>
          <w:rFonts w:ascii="Times New Roman" w:hAnsi="Times New Roman" w:cs="Times New Roman"/>
          <w:color w:val="000000" w:themeColor="text1"/>
          <w:sz w:val="22"/>
          <w:szCs w:val="22"/>
        </w:rPr>
        <w:t xml:space="preserve">was not </w:t>
      </w:r>
      <w:r w:rsidR="001E7EFB">
        <w:rPr>
          <w:rFonts w:ascii="Times New Roman" w:hAnsi="Times New Roman" w:cs="Times New Roman"/>
          <w:color w:val="000000" w:themeColor="text1"/>
          <w:sz w:val="22"/>
          <w:szCs w:val="22"/>
        </w:rPr>
        <w:t>considered</w:t>
      </w:r>
      <w:r w:rsidR="0080238E">
        <w:rPr>
          <w:rFonts w:ascii="Times New Roman" w:hAnsi="Times New Roman" w:cs="Times New Roman"/>
          <w:color w:val="000000" w:themeColor="text1"/>
          <w:sz w:val="22"/>
          <w:szCs w:val="22"/>
        </w:rPr>
        <w:t xml:space="preserve">. </w:t>
      </w:r>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BC1C977" w14:textId="027233AE" w:rsidR="007311CD"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Modeling Choices</w:t>
      </w:r>
    </w:p>
    <w:p w14:paraId="65703A11" w14:textId="48D73FF2" w:rsidR="00BB7799" w:rsidRPr="009A44FC" w:rsidRDefault="00BB7799" w:rsidP="002270CE">
      <w:pPr>
        <w:pStyle w:val="ListParagraph"/>
        <w:numPr>
          <w:ilvl w:val="0"/>
          <w:numId w:val="3"/>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As far as I can tell the authors do not state how they are handling</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zeros. This is a non-trivial methodologic detail especially if they</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are simply taking log-ratio transforms of count data. To what exten</w:t>
      </w:r>
      <w:r w:rsidR="007311CD" w:rsidRPr="009A44FC">
        <w:rPr>
          <w:rFonts w:ascii="Times New Roman" w:hAnsi="Times New Roman" w:cs="Times New Roman"/>
          <w:color w:val="FF0000"/>
          <w:sz w:val="22"/>
          <w:szCs w:val="22"/>
        </w:rPr>
        <w:t xml:space="preserve">t </w:t>
      </w:r>
      <w:r w:rsidRPr="009A44FC">
        <w:rPr>
          <w:rFonts w:ascii="Times New Roman" w:hAnsi="Times New Roman" w:cs="Times New Roman"/>
          <w:color w:val="FF0000"/>
          <w:sz w:val="22"/>
          <w:szCs w:val="22"/>
        </w:rPr>
        <w:t>is the non-normality of the authors results simply a product of</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directly transforming count data without accounting for the variance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of the counts. For example, count data typically </w:t>
      </w:r>
      <w:r w:rsidRPr="009A44FC">
        <w:rPr>
          <w:rFonts w:ascii="Times New Roman" w:hAnsi="Times New Roman" w:cs="Times New Roman"/>
          <w:color w:val="FF0000"/>
          <w:sz w:val="22"/>
          <w:szCs w:val="22"/>
        </w:rPr>
        <w:lastRenderedPageBreak/>
        <w:t>have a mean</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variance relationship that seems largely ignored by the </w:t>
      </w:r>
      <w:proofErr w:type="gramStart"/>
      <w:r w:rsidRPr="009A44FC">
        <w:rPr>
          <w:rFonts w:ascii="Times New Roman" w:hAnsi="Times New Roman" w:cs="Times New Roman"/>
          <w:color w:val="FF0000"/>
          <w:sz w:val="22"/>
          <w:szCs w:val="22"/>
        </w:rPr>
        <w:t>authors</w:t>
      </w:r>
      <w:proofErr w:type="gramEnd"/>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approach. Moreover, there has been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advances in</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compositional modeling of microbiome focusing on Multinomial</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logistic normal models that are not addressed by the authors. In</w:t>
      </w:r>
      <w:r w:rsidR="007311CD" w:rsidRPr="009A44FC">
        <w:rPr>
          <w:rFonts w:ascii="Times New Roman" w:hAnsi="Times New Roman" w:cs="Times New Roman"/>
          <w:color w:val="FF0000"/>
          <w:sz w:val="22"/>
          <w:szCs w:val="22"/>
        </w:rPr>
        <w:t xml:space="preserve"> </w:t>
      </w:r>
      <w:proofErr w:type="gramStart"/>
      <w:r w:rsidRPr="009A44FC">
        <w:rPr>
          <w:rFonts w:ascii="Times New Roman" w:hAnsi="Times New Roman" w:cs="Times New Roman"/>
          <w:color w:val="FF0000"/>
          <w:sz w:val="22"/>
          <w:szCs w:val="22"/>
        </w:rPr>
        <w:t>fact</w:t>
      </w:r>
      <w:proofErr w:type="gramEnd"/>
      <w:r w:rsidRPr="009A44FC">
        <w:rPr>
          <w:rFonts w:ascii="Times New Roman" w:hAnsi="Times New Roman" w:cs="Times New Roman"/>
          <w:color w:val="FF0000"/>
          <w:sz w:val="22"/>
          <w:szCs w:val="22"/>
        </w:rPr>
        <w:t xml:space="preserve"> in light of the availability of these methods the authors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modeling of these counts seems sub-par.</w:t>
      </w:r>
    </w:p>
    <w:p w14:paraId="2CB0821B" w14:textId="5D69F57B" w:rsidR="009D46DC" w:rsidRPr="009A44FC" w:rsidRDefault="008F611F"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agree that this section of our analysis can be lacking in clarity. Our strategy for addressing sparsity in microbiome data is to use </w:t>
      </w:r>
      <w:proofErr w:type="spellStart"/>
      <w:r>
        <w:rPr>
          <w:rFonts w:ascii="Times New Roman" w:hAnsi="Times New Roman" w:cs="Times New Roman"/>
          <w:color w:val="000000" w:themeColor="text1"/>
          <w:sz w:val="22"/>
          <w:szCs w:val="22"/>
        </w:rPr>
        <w:t>pseudocounts</w:t>
      </w:r>
      <w:proofErr w:type="spellEnd"/>
      <w:r>
        <w:rPr>
          <w:rFonts w:ascii="Times New Roman" w:hAnsi="Times New Roman" w:cs="Times New Roman"/>
          <w:color w:val="000000" w:themeColor="text1"/>
          <w:sz w:val="22"/>
          <w:szCs w:val="22"/>
        </w:rPr>
        <w:t xml:space="preserve"> to ensure the validity of the log-ratio transformations. We have made this assumption more clearly in the “statistical properties” section of the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provided alternatives that the user can apply outside of the approach.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4429CC89"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As such, we have not considered in detail the mean-variance relationship in count data as the normalization step was performed by the user prior to input into the model.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We are not exactly certain the reason why our test statistic is non-normal, but empirical distribution fitting indicates that a normal approximation is still among the best fit. Furthermore, in our experiments we also show that the normal approximation generates good performance values for all </w:t>
      </w:r>
      <w:r w:rsidR="00A56446">
        <w:rPr>
          <w:rFonts w:ascii="Times New Roman" w:hAnsi="Times New Roman" w:cs="Times New Roman"/>
          <w:color w:val="000000" w:themeColor="text1"/>
          <w:sz w:val="22"/>
          <w:szCs w:val="22"/>
        </w:rPr>
        <w:t xml:space="preserve">considered situations. </w:t>
      </w:r>
      <w:r w:rsidR="009B6223">
        <w:rPr>
          <w:rFonts w:ascii="Times New Roman" w:hAnsi="Times New Roman" w:cs="Times New Roman"/>
          <w:color w:val="000000" w:themeColor="text1"/>
          <w:sz w:val="22"/>
          <w:szCs w:val="22"/>
        </w:rPr>
        <w:t xml:space="preserve"> </w:t>
      </w:r>
    </w:p>
    <w:p w14:paraId="04BD0A6C" w14:textId="5D0BA18C"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great tools at modelling the count data directly, and we do not doubt that one can apply the multinomial logistic normal model to perform set-based enrichment analysis. </w:t>
      </w:r>
      <w:r w:rsidR="00A56446">
        <w:rPr>
          <w:rFonts w:ascii="Times New Roman" w:hAnsi="Times New Roman" w:cs="Times New Roman"/>
          <w:color w:val="000000" w:themeColor="text1"/>
          <w:sz w:val="22"/>
          <w:szCs w:val="22"/>
        </w:rPr>
        <w:t>However,</w:t>
      </w:r>
      <w:r>
        <w:rPr>
          <w:rFonts w:ascii="Times New Roman" w:hAnsi="Times New Roman" w:cs="Times New Roman"/>
          <w:color w:val="000000" w:themeColor="text1"/>
          <w:sz w:val="22"/>
          <w:szCs w:val="22"/>
        </w:rPr>
        <w:t xml:space="preserve"> to our knowledge no approach exists so far that utilizes this concept</w:t>
      </w:r>
      <w:r w:rsidR="00A56446">
        <w:rPr>
          <w:rFonts w:ascii="Times New Roman" w:hAnsi="Times New Roman" w:cs="Times New Roman"/>
          <w:color w:val="000000" w:themeColor="text1"/>
          <w:sz w:val="22"/>
          <w:szCs w:val="22"/>
        </w:rPr>
        <w:t xml:space="preserve"> for set-based testing, as such we did not consider this in our evaluation and comparison strategy. </w:t>
      </w:r>
    </w:p>
    <w:p w14:paraId="1D709850" w14:textId="05B005B5"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Unsubstantiated Claims</w:t>
      </w:r>
    </w:p>
    <w:p w14:paraId="05B38C1B" w14:textId="2E2CAE10"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There are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unsubstantiated claims where the language needs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to be altered to be more precise.</w:t>
      </w:r>
    </w:p>
    <w:p w14:paraId="5E4B7329" w14:textId="79C147E6" w:rsidR="007311CD" w:rsidRPr="009A44FC" w:rsidRDefault="00BB7799" w:rsidP="002270CE">
      <w:pPr>
        <w:pStyle w:val="ListParagraph"/>
        <w:numPr>
          <w:ilvl w:val="0"/>
          <w:numId w:val="3"/>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Line 493: "These results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generated scores are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informative features in disease prediction tasks." No. These results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COULD be informative features in disease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predictions tasks. I am not convinced that these are even useful for</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the case-studies shown in this manuscript let alone other tasks.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Moreover, the comparison methods </w:t>
      </w:r>
      <w:proofErr w:type="spellStart"/>
      <w:r w:rsidRPr="009A44FC">
        <w:rPr>
          <w:rFonts w:ascii="Times New Roman" w:hAnsi="Times New Roman" w:cs="Times New Roman"/>
          <w:color w:val="FF0000"/>
          <w:sz w:val="22"/>
          <w:szCs w:val="22"/>
        </w:rPr>
        <w:t>ssGSEA</w:t>
      </w:r>
      <w:proofErr w:type="spellEnd"/>
      <w:r w:rsidRPr="009A44FC">
        <w:rPr>
          <w:rFonts w:ascii="Times New Roman" w:hAnsi="Times New Roman" w:cs="Times New Roman"/>
          <w:color w:val="FF0000"/>
          <w:sz w:val="22"/>
          <w:szCs w:val="22"/>
        </w:rPr>
        <w:t xml:space="preserve"> and GSVA seem like odd</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choices. Are the authors only using methods that can take set-based</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features? This does not account for the potential that the chosen</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sets are not informative. The later seems like an important case to</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establish the motivation of the current work.</w:t>
      </w:r>
      <w:r w:rsidR="00A04D61" w:rsidRPr="009A44FC">
        <w:rPr>
          <w:rFonts w:ascii="Times New Roman" w:hAnsi="Times New Roman" w:cs="Times New Roman"/>
          <w:color w:val="FF0000"/>
          <w:sz w:val="22"/>
          <w:szCs w:val="22"/>
        </w:rPr>
        <w:t xml:space="preserve"> </w:t>
      </w:r>
    </w:p>
    <w:p w14:paraId="79471735" w14:textId="340495B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proofErr w:type="spellStart"/>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proofErr w:type="spellStart"/>
      <w:r>
        <w:rPr>
          <w:rFonts w:ascii="Times New Roman" w:eastAsiaTheme="minorEastAsia" w:hAnsi="Times New Roman" w:cs="Times New Roman"/>
          <w:color w:val="000000" w:themeColor="text1"/>
          <w:sz w:val="22"/>
          <w:szCs w:val="22"/>
        </w:rPr>
        <w:t>cILR</w:t>
      </w:r>
      <w:proofErr w:type="spellEnd"/>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p>
    <w:p w14:paraId="7FF828F4" w14:textId="6E597242"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 are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generated scores are informative features” refer to the fact </w:t>
      </w:r>
      <w:r w:rsidR="00AF6497">
        <w:rPr>
          <w:rFonts w:ascii="Times New Roman" w:hAnsi="Times New Roman" w:cs="Times New Roman"/>
          <w:color w:val="000000" w:themeColor="text1"/>
          <w:sz w:val="22"/>
          <w:szCs w:val="22"/>
        </w:rPr>
        <w:lastRenderedPageBreak/>
        <w:t xml:space="preserve">that given the same sets of microbes, scores constructed by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w:t>
      </w:r>
      <w:proofErr w:type="spellStart"/>
      <w:r w:rsidR="00AF6497">
        <w:rPr>
          <w:rFonts w:ascii="Times New Roman" w:hAnsi="Times New Roman" w:cs="Times New Roman"/>
          <w:color w:val="000000" w:themeColor="text1"/>
          <w:sz w:val="22"/>
          <w:szCs w:val="22"/>
        </w:rPr>
        <w:t>baed</w:t>
      </w:r>
      <w:proofErr w:type="spellEnd"/>
      <w:r w:rsidR="00AF6497">
        <w:rPr>
          <w:rFonts w:ascii="Times New Roman" w:hAnsi="Times New Roman" w:cs="Times New Roman"/>
          <w:color w:val="000000" w:themeColor="text1"/>
          <w:sz w:val="22"/>
          <w:szCs w:val="22"/>
        </w:rPr>
        <w:t xml:space="preserve"> features generated using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for predictive purposes. However, we agree with the reviewer that this is a strong statement and have adjusted according to </w:t>
      </w:r>
      <w:r w:rsidR="001E7EFB">
        <w:rPr>
          <w:rFonts w:ascii="Times New Roman" w:hAnsi="Times New Roman" w:cs="Times New Roman"/>
          <w:color w:val="000000" w:themeColor="text1"/>
          <w:sz w:val="22"/>
          <w:szCs w:val="22"/>
        </w:rPr>
        <w:t>capture our meaning more accurately</w:t>
      </w:r>
      <w:r w:rsidR="00AF6497">
        <w:rPr>
          <w:rFonts w:ascii="Times New Roman" w:hAnsi="Times New Roman" w:cs="Times New Roman"/>
          <w:color w:val="000000" w:themeColor="text1"/>
          <w:sz w:val="22"/>
          <w:szCs w:val="22"/>
        </w:rPr>
        <w:t xml:space="preserve">. We also added the context that was provided in this response to the results interpretation, which we hope would also add further information on how to receive our results. </w:t>
      </w:r>
      <w:r w:rsidR="00157D16">
        <w:rPr>
          <w:rFonts w:ascii="Times New Roman" w:hAnsi="Times New Roman" w:cs="Times New Roman"/>
          <w:color w:val="000000" w:themeColor="text1"/>
          <w:sz w:val="22"/>
          <w:szCs w:val="22"/>
        </w:rPr>
        <w:t xml:space="preserve"> </w:t>
      </w:r>
    </w:p>
    <w:p w14:paraId="1D4ED2CA" w14:textId="23B5712F" w:rsidR="00C40008" w:rsidRPr="009A44FC" w:rsidRDefault="00BB7799" w:rsidP="002270CE">
      <w:pPr>
        <w:pStyle w:val="ListParagraph"/>
        <w:numPr>
          <w:ilvl w:val="0"/>
          <w:numId w:val="3"/>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 535-537. The authors show that their model displays Type 1</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error control on a set of of simulated datasets. They make some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claims about false-discovery control on real data on lines 397-406</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but I really don't follow how they know what is non-random or random</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on this dataset. It seems like they have a strong hypothesis about</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aerobic vs. anaerobic but that hypothesis seems too weak to serve as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a gold-standard reference. </w:t>
      </w:r>
      <w:proofErr w:type="gramStart"/>
      <w:r w:rsidRPr="009A44FC">
        <w:rPr>
          <w:rFonts w:ascii="Times New Roman" w:hAnsi="Times New Roman" w:cs="Times New Roman"/>
          <w:color w:val="FF0000"/>
          <w:sz w:val="22"/>
          <w:szCs w:val="22"/>
        </w:rPr>
        <w:t>Overall</w:t>
      </w:r>
      <w:proofErr w:type="gramEnd"/>
      <w:r w:rsidRPr="009A44FC">
        <w:rPr>
          <w:rFonts w:ascii="Times New Roman" w:hAnsi="Times New Roman" w:cs="Times New Roman"/>
          <w:color w:val="FF0000"/>
          <w:sz w:val="22"/>
          <w:szCs w:val="22"/>
        </w:rPr>
        <w:t xml:space="preserve"> these claims are unsubstantiated.</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I would emphasize that any claim saying a model can be trusted is</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suspect and bordering on overtly false -- any model can fail and</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nearly all models are </w:t>
      </w:r>
      <w:r w:rsidR="007311CD" w:rsidRPr="009A44FC">
        <w:rPr>
          <w:rFonts w:ascii="Times New Roman" w:hAnsi="Times New Roman" w:cs="Times New Roman"/>
          <w:color w:val="FF0000"/>
          <w:sz w:val="22"/>
          <w:szCs w:val="22"/>
        </w:rPr>
        <w:t>mis-specified</w:t>
      </w:r>
      <w:r w:rsidRPr="009A44FC">
        <w:rPr>
          <w:rFonts w:ascii="Times New Roman" w:hAnsi="Times New Roman" w:cs="Times New Roman"/>
          <w:color w:val="FF0000"/>
          <w:sz w:val="22"/>
          <w:szCs w:val="22"/>
        </w:rPr>
        <w:t xml:space="preserve"> there are times at which a model</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may be useful but that is about it. No model can be globally</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trusted.</w:t>
      </w:r>
    </w:p>
    <w:p w14:paraId="02C3E960" w14:textId="73E2A645" w:rsidR="00414018" w:rsidRPr="009A44FC" w:rsidRDefault="00B730AD"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Thank you to the reviewer for raising this issue</w:t>
      </w:r>
      <w:r w:rsidR="00414018" w:rsidRPr="009A44FC">
        <w:rPr>
          <w:rFonts w:ascii="Times New Roman" w:hAnsi="Times New Roman" w:cs="Times New Roman"/>
          <w:color w:val="000000" w:themeColor="text1"/>
          <w:sz w:val="22"/>
          <w:szCs w:val="22"/>
        </w:rPr>
        <w:t xml:space="preserve">. We have added more qualifiers to specify the situations in which we are observing these results, which might not be generalizable across all scenarios users might face. </w:t>
      </w:r>
      <w:r w:rsidR="009009D6" w:rsidRPr="009A44FC">
        <w:rPr>
          <w:rFonts w:ascii="Times New Roman" w:hAnsi="Times New Roman" w:cs="Times New Roman"/>
          <w:color w:val="000000" w:themeColor="text1"/>
          <w:sz w:val="22"/>
          <w:szCs w:val="22"/>
        </w:rPr>
        <w:t>Additionally, we have toned down (</w:t>
      </w:r>
      <w:proofErr w:type="gramStart"/>
      <w:r w:rsidR="009009D6" w:rsidRPr="009A44FC">
        <w:rPr>
          <w:rFonts w:ascii="Times New Roman" w:hAnsi="Times New Roman" w:cs="Times New Roman"/>
          <w:color w:val="000000" w:themeColor="text1"/>
          <w:sz w:val="22"/>
          <w:szCs w:val="22"/>
        </w:rPr>
        <w:t>e.g.</w:t>
      </w:r>
      <w:proofErr w:type="gramEnd"/>
      <w:r w:rsidR="009009D6" w:rsidRPr="009A44FC">
        <w:rPr>
          <w:rFonts w:ascii="Times New Roman" w:hAnsi="Times New Roman" w:cs="Times New Roman"/>
          <w:color w:val="000000" w:themeColor="text1"/>
          <w:sz w:val="22"/>
          <w:szCs w:val="22"/>
        </w:rPr>
        <w:t xml:space="preserve"> lines X – Y) our performance claims. </w:t>
      </w:r>
    </w:p>
    <w:p w14:paraId="5012F83C" w14:textId="75837206"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our gingival data set, we agree that the aerobic vs anaerobic hypothesis is not strong enough to serve as ground truth.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the lack of standardized gold-standard data sets for enrichment testing in the discussion section. Furthermore, we have added additional type I error evaluation on the real data set (following standards set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w:t>
      </w:r>
      <w:r w:rsidRPr="009A44FC">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a3XvuWx8","properties":{"formattedCitation":"[12]","plainCitation":"[12]","noteIndex":0},"citationItems":[{"id":2389,"uris":["http://zotero.org/users/4849999/items/S6VGGL9V"],"uri":["http://zotero.org/users/4849999/items/S6VGGL9V"],"itemData":{"id":2389,"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[12]</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 as recommended by reviewer 2). However, we maintain that the results still provide good insight into model performance since the hypothesis </w:t>
      </w:r>
      <w:r w:rsidR="00B97F13" w:rsidRPr="009A44FC">
        <w:rPr>
          <w:rFonts w:ascii="Times New Roman" w:hAnsi="Times New Roman" w:cs="Times New Roman"/>
          <w:color w:val="000000" w:themeColor="text1"/>
          <w:sz w:val="22"/>
          <w:szCs w:val="22"/>
        </w:rPr>
        <w:t>does have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ke8CjCvB","properties":{"formattedCitation":"[13]","plainCitation":"[13]","noteIndex":0},"citationItems":[{"id":1981,"uris":["http://zotero.org/users/4849999/items/R5HNS27S"],"uri":["http://zotero.org/users/4849999/items/R5HNS27S"],"itemData":{"id":1981,"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77F58EFC" w:rsidR="007311CD"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Other Comments on Clarity</w:t>
      </w:r>
    </w:p>
    <w:p w14:paraId="776A0EA0" w14:textId="6FF26C05" w:rsidR="00ED3611" w:rsidRPr="009A44FC" w:rsidRDefault="00BB7799" w:rsidP="002270CE">
      <w:pPr>
        <w:pStyle w:val="ListParagraph"/>
        <w:numPr>
          <w:ilvl w:val="0"/>
          <w:numId w:val="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The writing after line 215 lacks detail. I kept waiting for a</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methods section to answer some of my questions (e.g., how </w:t>
      </w:r>
      <w:proofErr w:type="gramStart"/>
      <w:r w:rsidRPr="009A44FC">
        <w:rPr>
          <w:rFonts w:ascii="Times New Roman" w:hAnsi="Times New Roman" w:cs="Times New Roman"/>
          <w:color w:val="FF0000"/>
          <w:sz w:val="22"/>
          <w:szCs w:val="22"/>
        </w:rPr>
        <w:t>was mu or</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phi</w:t>
      </w:r>
      <w:proofErr w:type="gramEnd"/>
      <w:r w:rsidRPr="009A44FC">
        <w:rPr>
          <w:rFonts w:ascii="Times New Roman" w:hAnsi="Times New Roman" w:cs="Times New Roman"/>
          <w:color w:val="FF0000"/>
          <w:sz w:val="22"/>
          <w:szCs w:val="22"/>
        </w:rPr>
        <w:t xml:space="preserve"> chosen in equation 3) but these don't seem to be listed</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anywhere. Details in the remaining parts of the manuscript are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inconsistently given or vague. e.g., Line 249 "all sample sizes were</w:t>
      </w:r>
      <w:r w:rsidR="007311CD"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set to 10,000". Do you mean sequencing depth? Number of reads?</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Number of technical replicates? What is this referring to?</w:t>
      </w:r>
    </w:p>
    <w:p w14:paraId="4226E338" w14:textId="4CD5A3E0"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 hopefully ensure readability and filling in missing gaps</w:t>
      </w:r>
      <w:r w:rsidR="00AD17DB" w:rsidRPr="009A44FC">
        <w:rPr>
          <w:rFonts w:ascii="Times New Roman" w:hAnsi="Times New Roman" w:cs="Times New Roman"/>
          <w:color w:val="000000" w:themeColor="text1"/>
          <w:sz w:val="22"/>
          <w:szCs w:val="22"/>
        </w:rPr>
        <w:t xml:space="preserve"> on our strategy</w:t>
      </w:r>
      <w:r w:rsidRPr="009A44FC">
        <w:rPr>
          <w:rFonts w:ascii="Times New Roman" w:hAnsi="Times New Roman" w:cs="Times New Roman"/>
          <w:color w:val="000000" w:themeColor="text1"/>
          <w:sz w:val="22"/>
          <w:szCs w:val="22"/>
        </w:rPr>
        <w:t xml:space="preserve">. With regards to the specific examples provided by the reviewer, we provide some clarifications as follows: </w:t>
      </w:r>
    </w:p>
    <w:p w14:paraId="787B7EDD" w14:textId="072D8FAA"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80238E">
        <w:rPr>
          <w:rFonts w:ascii="Times New Roman" w:eastAsiaTheme="minorEastAsia" w:hAnsi="Times New Roman" w:cs="Times New Roman"/>
          <w:color w:val="000000" w:themeColor="text1"/>
          <w:sz w:val="22"/>
          <w:szCs w:val="22"/>
        </w:rPr>
        <w:instrText xml:space="preserve"> ADDIN ZOTERO_ITEM CSL_CITATION {"citationID":"zWdonE7B","properties":{"formattedCitation":"[14]","plainCitation":"[14]","noteIndex":0},"citationItems":[{"id":1932,"uris":["http://zotero.org/users/4849999/items/8PVF4TV7"],"uri":["http://zotero.org/users/4849999/items/8PVF4TV7"],"itemData":{"id":1932,"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80238E">
        <w:rPr>
          <w:rFonts w:ascii="Times New Roman" w:eastAsiaTheme="minorEastAsia" w:hAnsi="Times New Roman" w:cs="Times New Roman"/>
          <w:noProof/>
          <w:color w:val="000000" w:themeColor="text1"/>
          <w:sz w:val="22"/>
          <w:szCs w:val="22"/>
        </w:rPr>
        <w:t>[14]</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0AD96311" w14:textId="30861A8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10,000 samples refer to the number of samples (</w:t>
      </w:r>
      <w:proofErr w:type="gramStart"/>
      <w:r w:rsidRPr="009A44FC">
        <w:rPr>
          <w:rFonts w:ascii="Times New Roman" w:eastAsiaTheme="minorEastAsia" w:hAnsi="Times New Roman" w:cs="Times New Roman"/>
          <w:color w:val="000000" w:themeColor="text1"/>
          <w:sz w:val="22"/>
          <w:szCs w:val="22"/>
        </w:rPr>
        <w:t>i.e.</w:t>
      </w:r>
      <w:proofErr w:type="gramEnd"/>
      <w:r w:rsidRPr="009A44FC">
        <w:rPr>
          <w:rFonts w:ascii="Times New Roman" w:eastAsiaTheme="minorEastAsia" w:hAnsi="Times New Roman" w:cs="Times New Roman"/>
          <w:color w:val="000000" w:themeColor="text1"/>
          <w:sz w:val="22"/>
          <w:szCs w:val="22"/>
        </w:rPr>
        <w:t xml:space="preserv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1EA343D0" w:rsidR="00BB7799" w:rsidRPr="009A44FC" w:rsidRDefault="00BB7799" w:rsidP="002270CE">
      <w:pPr>
        <w:pStyle w:val="ListParagraph"/>
        <w:numPr>
          <w:ilvl w:val="0"/>
          <w:numId w:val="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The writing after line 215 is hard to read. In part this relates to</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the lack of </w:t>
      </w:r>
      <w:proofErr w:type="gramStart"/>
      <w:r w:rsidRPr="009A44FC">
        <w:rPr>
          <w:rFonts w:ascii="Times New Roman" w:hAnsi="Times New Roman" w:cs="Times New Roman"/>
          <w:color w:val="FF0000"/>
          <w:sz w:val="22"/>
          <w:szCs w:val="22"/>
        </w:rPr>
        <w:t>detail</w:t>
      </w:r>
      <w:proofErr w:type="gramEnd"/>
      <w:r w:rsidRPr="009A44FC">
        <w:rPr>
          <w:rFonts w:ascii="Times New Roman" w:hAnsi="Times New Roman" w:cs="Times New Roman"/>
          <w:color w:val="FF0000"/>
          <w:sz w:val="22"/>
          <w:szCs w:val="22"/>
        </w:rPr>
        <w:t xml:space="preserve"> but I think it also stems from the fact that the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manuscript starts being written in triplicate for Single Sample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Enrichment, Differential Abundance Analysis, and then Prediction. It</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makes the paper repetitive </w:t>
      </w:r>
      <w:r w:rsidRPr="009A44FC">
        <w:rPr>
          <w:rFonts w:ascii="Times New Roman" w:hAnsi="Times New Roman" w:cs="Times New Roman"/>
          <w:color w:val="FF0000"/>
          <w:sz w:val="22"/>
          <w:szCs w:val="22"/>
        </w:rPr>
        <w:lastRenderedPageBreak/>
        <w:t>and hard to follow. Further, figures are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repetitive and poorly labeled so </w:t>
      </w:r>
      <w:r w:rsidR="00ED3611" w:rsidRPr="009A44FC">
        <w:rPr>
          <w:rFonts w:ascii="Times New Roman" w:hAnsi="Times New Roman" w:cs="Times New Roman"/>
          <w:color w:val="FF0000"/>
          <w:sz w:val="22"/>
          <w:szCs w:val="22"/>
        </w:rPr>
        <w:t>it’s</w:t>
      </w:r>
      <w:r w:rsidRPr="009A44FC">
        <w:rPr>
          <w:rFonts w:ascii="Times New Roman" w:hAnsi="Times New Roman" w:cs="Times New Roman"/>
          <w:color w:val="FF0000"/>
          <w:sz w:val="22"/>
          <w:szCs w:val="22"/>
        </w:rPr>
        <w:t xml:space="preserve"> hard, </w:t>
      </w:r>
      <w:proofErr w:type="gramStart"/>
      <w:r w:rsidRPr="009A44FC">
        <w:rPr>
          <w:rFonts w:ascii="Times New Roman" w:hAnsi="Times New Roman" w:cs="Times New Roman"/>
          <w:color w:val="FF0000"/>
          <w:sz w:val="22"/>
          <w:szCs w:val="22"/>
        </w:rPr>
        <w:t>at a glance</w:t>
      </w:r>
      <w:proofErr w:type="gramEnd"/>
      <w:r w:rsidRPr="009A44FC">
        <w:rPr>
          <w:rFonts w:ascii="Times New Roman" w:hAnsi="Times New Roman" w:cs="Times New Roman"/>
          <w:color w:val="FF0000"/>
          <w:sz w:val="22"/>
          <w:szCs w:val="22"/>
        </w:rPr>
        <w:t>, to figure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out what figure links to what part of the paper. I have never seen a</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discussion written in the </w:t>
      </w:r>
      <w:proofErr w:type="gramStart"/>
      <w:r w:rsidRPr="009A44FC">
        <w:rPr>
          <w:rFonts w:ascii="Times New Roman" w:hAnsi="Times New Roman" w:cs="Times New Roman"/>
          <w:color w:val="FF0000"/>
          <w:sz w:val="22"/>
          <w:szCs w:val="22"/>
        </w:rPr>
        <w:t>parts</w:t>
      </w:r>
      <w:proofErr w:type="gramEnd"/>
      <w:r w:rsidRPr="009A44FC">
        <w:rPr>
          <w:rFonts w:ascii="Times New Roman" w:hAnsi="Times New Roman" w:cs="Times New Roman"/>
          <w:color w:val="FF0000"/>
          <w:sz w:val="22"/>
          <w:szCs w:val="22"/>
        </w:rPr>
        <w:t xml:space="preserve"> but this just adds to the feeling</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that this is just a paper written in triplicate without a coherent</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message beyond the initial idea which ends around line 215. Further</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it was not clear from reading the introduction that the paper would</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be organized like this; some warning in the introduction may help a</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bit. In fact, it was not even clear what the distinction between</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single-sample enrichment and differential abundance was from the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introduction. In addition, this notation is non-standard. </w:t>
      </w:r>
      <w:proofErr w:type="gramStart"/>
      <w:r w:rsidRPr="009A44FC">
        <w:rPr>
          <w:rFonts w:ascii="Times New Roman" w:hAnsi="Times New Roman" w:cs="Times New Roman"/>
          <w:color w:val="FF0000"/>
          <w:sz w:val="22"/>
          <w:szCs w:val="22"/>
        </w:rPr>
        <w:t>Typically</w:t>
      </w:r>
      <w:proofErr w:type="gramEnd"/>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enrichment (e.g., as used in </w:t>
      </w:r>
      <w:proofErr w:type="spellStart"/>
      <w:r w:rsidRPr="009A44FC">
        <w:rPr>
          <w:rFonts w:ascii="Times New Roman" w:hAnsi="Times New Roman" w:cs="Times New Roman"/>
          <w:color w:val="FF0000"/>
          <w:sz w:val="22"/>
          <w:szCs w:val="22"/>
        </w:rPr>
        <w:t>gsEa</w:t>
      </w:r>
      <w:proofErr w:type="spellEnd"/>
      <w:r w:rsidRPr="009A44FC">
        <w:rPr>
          <w:rFonts w:ascii="Times New Roman" w:hAnsi="Times New Roman" w:cs="Times New Roman"/>
          <w:color w:val="FF0000"/>
          <w:sz w:val="22"/>
          <w:szCs w:val="22"/>
        </w:rPr>
        <w:t>) refers to essentially</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differential expression but for sets of genes (i.e., it is typically</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 comparison between groups). This makes the "single-sample</w:t>
      </w:r>
      <w:r w:rsidR="00ED3611"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enrichment" terminology confusing.</w:t>
      </w:r>
    </w:p>
    <w:p w14:paraId="0EF1EAD7" w14:textId="492A6068" w:rsidR="007609C2" w:rsidRPr="009A44FC" w:rsidRDefault="007609C2" w:rsidP="007609C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Considering the reviewer’s concerns, we have provided clarification to the structure of the manuscript in the introduction. Additionally, we have also restructured the manuscript such that it features the enrichment analysis more prominently</w:t>
      </w:r>
      <w:r w:rsidR="00E6776D" w:rsidRPr="009A44FC">
        <w:rPr>
          <w:rFonts w:ascii="Times New Roman" w:hAnsi="Times New Roman" w:cs="Times New Roman"/>
          <w:color w:val="000000" w:themeColor="text1"/>
          <w:sz w:val="22"/>
          <w:szCs w:val="22"/>
        </w:rPr>
        <w:t xml:space="preserve"> and provide clarification on the specific meaning of each section. We also adjusted figures </w:t>
      </w:r>
      <w:r w:rsidR="00336EB0" w:rsidRPr="009A44FC">
        <w:rPr>
          <w:rFonts w:ascii="Times New Roman" w:hAnsi="Times New Roman" w:cs="Times New Roman"/>
          <w:color w:val="000000" w:themeColor="text1"/>
          <w:sz w:val="22"/>
          <w:szCs w:val="22"/>
        </w:rPr>
        <w:t xml:space="preserve">to hopefully help with clarity to distinguish them across different sections. </w:t>
      </w:r>
      <w:r w:rsidRPr="009A44FC">
        <w:rPr>
          <w:rFonts w:ascii="Times New Roman" w:hAnsi="Times New Roman" w:cs="Times New Roman"/>
          <w:color w:val="000000" w:themeColor="text1"/>
          <w:sz w:val="22"/>
          <w:szCs w:val="22"/>
        </w:rPr>
        <w:t xml:space="preserve"> </w:t>
      </w:r>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7BFC7460"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taken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 </w:t>
      </w:r>
      <w:r w:rsidR="006D3434" w:rsidRPr="009A44FC">
        <w:rPr>
          <w:rFonts w:ascii="Times New Roman" w:hAnsi="Times New Roman" w:cs="Times New Roman"/>
          <w:color w:val="000000" w:themeColor="text1"/>
          <w:sz w:val="22"/>
          <w:szCs w:val="22"/>
        </w:rPr>
        <w:t xml:space="preserve">Additionally, we have also added a discussion to the section on adjusting for correlation with regards to the statistical issues </w:t>
      </w:r>
      <w:proofErr w:type="gramStart"/>
      <w:r w:rsidR="006D3434" w:rsidRPr="009A44FC">
        <w:rPr>
          <w:rFonts w:ascii="Times New Roman" w:hAnsi="Times New Roman" w:cs="Times New Roman"/>
          <w:color w:val="000000" w:themeColor="text1"/>
          <w:sz w:val="22"/>
          <w:szCs w:val="22"/>
        </w:rPr>
        <w:t xml:space="preserve">mentioned, </w:t>
      </w:r>
      <w:r w:rsidR="00725DE6" w:rsidRPr="009A44FC">
        <w:rPr>
          <w:rFonts w:ascii="Times New Roman" w:hAnsi="Times New Roman" w:cs="Times New Roman"/>
          <w:color w:val="000000" w:themeColor="text1"/>
          <w:sz w:val="22"/>
          <w:szCs w:val="22"/>
        </w:rPr>
        <w:t>and</w:t>
      </w:r>
      <w:proofErr w:type="gramEnd"/>
      <w:r w:rsidR="00725DE6" w:rsidRPr="009A44FC">
        <w:rPr>
          <w:rFonts w:ascii="Times New Roman" w:hAnsi="Times New Roman" w:cs="Times New Roman"/>
          <w:color w:val="000000" w:themeColor="text1"/>
          <w:sz w:val="22"/>
          <w:szCs w:val="22"/>
        </w:rPr>
        <w:t xml:space="preserve"> have also fixed the 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0ACD40F4"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(issue link)</w:t>
      </w:r>
      <w:r w:rsidRPr="009A44FC">
        <w:rPr>
          <w:rFonts w:ascii="Times New Roman" w:hAnsi="Times New Roman" w:cs="Times New Roman"/>
          <w:sz w:val="22"/>
          <w:szCs w:val="22"/>
        </w:rPr>
        <w:t xml:space="preserve">. The current in development version on GitHub have passed all R CMD CHECK on Windows, MacOS, and </w:t>
      </w:r>
      <w:r w:rsidR="005073B9" w:rsidRPr="009A44FC">
        <w:rPr>
          <w:rFonts w:ascii="Times New Roman" w:hAnsi="Times New Roman" w:cs="Times New Roman"/>
          <w:sz w:val="22"/>
          <w:szCs w:val="22"/>
        </w:rPr>
        <w:t xml:space="preserve">Linux (Ubuntu 18.08)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w:t>
      </w:r>
      <w:r w:rsidRPr="009A44FC">
        <w:rPr>
          <w:rFonts w:ascii="Times New Roman" w:hAnsi="Times New Roman" w:cs="Times New Roman"/>
          <w:color w:val="FF0000"/>
          <w:sz w:val="22"/>
          <w:szCs w:val="22"/>
        </w:rPr>
        <w:lastRenderedPageBreak/>
        <w:t xml:space="preserve">microbiome data realm (such as runtime, proportion of rejected null hypotheses, behavior on permuted sample labels and random gene sets). Although I would really like to commend the authors for using 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227A32" w14:textId="43F1C499" w:rsidR="00C40008" w:rsidRDefault="009749F2" w:rsidP="002270CE">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Pr="009A44FC">
        <w:rPr>
          <w:rFonts w:ascii="Times New Roman" w:hAnsi="Times New Roman" w:cs="Times New Roman"/>
          <w:sz w:val="22"/>
          <w:szCs w:val="22"/>
        </w:rPr>
        <w:t xml:space="preserve">the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886D13" w:rsidRPr="009A44FC">
        <w:rPr>
          <w:rFonts w:ascii="Times New Roman" w:hAnsi="Times New Roman" w:cs="Times New Roman"/>
          <w:sz w:val="22"/>
          <w:szCs w:val="22"/>
        </w:rPr>
        <w:t>paper</w:t>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 xml:space="preserve">After consulting,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corresponds to that of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 have made</w:t>
      </w:r>
      <w:r w:rsidR="00AF6497">
        <w:rPr>
          <w:rFonts w:ascii="Times New Roman" w:hAnsi="Times New Roman" w:cs="Times New Roman"/>
          <w:sz w:val="22"/>
          <w:szCs w:val="22"/>
        </w:rPr>
        <w:t xml:space="preserve"> some reorganization to the manuscript to properly communicate the relationship between our evaluation strategy versus the standards set by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Changes are as follows: </w:t>
      </w:r>
      <w:r w:rsidRPr="009A44FC">
        <w:rPr>
          <w:rFonts w:ascii="Times New Roman" w:hAnsi="Times New Roman" w:cs="Times New Roman"/>
          <w:sz w:val="22"/>
          <w:szCs w:val="22"/>
        </w:rPr>
        <w:t xml:space="preserve"> </w:t>
      </w:r>
    </w:p>
    <w:p w14:paraId="3186E711" w14:textId="77777777" w:rsidR="0094041D" w:rsidRDefault="0094041D" w:rsidP="009749F2">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t>
      </w:r>
    </w:p>
    <w:p w14:paraId="056FF512" w14:textId="77777777" w:rsidR="00D41065" w:rsidRDefault="0094041D" w:rsidP="00D41065">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created a new section </w:t>
      </w:r>
      <w:r w:rsidR="00175D3B" w:rsidRPr="009A44FC">
        <w:rPr>
          <w:rFonts w:ascii="Times New Roman" w:hAnsi="Times New Roman" w:cs="Times New Roman"/>
          <w:sz w:val="22"/>
          <w:szCs w:val="22"/>
        </w:rPr>
        <w:t xml:space="preserve">titled </w:t>
      </w:r>
      <w:r w:rsidR="00B20751" w:rsidRPr="009A44FC">
        <w:rPr>
          <w:rFonts w:ascii="Times New Roman" w:hAnsi="Times New Roman" w:cs="Times New Roman"/>
          <w:sz w:val="22"/>
          <w:szCs w:val="22"/>
        </w:rPr>
        <w:t xml:space="preserve">“downstream analyses” </w:t>
      </w:r>
      <w:proofErr w:type="gramStart"/>
      <w:r w:rsidR="00B20751" w:rsidRPr="009A44FC">
        <w:rPr>
          <w:rFonts w:ascii="Times New Roman" w:hAnsi="Times New Roman" w:cs="Times New Roman"/>
          <w:sz w:val="22"/>
          <w:szCs w:val="22"/>
        </w:rPr>
        <w:t>in order to</w:t>
      </w:r>
      <w:proofErr w:type="gramEnd"/>
      <w:r w:rsidR="00B20751" w:rsidRPr="009A44FC">
        <w:rPr>
          <w:rFonts w:ascii="Times New Roman" w:hAnsi="Times New Roman" w:cs="Times New Roman"/>
          <w:sz w:val="22"/>
          <w:szCs w:val="22"/>
        </w:rPr>
        <w:t xml:space="preserve"> distinguish the primary goal of our approach (which is enrichment testing) from secondary goals of providing sample-level scores that h</w:t>
      </w:r>
      <w:r w:rsidR="00175D3B" w:rsidRPr="009A44FC">
        <w:rPr>
          <w:rFonts w:ascii="Times New Roman" w:hAnsi="Times New Roman" w:cs="Times New Roman"/>
          <w:sz w:val="22"/>
          <w:szCs w:val="22"/>
        </w:rPr>
        <w:t xml:space="preserve">as utility in further analyses. </w:t>
      </w:r>
      <w:r>
        <w:rPr>
          <w:rFonts w:ascii="Times New Roman" w:hAnsi="Times New Roman" w:cs="Times New Roman"/>
          <w:sz w:val="22"/>
          <w:szCs w:val="22"/>
        </w:rPr>
        <w:t xml:space="preserve">Under this section would </w:t>
      </w:r>
      <w:r w:rsidR="00D41065">
        <w:rPr>
          <w:rFonts w:ascii="Times New Roman" w:hAnsi="Times New Roman" w:cs="Times New Roman"/>
          <w:sz w:val="22"/>
          <w:szCs w:val="22"/>
        </w:rPr>
        <w:t xml:space="preserve">be the </w:t>
      </w:r>
      <w:r>
        <w:rPr>
          <w:rFonts w:ascii="Times New Roman" w:hAnsi="Times New Roman" w:cs="Times New Roman"/>
          <w:sz w:val="22"/>
          <w:szCs w:val="22"/>
        </w:rPr>
        <w:t>“disease prediction”</w:t>
      </w:r>
      <w:r w:rsidR="00D41065">
        <w:rPr>
          <w:rFonts w:ascii="Times New Roman" w:hAnsi="Times New Roman" w:cs="Times New Roman"/>
          <w:sz w:val="22"/>
          <w:szCs w:val="22"/>
        </w:rPr>
        <w:t xml:space="preserve"> section and a new section titled “ordination analysis”. </w:t>
      </w:r>
      <w:r w:rsidR="002F5E6A">
        <w:rPr>
          <w:rFonts w:ascii="Times New Roman" w:hAnsi="Times New Roman" w:cs="Times New Roman"/>
          <w:sz w:val="22"/>
          <w:szCs w:val="22"/>
        </w:rPr>
        <w:t xml:space="preserve"> </w:t>
      </w:r>
    </w:p>
    <w:p w14:paraId="5DFACC42" w14:textId="77777777" w:rsid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We have added evaluations for type I error on real data using label permutation and random gene sets for both “inference at the sample level” and “inference at the population level” and have labelled them correspondingly. </w:t>
      </w:r>
    </w:p>
    <w:p w14:paraId="16501AEB" w14:textId="13EDCED7" w:rsidR="00D41065" w:rsidRP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Under both “inference” sections, we have clarified that our power analyses are equivalent to the “phenotypic relevance” under the </w:t>
      </w:r>
      <w:proofErr w:type="spellStart"/>
      <w:r w:rsidRPr="00D41065">
        <w:rPr>
          <w:rFonts w:ascii="Times New Roman" w:hAnsi="Times New Roman" w:cs="Times New Roman"/>
          <w:sz w:val="22"/>
          <w:szCs w:val="22"/>
        </w:rPr>
        <w:t>Geistlinger</w:t>
      </w:r>
      <w:proofErr w:type="spellEnd"/>
      <w:r w:rsidRPr="00D41065">
        <w:rPr>
          <w:rFonts w:ascii="Times New Roman" w:hAnsi="Times New Roman" w:cs="Times New Roman"/>
          <w:sz w:val="22"/>
          <w:szCs w:val="22"/>
        </w:rPr>
        <w:t xml:space="preserve"> et al. manuscript</w:t>
      </w:r>
      <w:r>
        <w:rPr>
          <w:rFonts w:ascii="Times New Roman" w:hAnsi="Times New Roman" w:cs="Times New Roman"/>
          <w:sz w:val="22"/>
          <w:szCs w:val="22"/>
        </w:rPr>
        <w:t xml:space="preserve"> since they’re both assessing whether the correct sets were enriched for a certain situation. However, we acknowledge that the sample label is not perfect and have added further clarification in the discussion clarifying the differences between the evaluation strategy we used and that of </w:t>
      </w:r>
      <w:proofErr w:type="spellStart"/>
      <w:r>
        <w:rPr>
          <w:rFonts w:ascii="Times New Roman" w:hAnsi="Times New Roman" w:cs="Times New Roman"/>
          <w:sz w:val="22"/>
          <w:szCs w:val="22"/>
        </w:rPr>
        <w:t>Geistlinger</w:t>
      </w:r>
      <w:proofErr w:type="spellEnd"/>
      <w:r>
        <w:rPr>
          <w:rFonts w:ascii="Times New Roman" w:hAnsi="Times New Roman" w:cs="Times New Roman"/>
          <w:sz w:val="22"/>
          <w:szCs w:val="22"/>
        </w:rPr>
        <w:t xml:space="preserve"> et al., as well as further discussion on the current limitations of the microbiome literature on this issue. </w:t>
      </w:r>
    </w:p>
    <w:p w14:paraId="16FC3DD3" w14:textId="05513B78" w:rsidR="00BD4D63" w:rsidRPr="00D41065" w:rsidRDefault="00B20751" w:rsidP="00D41065">
      <w:pPr>
        <w:pStyle w:val="ListParagraph"/>
        <w:numPr>
          <w:ilvl w:val="0"/>
          <w:numId w:val="9"/>
        </w:numPr>
        <w:spacing w:after="120"/>
        <w:rPr>
          <w:rFonts w:ascii="Times New Roman" w:hAnsi="Times New Roman" w:cs="Times New Roman"/>
          <w:sz w:val="22"/>
          <w:szCs w:val="22"/>
        </w:rPr>
      </w:pPr>
      <w:r w:rsidRPr="009A44FC">
        <w:rPr>
          <w:rFonts w:ascii="Times New Roman" w:hAnsi="Times New Roman" w:cs="Times New Roman"/>
          <w:sz w:val="22"/>
          <w:szCs w:val="22"/>
        </w:rPr>
        <w:t xml:space="preserve">We have added specific language to refer the reader to our runtime assessments in the supplementary materials section. </w:t>
      </w:r>
    </w:p>
    <w:p w14:paraId="7238AEDC" w14:textId="2F472768"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would enable more 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w:t>
      </w:r>
      <w:r w:rsidRPr="009A44FC">
        <w:rPr>
          <w:rFonts w:ascii="Times New Roman" w:hAnsi="Times New Roman" w:cs="Times New Roman"/>
          <w:color w:val="FF0000"/>
          <w:sz w:val="22"/>
          <w:szCs w:val="22"/>
        </w:rPr>
        <w:lastRenderedPageBreak/>
        <w:t>2012), which deliberately abandons strict type I error control by default to compensate for the apparent lack in power of competitive methods.</w:t>
      </w:r>
    </w:p>
    <w:p w14:paraId="0127347C" w14:textId="5FF4C91C"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147D26">
        <w:rPr>
          <w:rFonts w:ascii="Times New Roman" w:hAnsi="Times New Roman" w:cs="Times New Roman"/>
          <w:color w:val="000000" w:themeColor="text1"/>
          <w:sz w:val="22"/>
          <w:szCs w:val="22"/>
        </w:rPr>
        <w:instrText xml:space="preserve"> ADDIN ZOTERO_ITEM CSL_CITATION {"citationID":"UNxoN7kP","properties":{"formattedCitation":"[15]","plainCitation":"[15]","noteIndex":0},"citationItems":[{"id":2403,"uris":["http://zotero.org/users/4849999/items/QG9DTSH2"],"uri":["http://zotero.org/users/4849999/items/QG9DTSH2"],"itemData":{"id":2403,"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147D26">
        <w:rPr>
          <w:rFonts w:ascii="Times New Roman" w:hAnsi="Times New Roman" w:cs="Times New Roman"/>
          <w:noProof/>
          <w:color w:val="000000" w:themeColor="text1"/>
          <w:sz w:val="22"/>
          <w:szCs w:val="22"/>
        </w:rPr>
        <w:t>[15]</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correlation. </w:t>
      </w:r>
      <w:r w:rsidR="007159B5">
        <w:rPr>
          <w:rFonts w:ascii="Times New Roman" w:hAnsi="Times New Roman" w:cs="Times New Roman"/>
          <w:color w:val="000000" w:themeColor="text1"/>
          <w:sz w:val="22"/>
          <w:szCs w:val="22"/>
        </w:rPr>
        <w:t xml:space="preserve"> </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7B275A08" w14:textId="77777777" w:rsidR="00147D26" w:rsidRPr="00147D26" w:rsidRDefault="00A61BA0" w:rsidP="00147D26">
      <w:pPr>
        <w:pStyle w:val="Bibliography"/>
        <w:rPr>
          <w:rFonts w:ascii="Calibri" w:cs="Calibri"/>
          <w:sz w:val="22"/>
        </w:rPr>
      </w:pPr>
      <w:r w:rsidRPr="009A44FC">
        <w:rPr>
          <w:color w:val="000000" w:themeColor="text1"/>
          <w:sz w:val="22"/>
          <w:szCs w:val="22"/>
        </w:rPr>
        <w:fldChar w:fldCharType="begin"/>
      </w:r>
      <w:r w:rsidR="00871D6D">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147D26" w:rsidRPr="00147D26">
        <w:rPr>
          <w:rFonts w:ascii="Calibri" w:cs="Calibri"/>
          <w:sz w:val="22"/>
        </w:rPr>
        <w:t xml:space="preserve">1. </w:t>
      </w:r>
      <w:r w:rsidR="00147D26" w:rsidRPr="00147D26">
        <w:rPr>
          <w:rFonts w:ascii="Calibri" w:cs="Calibri"/>
          <w:sz w:val="22"/>
        </w:rPr>
        <w:tab/>
        <w:t>Aitchison J. The Statistical Analysis of Compositional Data. Journal of the Royal Statistical Society: Series B (Methodological). 1982;44: 139–160. doi:10.1111/j.2517-</w:t>
      </w:r>
      <w:proofErr w:type="gramStart"/>
      <w:r w:rsidR="00147D26" w:rsidRPr="00147D26">
        <w:rPr>
          <w:rFonts w:ascii="Calibri" w:cs="Calibri"/>
          <w:sz w:val="22"/>
        </w:rPr>
        <w:t>6161.1982.tb</w:t>
      </w:r>
      <w:proofErr w:type="gramEnd"/>
      <w:r w:rsidR="00147D26" w:rsidRPr="00147D26">
        <w:rPr>
          <w:rFonts w:ascii="Calibri" w:cs="Calibri"/>
          <w:sz w:val="22"/>
        </w:rPr>
        <w:t>01195.x</w:t>
      </w:r>
    </w:p>
    <w:p w14:paraId="2FB5E63C" w14:textId="77777777" w:rsidR="00147D26" w:rsidRPr="00147D26" w:rsidRDefault="00147D26" w:rsidP="00147D26">
      <w:pPr>
        <w:pStyle w:val="Bibliography"/>
        <w:rPr>
          <w:rFonts w:ascii="Calibri" w:cs="Calibri"/>
          <w:sz w:val="22"/>
        </w:rPr>
      </w:pPr>
      <w:r w:rsidRPr="00147D26">
        <w:rPr>
          <w:rFonts w:ascii="Calibri" w:cs="Calibri"/>
          <w:sz w:val="22"/>
        </w:rPr>
        <w:t xml:space="preserve">2. </w:t>
      </w:r>
      <w:r w:rsidRPr="00147D26">
        <w:rPr>
          <w:rFonts w:ascii="Calibri" w:cs="Calibri"/>
          <w:sz w:val="22"/>
        </w:rPr>
        <w:tab/>
      </w:r>
      <w:proofErr w:type="spellStart"/>
      <w:r w:rsidRPr="00147D26">
        <w:rPr>
          <w:rFonts w:ascii="Calibri" w:cs="Calibri"/>
          <w:sz w:val="22"/>
        </w:rPr>
        <w:t>Gloor</w:t>
      </w:r>
      <w:proofErr w:type="spellEnd"/>
      <w:r w:rsidRPr="00147D26">
        <w:rPr>
          <w:rFonts w:ascii="Calibri" w:cs="Calibri"/>
          <w:sz w:val="22"/>
        </w:rPr>
        <w:t xml:space="preserve"> GB, </w:t>
      </w:r>
      <w:proofErr w:type="spellStart"/>
      <w:r w:rsidRPr="00147D26">
        <w:rPr>
          <w:rFonts w:ascii="Calibri" w:cs="Calibri"/>
          <w:sz w:val="22"/>
        </w:rPr>
        <w:t>Macklaim</w:t>
      </w:r>
      <w:proofErr w:type="spellEnd"/>
      <w:r w:rsidRPr="00147D26">
        <w:rPr>
          <w:rFonts w:ascii="Calibri" w:cs="Calibri"/>
          <w:sz w:val="22"/>
        </w:rPr>
        <w:t xml:space="preserve"> JM, </w:t>
      </w:r>
      <w:proofErr w:type="spellStart"/>
      <w:r w:rsidRPr="00147D26">
        <w:rPr>
          <w:rFonts w:ascii="Calibri" w:cs="Calibri"/>
          <w:sz w:val="22"/>
        </w:rPr>
        <w:t>Pawlowsky-Glahn</w:t>
      </w:r>
      <w:proofErr w:type="spellEnd"/>
      <w:r w:rsidRPr="00147D26">
        <w:rPr>
          <w:rFonts w:ascii="Calibri" w:cs="Calibri"/>
          <w:sz w:val="22"/>
        </w:rPr>
        <w:t xml:space="preserve"> V, </w:t>
      </w:r>
      <w:proofErr w:type="spellStart"/>
      <w:r w:rsidRPr="00147D26">
        <w:rPr>
          <w:rFonts w:ascii="Calibri" w:cs="Calibri"/>
          <w:sz w:val="22"/>
        </w:rPr>
        <w:t>Egozcue</w:t>
      </w:r>
      <w:proofErr w:type="spellEnd"/>
      <w:r w:rsidRPr="00147D26">
        <w:rPr>
          <w:rFonts w:ascii="Calibri" w:cs="Calibri"/>
          <w:sz w:val="22"/>
        </w:rPr>
        <w:t xml:space="preserve"> JJ. Microbiome Datasets Are Compositional: And This Is Not Optional. Front Microbiol. 2017;8. doi:10.3389/fmicb.2017.02224</w:t>
      </w:r>
    </w:p>
    <w:p w14:paraId="704E530D" w14:textId="77777777" w:rsidR="00147D26" w:rsidRPr="00147D26" w:rsidRDefault="00147D26" w:rsidP="00147D26">
      <w:pPr>
        <w:pStyle w:val="Bibliography"/>
        <w:rPr>
          <w:rFonts w:ascii="Calibri" w:cs="Calibri"/>
          <w:sz w:val="22"/>
        </w:rPr>
      </w:pPr>
      <w:r w:rsidRPr="00147D26">
        <w:rPr>
          <w:rFonts w:ascii="Calibri" w:cs="Calibri"/>
          <w:sz w:val="22"/>
        </w:rPr>
        <w:t xml:space="preserve">3. </w:t>
      </w:r>
      <w:r w:rsidRPr="00147D26">
        <w:rPr>
          <w:rFonts w:ascii="Calibri" w:cs="Calibri"/>
          <w:sz w:val="22"/>
        </w:rPr>
        <w:tab/>
        <w:t xml:space="preserve">Quinn TP, </w:t>
      </w:r>
      <w:proofErr w:type="spellStart"/>
      <w:r w:rsidRPr="00147D26">
        <w:rPr>
          <w:rFonts w:ascii="Calibri" w:cs="Calibri"/>
          <w:sz w:val="22"/>
        </w:rPr>
        <w:t>Erb</w:t>
      </w:r>
      <w:proofErr w:type="spellEnd"/>
      <w:r w:rsidRPr="00147D26">
        <w:rPr>
          <w:rFonts w:ascii="Calibri" w:cs="Calibri"/>
          <w:sz w:val="22"/>
        </w:rPr>
        <w:t xml:space="preserve"> I, Richardson MF, Crowley TM. Understanding sequencing data as compositions: an outlook and review. Bioinformatics. 2018;34: 2870–2878. doi:10.1093/bioinformatics/bty175</w:t>
      </w:r>
    </w:p>
    <w:p w14:paraId="07D50FF7" w14:textId="77777777" w:rsidR="00147D26" w:rsidRPr="00147D26" w:rsidRDefault="00147D26" w:rsidP="00147D26">
      <w:pPr>
        <w:pStyle w:val="Bibliography"/>
        <w:rPr>
          <w:rFonts w:ascii="Calibri" w:cs="Calibri"/>
          <w:sz w:val="22"/>
        </w:rPr>
      </w:pPr>
      <w:r w:rsidRPr="00147D26">
        <w:rPr>
          <w:rFonts w:ascii="Calibri" w:cs="Calibri"/>
          <w:sz w:val="22"/>
        </w:rPr>
        <w:t xml:space="preserve">4. </w:t>
      </w:r>
      <w:r w:rsidRPr="00147D26">
        <w:rPr>
          <w:rFonts w:ascii="Calibri" w:cs="Calibri"/>
          <w:sz w:val="22"/>
        </w:rPr>
        <w:tab/>
        <w:t xml:space="preserve">Weiss S, Xu ZZ, </w:t>
      </w:r>
      <w:proofErr w:type="spellStart"/>
      <w:r w:rsidRPr="00147D26">
        <w:rPr>
          <w:rFonts w:ascii="Calibri" w:cs="Calibri"/>
          <w:sz w:val="22"/>
        </w:rPr>
        <w:t>Peddada</w:t>
      </w:r>
      <w:proofErr w:type="spellEnd"/>
      <w:r w:rsidRPr="00147D26">
        <w:rPr>
          <w:rFonts w:ascii="Calibri" w:cs="Calibri"/>
          <w:sz w:val="22"/>
        </w:rPr>
        <w:t xml:space="preserve"> S, Amir A, </w:t>
      </w:r>
      <w:proofErr w:type="spellStart"/>
      <w:r w:rsidRPr="00147D26">
        <w:rPr>
          <w:rFonts w:ascii="Calibri" w:cs="Calibri"/>
          <w:sz w:val="22"/>
        </w:rPr>
        <w:t>Bittinger</w:t>
      </w:r>
      <w:proofErr w:type="spellEnd"/>
      <w:r w:rsidRPr="00147D26">
        <w:rPr>
          <w:rFonts w:ascii="Calibri" w:cs="Calibri"/>
          <w:sz w:val="22"/>
        </w:rPr>
        <w:t xml:space="preserve"> K, Gonzalez A, et al. Normalization and microbial differential abundance strategies depend upon data characteristics. Microbiome. 2017;5. doi:10.1186/s40168-017-0237-y</w:t>
      </w:r>
    </w:p>
    <w:p w14:paraId="13D21C1F" w14:textId="77777777" w:rsidR="00147D26" w:rsidRPr="00147D26" w:rsidRDefault="00147D26" w:rsidP="00147D26">
      <w:pPr>
        <w:pStyle w:val="Bibliography"/>
        <w:rPr>
          <w:rFonts w:ascii="Calibri" w:cs="Calibri"/>
          <w:sz w:val="22"/>
        </w:rPr>
      </w:pPr>
      <w:r w:rsidRPr="00147D26">
        <w:rPr>
          <w:rFonts w:ascii="Calibri" w:cs="Calibri"/>
          <w:sz w:val="22"/>
        </w:rPr>
        <w:t xml:space="preserve">5. </w:t>
      </w:r>
      <w:r w:rsidRPr="00147D26">
        <w:rPr>
          <w:rFonts w:ascii="Calibri" w:cs="Calibri"/>
          <w:sz w:val="22"/>
        </w:rPr>
        <w:tab/>
      </w:r>
      <w:proofErr w:type="spellStart"/>
      <w:r w:rsidRPr="00147D26">
        <w:rPr>
          <w:rFonts w:ascii="Calibri" w:cs="Calibri"/>
          <w:sz w:val="22"/>
        </w:rPr>
        <w:t>McMurdie</w:t>
      </w:r>
      <w:proofErr w:type="spellEnd"/>
      <w:r w:rsidRPr="00147D26">
        <w:rPr>
          <w:rFonts w:ascii="Calibri" w:cs="Calibri"/>
          <w:sz w:val="22"/>
        </w:rPr>
        <w:t xml:space="preserve"> PJ, Holmes S. Waste Not, Want Not: Why Rarefying Microbiome Data Is Inadmissible. PLOS Computational Biology. 2014;10: e1003531. </w:t>
      </w:r>
      <w:proofErr w:type="gramStart"/>
      <w:r w:rsidRPr="00147D26">
        <w:rPr>
          <w:rFonts w:ascii="Calibri" w:cs="Calibri"/>
          <w:sz w:val="22"/>
        </w:rPr>
        <w:t>doi:10.1371/journal.pcbi</w:t>
      </w:r>
      <w:proofErr w:type="gramEnd"/>
      <w:r w:rsidRPr="00147D26">
        <w:rPr>
          <w:rFonts w:ascii="Calibri" w:cs="Calibri"/>
          <w:sz w:val="22"/>
        </w:rPr>
        <w:t>.1003531</w:t>
      </w:r>
    </w:p>
    <w:p w14:paraId="7E8D9D3C" w14:textId="77777777" w:rsidR="00147D26" w:rsidRPr="00147D26" w:rsidRDefault="00147D26" w:rsidP="00147D26">
      <w:pPr>
        <w:pStyle w:val="Bibliography"/>
        <w:rPr>
          <w:rFonts w:ascii="Calibri" w:cs="Calibri"/>
          <w:sz w:val="22"/>
        </w:rPr>
      </w:pPr>
      <w:r w:rsidRPr="00147D26">
        <w:rPr>
          <w:rFonts w:ascii="Calibri" w:cs="Calibri"/>
          <w:sz w:val="22"/>
        </w:rPr>
        <w:t xml:space="preserve">6. </w:t>
      </w:r>
      <w:r w:rsidRPr="00147D26">
        <w:rPr>
          <w:rFonts w:ascii="Calibri" w:cs="Calibri"/>
          <w:sz w:val="22"/>
        </w:rPr>
        <w:tab/>
        <w:t xml:space="preserve">McKnight DT, </w:t>
      </w:r>
      <w:proofErr w:type="spellStart"/>
      <w:r w:rsidRPr="00147D26">
        <w:rPr>
          <w:rFonts w:ascii="Calibri" w:cs="Calibri"/>
          <w:sz w:val="22"/>
        </w:rPr>
        <w:t>Huerlimann</w:t>
      </w:r>
      <w:proofErr w:type="spellEnd"/>
      <w:r w:rsidRPr="00147D26">
        <w:rPr>
          <w:rFonts w:ascii="Calibri" w:cs="Calibri"/>
          <w:sz w:val="22"/>
        </w:rPr>
        <w:t xml:space="preserve"> R, Bower DS, Schwarzkopf L, Alford RA, Zenger KR. Methods for normalizing microbiome data: An ecological perspective. Methods in Ecology and Evolution. 2019;10: 389–400. doi:10.1111/2041-210X.13115</w:t>
      </w:r>
    </w:p>
    <w:p w14:paraId="19D60E0C" w14:textId="77777777" w:rsidR="00147D26" w:rsidRPr="00147D26" w:rsidRDefault="00147D26" w:rsidP="00147D26">
      <w:pPr>
        <w:pStyle w:val="Bibliography"/>
        <w:rPr>
          <w:rFonts w:ascii="Calibri" w:cs="Calibri"/>
          <w:sz w:val="22"/>
        </w:rPr>
      </w:pPr>
      <w:r w:rsidRPr="00147D26">
        <w:rPr>
          <w:rFonts w:ascii="Calibri" w:cs="Calibri"/>
          <w:sz w:val="22"/>
        </w:rPr>
        <w:t xml:space="preserve">7. </w:t>
      </w:r>
      <w:r w:rsidRPr="00147D26">
        <w:rPr>
          <w:rFonts w:ascii="Calibri" w:cs="Calibri"/>
          <w:sz w:val="22"/>
        </w:rPr>
        <w:tab/>
      </w:r>
      <w:proofErr w:type="spellStart"/>
      <w:r w:rsidRPr="00147D26">
        <w:rPr>
          <w:rFonts w:ascii="Calibri" w:cs="Calibri"/>
          <w:sz w:val="22"/>
        </w:rPr>
        <w:t>Egozcue</w:t>
      </w:r>
      <w:proofErr w:type="spellEnd"/>
      <w:r w:rsidRPr="00147D26">
        <w:rPr>
          <w:rFonts w:ascii="Calibri" w:cs="Calibri"/>
          <w:sz w:val="22"/>
        </w:rPr>
        <w:t xml:space="preserve"> JJ, </w:t>
      </w:r>
      <w:proofErr w:type="spellStart"/>
      <w:r w:rsidRPr="00147D26">
        <w:rPr>
          <w:rFonts w:ascii="Calibri" w:cs="Calibri"/>
          <w:sz w:val="22"/>
        </w:rPr>
        <w:t>Pawlowsky-Glahn</w:t>
      </w:r>
      <w:proofErr w:type="spellEnd"/>
      <w:r w:rsidRPr="00147D26">
        <w:rPr>
          <w:rFonts w:ascii="Calibri" w:cs="Calibri"/>
          <w:sz w:val="22"/>
        </w:rPr>
        <w:t xml:space="preserve"> V. Groups of Parts and Their Balances in Compositional Data Analysis. Mathematical Geology. 2005;37: 795–828. doi:10.1007/s11004-005-7381-9</w:t>
      </w:r>
    </w:p>
    <w:p w14:paraId="43E59097" w14:textId="77777777" w:rsidR="00147D26" w:rsidRPr="00147D26" w:rsidRDefault="00147D26" w:rsidP="00147D26">
      <w:pPr>
        <w:pStyle w:val="Bibliography"/>
        <w:rPr>
          <w:rFonts w:ascii="Calibri" w:cs="Calibri"/>
          <w:sz w:val="22"/>
        </w:rPr>
      </w:pPr>
      <w:r w:rsidRPr="00147D26">
        <w:rPr>
          <w:rFonts w:ascii="Calibri" w:cs="Calibri"/>
          <w:sz w:val="22"/>
        </w:rPr>
        <w:t xml:space="preserve">8. </w:t>
      </w:r>
      <w:r w:rsidRPr="00147D26">
        <w:rPr>
          <w:rFonts w:ascii="Calibri" w:cs="Calibri"/>
          <w:sz w:val="22"/>
        </w:rPr>
        <w:tab/>
        <w:t xml:space="preserve">Silverman JD, </w:t>
      </w:r>
      <w:proofErr w:type="spellStart"/>
      <w:r w:rsidRPr="00147D26">
        <w:rPr>
          <w:rFonts w:ascii="Calibri" w:cs="Calibri"/>
          <w:sz w:val="22"/>
        </w:rPr>
        <w:t>Washburne</w:t>
      </w:r>
      <w:proofErr w:type="spellEnd"/>
      <w:r w:rsidRPr="00147D26">
        <w:rPr>
          <w:rFonts w:ascii="Calibri" w:cs="Calibri"/>
          <w:sz w:val="22"/>
        </w:rPr>
        <w:t xml:space="preserve"> AD, Mukherjee S, David LA. A phylogenetic transform enhances analysis of compositional microbiota data. Fodor A, editor. </w:t>
      </w:r>
      <w:proofErr w:type="spellStart"/>
      <w:r w:rsidRPr="00147D26">
        <w:rPr>
          <w:rFonts w:ascii="Calibri" w:cs="Calibri"/>
          <w:sz w:val="22"/>
        </w:rPr>
        <w:t>eLife</w:t>
      </w:r>
      <w:proofErr w:type="spellEnd"/>
      <w:r w:rsidRPr="00147D26">
        <w:rPr>
          <w:rFonts w:ascii="Calibri" w:cs="Calibri"/>
          <w:sz w:val="22"/>
        </w:rPr>
        <w:t>. 2017;6: e21887. doi:10.7554/eLife.21887</w:t>
      </w:r>
    </w:p>
    <w:p w14:paraId="58E8CD77" w14:textId="77777777" w:rsidR="00147D26" w:rsidRPr="00147D26" w:rsidRDefault="00147D26" w:rsidP="00147D26">
      <w:pPr>
        <w:pStyle w:val="Bibliography"/>
        <w:rPr>
          <w:rFonts w:ascii="Calibri" w:cs="Calibri"/>
          <w:sz w:val="22"/>
        </w:rPr>
      </w:pPr>
      <w:r w:rsidRPr="00147D26">
        <w:rPr>
          <w:rFonts w:ascii="Calibri" w:cs="Calibri"/>
          <w:sz w:val="22"/>
        </w:rPr>
        <w:t xml:space="preserve">9. </w:t>
      </w:r>
      <w:r w:rsidRPr="00147D26">
        <w:rPr>
          <w:rFonts w:ascii="Calibri" w:cs="Calibri"/>
          <w:sz w:val="22"/>
        </w:rPr>
        <w:tab/>
        <w:t xml:space="preserve">ATCHISON J, SHEN SM. Logistic-normal </w:t>
      </w:r>
      <w:proofErr w:type="spellStart"/>
      <w:proofErr w:type="gramStart"/>
      <w:r w:rsidRPr="00147D26">
        <w:rPr>
          <w:rFonts w:ascii="Calibri" w:cs="Calibri"/>
          <w:sz w:val="22"/>
        </w:rPr>
        <w:t>distributions:Some</w:t>
      </w:r>
      <w:proofErr w:type="spellEnd"/>
      <w:proofErr w:type="gramEnd"/>
      <w:r w:rsidRPr="00147D26">
        <w:rPr>
          <w:rFonts w:ascii="Calibri" w:cs="Calibri"/>
          <w:sz w:val="22"/>
        </w:rPr>
        <w:t xml:space="preserve"> properties and uses. </w:t>
      </w:r>
      <w:proofErr w:type="spellStart"/>
      <w:r w:rsidRPr="00147D26">
        <w:rPr>
          <w:rFonts w:ascii="Calibri" w:cs="Calibri"/>
          <w:sz w:val="22"/>
        </w:rPr>
        <w:t>Biometrika</w:t>
      </w:r>
      <w:proofErr w:type="spellEnd"/>
      <w:r w:rsidRPr="00147D26">
        <w:rPr>
          <w:rFonts w:ascii="Calibri" w:cs="Calibri"/>
          <w:sz w:val="22"/>
        </w:rPr>
        <w:t>. 1980;67: 261–272. doi:10.1093/</w:t>
      </w:r>
      <w:proofErr w:type="spellStart"/>
      <w:r w:rsidRPr="00147D26">
        <w:rPr>
          <w:rFonts w:ascii="Calibri" w:cs="Calibri"/>
          <w:sz w:val="22"/>
        </w:rPr>
        <w:t>biomet</w:t>
      </w:r>
      <w:proofErr w:type="spellEnd"/>
      <w:r w:rsidRPr="00147D26">
        <w:rPr>
          <w:rFonts w:ascii="Calibri" w:cs="Calibri"/>
          <w:sz w:val="22"/>
        </w:rPr>
        <w:t>/67.2.261</w:t>
      </w:r>
    </w:p>
    <w:p w14:paraId="761F3B8C" w14:textId="77777777" w:rsidR="00147D26" w:rsidRPr="00147D26" w:rsidRDefault="00147D26" w:rsidP="00147D26">
      <w:pPr>
        <w:pStyle w:val="Bibliography"/>
        <w:rPr>
          <w:rFonts w:ascii="Calibri" w:cs="Calibri"/>
          <w:sz w:val="22"/>
        </w:rPr>
      </w:pPr>
      <w:r w:rsidRPr="00147D26">
        <w:rPr>
          <w:rFonts w:ascii="Calibri" w:cs="Calibri"/>
          <w:sz w:val="22"/>
        </w:rPr>
        <w:t xml:space="preserve">10. </w:t>
      </w:r>
      <w:r w:rsidRPr="00147D26">
        <w:rPr>
          <w:rFonts w:ascii="Calibri" w:cs="Calibri"/>
          <w:sz w:val="22"/>
        </w:rPr>
        <w:tab/>
      </w:r>
      <w:proofErr w:type="spellStart"/>
      <w:r w:rsidRPr="00147D26">
        <w:rPr>
          <w:rFonts w:ascii="Calibri" w:cs="Calibri"/>
          <w:sz w:val="22"/>
        </w:rPr>
        <w:t>Egozcue</w:t>
      </w:r>
      <w:proofErr w:type="spellEnd"/>
      <w:r w:rsidRPr="00147D26">
        <w:rPr>
          <w:rFonts w:ascii="Calibri" w:cs="Calibri"/>
          <w:sz w:val="22"/>
        </w:rPr>
        <w:t xml:space="preserve"> JJ, </w:t>
      </w:r>
      <w:proofErr w:type="spellStart"/>
      <w:r w:rsidRPr="00147D26">
        <w:rPr>
          <w:rFonts w:ascii="Calibri" w:cs="Calibri"/>
          <w:sz w:val="22"/>
        </w:rPr>
        <w:t>Pawlowsky-Glahn</w:t>
      </w:r>
      <w:proofErr w:type="spellEnd"/>
      <w:r w:rsidRPr="00147D26">
        <w:rPr>
          <w:rFonts w:ascii="Calibri" w:cs="Calibri"/>
          <w:sz w:val="22"/>
        </w:rPr>
        <w:t xml:space="preserve"> V, </w:t>
      </w:r>
      <w:proofErr w:type="spellStart"/>
      <w:r w:rsidRPr="00147D26">
        <w:rPr>
          <w:rFonts w:ascii="Calibri" w:cs="Calibri"/>
          <w:sz w:val="22"/>
        </w:rPr>
        <w:t>Mateu-Figueras</w:t>
      </w:r>
      <w:proofErr w:type="spellEnd"/>
      <w:r w:rsidRPr="00147D26">
        <w:rPr>
          <w:rFonts w:ascii="Calibri" w:cs="Calibri"/>
          <w:sz w:val="22"/>
        </w:rPr>
        <w:t xml:space="preserve"> G, Barceló-Vidal C. Isometric </w:t>
      </w:r>
      <w:proofErr w:type="spellStart"/>
      <w:r w:rsidRPr="00147D26">
        <w:rPr>
          <w:rFonts w:ascii="Calibri" w:cs="Calibri"/>
          <w:sz w:val="22"/>
        </w:rPr>
        <w:t>Logratio</w:t>
      </w:r>
      <w:proofErr w:type="spellEnd"/>
      <w:r w:rsidRPr="00147D26">
        <w:rPr>
          <w:rFonts w:ascii="Calibri" w:cs="Calibri"/>
          <w:sz w:val="22"/>
        </w:rPr>
        <w:t xml:space="preserve"> Transformations for Compositional Data Analysis. Mathematical Geology. 2003;35: 279–300. doi:10.1023/A:1023818214614</w:t>
      </w:r>
    </w:p>
    <w:p w14:paraId="273C6A97" w14:textId="77777777" w:rsidR="00147D26" w:rsidRPr="00147D26" w:rsidRDefault="00147D26" w:rsidP="00147D26">
      <w:pPr>
        <w:pStyle w:val="Bibliography"/>
        <w:rPr>
          <w:rFonts w:ascii="Calibri" w:cs="Calibri"/>
          <w:sz w:val="22"/>
        </w:rPr>
      </w:pPr>
      <w:r w:rsidRPr="00147D26">
        <w:rPr>
          <w:rFonts w:ascii="Calibri" w:cs="Calibri"/>
          <w:sz w:val="22"/>
        </w:rPr>
        <w:t xml:space="preserve">11. </w:t>
      </w:r>
      <w:r w:rsidRPr="00147D26">
        <w:rPr>
          <w:rFonts w:ascii="Calibri" w:cs="Calibri"/>
          <w:sz w:val="22"/>
        </w:rPr>
        <w:tab/>
        <w:t xml:space="preserve">McLaren MR, Willis AD, Callahan BJ. Consistent and correctable bias in metagenomic sequencing experiments. </w:t>
      </w:r>
      <w:proofErr w:type="spellStart"/>
      <w:r w:rsidRPr="00147D26">
        <w:rPr>
          <w:rFonts w:ascii="Calibri" w:cs="Calibri"/>
          <w:sz w:val="22"/>
        </w:rPr>
        <w:t>Turnbaugh</w:t>
      </w:r>
      <w:proofErr w:type="spellEnd"/>
      <w:r w:rsidRPr="00147D26">
        <w:rPr>
          <w:rFonts w:ascii="Calibri" w:cs="Calibri"/>
          <w:sz w:val="22"/>
        </w:rPr>
        <w:t xml:space="preserve"> P, Garrett WS, </w:t>
      </w:r>
      <w:proofErr w:type="spellStart"/>
      <w:r w:rsidRPr="00147D26">
        <w:rPr>
          <w:rFonts w:ascii="Calibri" w:cs="Calibri"/>
          <w:sz w:val="22"/>
        </w:rPr>
        <w:t>Turnbaugh</w:t>
      </w:r>
      <w:proofErr w:type="spellEnd"/>
      <w:r w:rsidRPr="00147D26">
        <w:rPr>
          <w:rFonts w:ascii="Calibri" w:cs="Calibri"/>
          <w:sz w:val="22"/>
        </w:rPr>
        <w:t xml:space="preserve"> P, Quince C, Gibbons S, editors. </w:t>
      </w:r>
      <w:proofErr w:type="spellStart"/>
      <w:r w:rsidRPr="00147D26">
        <w:rPr>
          <w:rFonts w:ascii="Calibri" w:cs="Calibri"/>
          <w:sz w:val="22"/>
        </w:rPr>
        <w:t>eLife</w:t>
      </w:r>
      <w:proofErr w:type="spellEnd"/>
      <w:r w:rsidRPr="00147D26">
        <w:rPr>
          <w:rFonts w:ascii="Calibri" w:cs="Calibri"/>
          <w:sz w:val="22"/>
        </w:rPr>
        <w:t>. 2019;8: e46923. doi:10.7554/eLife.46923</w:t>
      </w:r>
    </w:p>
    <w:p w14:paraId="53D1D8BA" w14:textId="77777777" w:rsidR="00147D26" w:rsidRPr="00147D26" w:rsidRDefault="00147D26" w:rsidP="00147D26">
      <w:pPr>
        <w:pStyle w:val="Bibliography"/>
        <w:rPr>
          <w:rFonts w:ascii="Calibri" w:cs="Calibri"/>
          <w:sz w:val="22"/>
        </w:rPr>
      </w:pPr>
      <w:r w:rsidRPr="00147D26">
        <w:rPr>
          <w:rFonts w:ascii="Calibri" w:cs="Calibri"/>
          <w:sz w:val="22"/>
        </w:rPr>
        <w:lastRenderedPageBreak/>
        <w:t xml:space="preserve">12. </w:t>
      </w:r>
      <w:r w:rsidRPr="00147D26">
        <w:rPr>
          <w:rFonts w:ascii="Calibri" w:cs="Calibri"/>
          <w:sz w:val="22"/>
        </w:rPr>
        <w:tab/>
      </w:r>
      <w:proofErr w:type="spellStart"/>
      <w:r w:rsidRPr="00147D26">
        <w:rPr>
          <w:rFonts w:ascii="Calibri" w:cs="Calibri"/>
          <w:sz w:val="22"/>
        </w:rPr>
        <w:t>Geistlinger</w:t>
      </w:r>
      <w:proofErr w:type="spellEnd"/>
      <w:r w:rsidRPr="00147D26">
        <w:rPr>
          <w:rFonts w:ascii="Calibri" w:cs="Calibri"/>
          <w:sz w:val="22"/>
        </w:rPr>
        <w:t xml:space="preserve"> L, Csaba G, </w:t>
      </w:r>
      <w:proofErr w:type="spellStart"/>
      <w:r w:rsidRPr="00147D26">
        <w:rPr>
          <w:rFonts w:ascii="Calibri" w:cs="Calibri"/>
          <w:sz w:val="22"/>
        </w:rPr>
        <w:t>Santarelli</w:t>
      </w:r>
      <w:proofErr w:type="spellEnd"/>
      <w:r w:rsidRPr="00147D26">
        <w:rPr>
          <w:rFonts w:ascii="Calibri" w:cs="Calibri"/>
          <w:sz w:val="22"/>
        </w:rPr>
        <w:t xml:space="preserve"> M, Ramos M, Schiffer L, </w:t>
      </w:r>
      <w:proofErr w:type="spellStart"/>
      <w:r w:rsidRPr="00147D26">
        <w:rPr>
          <w:rFonts w:ascii="Calibri" w:cs="Calibri"/>
          <w:sz w:val="22"/>
        </w:rPr>
        <w:t>Turaga</w:t>
      </w:r>
      <w:proofErr w:type="spellEnd"/>
      <w:r w:rsidRPr="00147D26">
        <w:rPr>
          <w:rFonts w:ascii="Calibri" w:cs="Calibri"/>
          <w:sz w:val="22"/>
        </w:rPr>
        <w:t xml:space="preserve"> N, et al. Toward a gold standard for benchmarking gene set enrichment analysis. Briefings in Bioinformatics. 2021;22: 545–556. doi:10.1093/bib/bbz158</w:t>
      </w:r>
    </w:p>
    <w:p w14:paraId="3474486A" w14:textId="77777777" w:rsidR="00147D26" w:rsidRPr="00147D26" w:rsidRDefault="00147D26" w:rsidP="00147D26">
      <w:pPr>
        <w:pStyle w:val="Bibliography"/>
        <w:rPr>
          <w:rFonts w:ascii="Calibri" w:cs="Calibri"/>
          <w:sz w:val="22"/>
        </w:rPr>
      </w:pPr>
      <w:r w:rsidRPr="00147D26">
        <w:rPr>
          <w:rFonts w:ascii="Calibri" w:cs="Calibri"/>
          <w:sz w:val="22"/>
        </w:rPr>
        <w:t xml:space="preserve">13. </w:t>
      </w:r>
      <w:r w:rsidRPr="00147D26">
        <w:rPr>
          <w:rFonts w:ascii="Calibri" w:cs="Calibri"/>
          <w:sz w:val="22"/>
        </w:rPr>
        <w:tab/>
      </w:r>
      <w:proofErr w:type="spellStart"/>
      <w:r w:rsidRPr="00147D26">
        <w:rPr>
          <w:rFonts w:ascii="Calibri" w:cs="Calibri"/>
          <w:sz w:val="22"/>
        </w:rPr>
        <w:t>Calgaro</w:t>
      </w:r>
      <w:proofErr w:type="spellEnd"/>
      <w:r w:rsidRPr="00147D26">
        <w:rPr>
          <w:rFonts w:ascii="Calibri" w:cs="Calibri"/>
          <w:sz w:val="22"/>
        </w:rPr>
        <w:t xml:space="preserve"> M, </w:t>
      </w:r>
      <w:proofErr w:type="spellStart"/>
      <w:r w:rsidRPr="00147D26">
        <w:rPr>
          <w:rFonts w:ascii="Calibri" w:cs="Calibri"/>
          <w:sz w:val="22"/>
        </w:rPr>
        <w:t>Romualdi</w:t>
      </w:r>
      <w:proofErr w:type="spellEnd"/>
      <w:r w:rsidRPr="00147D26">
        <w:rPr>
          <w:rFonts w:ascii="Calibri" w:cs="Calibri"/>
          <w:sz w:val="22"/>
        </w:rPr>
        <w:t xml:space="preserve"> C, Waldron L, </w:t>
      </w:r>
      <w:proofErr w:type="spellStart"/>
      <w:r w:rsidRPr="00147D26">
        <w:rPr>
          <w:rFonts w:ascii="Calibri" w:cs="Calibri"/>
          <w:sz w:val="22"/>
        </w:rPr>
        <w:t>Risso</w:t>
      </w:r>
      <w:proofErr w:type="spellEnd"/>
      <w:r w:rsidRPr="00147D26">
        <w:rPr>
          <w:rFonts w:ascii="Calibri" w:cs="Calibri"/>
          <w:sz w:val="22"/>
        </w:rPr>
        <w:t xml:space="preserve"> D, </w:t>
      </w:r>
      <w:proofErr w:type="spellStart"/>
      <w:r w:rsidRPr="00147D26">
        <w:rPr>
          <w:rFonts w:ascii="Calibri" w:cs="Calibri"/>
          <w:sz w:val="22"/>
        </w:rPr>
        <w:t>Vitulo</w:t>
      </w:r>
      <w:proofErr w:type="spellEnd"/>
      <w:r w:rsidRPr="00147D26">
        <w:rPr>
          <w:rFonts w:ascii="Calibri" w:cs="Calibri"/>
          <w:sz w:val="22"/>
        </w:rPr>
        <w:t xml:space="preserve"> N. Assessment of statistical methods from single cell, bulk RNA-seq, and metagenomics applied to microbiome data. Genome Biology. 2020;21: 191. doi:10.1186/s13059-020-02104-1</w:t>
      </w:r>
    </w:p>
    <w:p w14:paraId="6C0AD31C" w14:textId="77777777" w:rsidR="00147D26" w:rsidRPr="00147D26" w:rsidRDefault="00147D26" w:rsidP="00147D26">
      <w:pPr>
        <w:pStyle w:val="Bibliography"/>
        <w:rPr>
          <w:rFonts w:ascii="Calibri" w:cs="Calibri"/>
          <w:sz w:val="22"/>
        </w:rPr>
      </w:pPr>
      <w:r w:rsidRPr="00147D26">
        <w:rPr>
          <w:rFonts w:ascii="Calibri" w:cs="Calibri"/>
          <w:sz w:val="22"/>
        </w:rPr>
        <w:t xml:space="preserve">14. </w:t>
      </w:r>
      <w:r w:rsidRPr="00147D26">
        <w:rPr>
          <w:rFonts w:ascii="Calibri" w:cs="Calibri"/>
          <w:sz w:val="22"/>
        </w:rPr>
        <w:tab/>
      </w:r>
      <w:proofErr w:type="spellStart"/>
      <w:r w:rsidRPr="00147D26">
        <w:rPr>
          <w:rFonts w:ascii="Calibri" w:cs="Calibri"/>
          <w:sz w:val="22"/>
        </w:rPr>
        <w:t>Delignette</w:t>
      </w:r>
      <w:proofErr w:type="spellEnd"/>
      <w:r w:rsidRPr="00147D26">
        <w:rPr>
          <w:rFonts w:ascii="Calibri" w:cs="Calibri"/>
          <w:sz w:val="22"/>
        </w:rPr>
        <w:t xml:space="preserve">-Muller ML, </w:t>
      </w:r>
      <w:proofErr w:type="spellStart"/>
      <w:r w:rsidRPr="00147D26">
        <w:rPr>
          <w:rFonts w:ascii="Calibri" w:cs="Calibri"/>
          <w:sz w:val="22"/>
        </w:rPr>
        <w:t>Dutang</w:t>
      </w:r>
      <w:proofErr w:type="spellEnd"/>
      <w:r w:rsidRPr="00147D26">
        <w:rPr>
          <w:rFonts w:ascii="Calibri" w:cs="Calibri"/>
          <w:sz w:val="22"/>
        </w:rPr>
        <w:t xml:space="preserve"> C. </w:t>
      </w:r>
      <w:proofErr w:type="spellStart"/>
      <w:r w:rsidRPr="00147D26">
        <w:rPr>
          <w:rFonts w:ascii="Calibri" w:cs="Calibri"/>
          <w:sz w:val="22"/>
        </w:rPr>
        <w:t>fitdistrplus</w:t>
      </w:r>
      <w:proofErr w:type="spellEnd"/>
      <w:r w:rsidRPr="00147D26">
        <w:rPr>
          <w:rFonts w:ascii="Calibri" w:cs="Calibri"/>
          <w:sz w:val="22"/>
        </w:rPr>
        <w:t xml:space="preserve">: An R package for fitting distributions. Journal of Statistical Software. 2015;64: 1–34. </w:t>
      </w:r>
    </w:p>
    <w:p w14:paraId="7651D9BF" w14:textId="77777777" w:rsidR="00147D26" w:rsidRPr="00147D26" w:rsidRDefault="00147D26" w:rsidP="00147D26">
      <w:pPr>
        <w:pStyle w:val="Bibliography"/>
        <w:rPr>
          <w:rFonts w:ascii="Calibri" w:cs="Calibri"/>
          <w:sz w:val="22"/>
        </w:rPr>
      </w:pPr>
      <w:r w:rsidRPr="00147D26">
        <w:rPr>
          <w:rFonts w:ascii="Calibri" w:cs="Calibri"/>
          <w:sz w:val="22"/>
        </w:rPr>
        <w:t xml:space="preserve">15. </w:t>
      </w:r>
      <w:r w:rsidRPr="00147D26">
        <w:rPr>
          <w:rFonts w:ascii="Calibri" w:cs="Calibri"/>
          <w:sz w:val="22"/>
        </w:rPr>
        <w:tab/>
        <w:t>Wu D, Smyth GK. Camera: a competitive gene set test accounting for inter-gene correlation. Nucleic Acids Res. 2012;40: e133. doi:10.1093/</w:t>
      </w:r>
      <w:proofErr w:type="spellStart"/>
      <w:r w:rsidRPr="00147D26">
        <w:rPr>
          <w:rFonts w:ascii="Calibri" w:cs="Calibri"/>
          <w:sz w:val="22"/>
        </w:rPr>
        <w:t>nar</w:t>
      </w:r>
      <w:proofErr w:type="spellEnd"/>
      <w:r w:rsidRPr="00147D26">
        <w:rPr>
          <w:rFonts w:ascii="Calibri" w:cs="Calibri"/>
          <w:sz w:val="22"/>
        </w:rPr>
        <w:t>/gks461</w:t>
      </w:r>
    </w:p>
    <w:p w14:paraId="664CA6EC" w14:textId="1757DAC4"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P. Nguyen" w:date="2021-11-16T21:59:00Z" w:initials="QPN">
    <w:p w14:paraId="587483E6" w14:textId="188E7980" w:rsidR="001E7EFB" w:rsidRDefault="001E7EFB">
      <w:pPr>
        <w:pStyle w:val="CommentText"/>
      </w:pPr>
      <w:r>
        <w:rPr>
          <w:rStyle w:val="CommentReference"/>
        </w:rPr>
        <w:annotationRef/>
      </w:r>
      <w:r>
        <w:t xml:space="preserve">New analysis adding random gene and label permutations for the real data section of single sample enrichment tests (or inference at the sample level). </w:t>
      </w:r>
    </w:p>
  </w:comment>
  <w:comment w:id="1" w:author="Quang P. Nguyen" w:date="2021-11-16T21:56:00Z" w:initials="QPN">
    <w:p w14:paraId="0E6AD005" w14:textId="36FD751A" w:rsidR="005556EE" w:rsidRDefault="005556EE">
      <w:pPr>
        <w:pStyle w:val="CommentText"/>
      </w:pPr>
      <w:r>
        <w:rPr>
          <w:rStyle w:val="CommentReference"/>
        </w:rPr>
        <w:annotationRef/>
      </w:r>
      <w:r>
        <w:t xml:space="preserve">There is an additional analysis here to compare </w:t>
      </w:r>
      <w:proofErr w:type="spellStart"/>
      <w:r>
        <w:t>cILR</w:t>
      </w:r>
      <w:proofErr w:type="spellEnd"/>
      <w:r>
        <w:t xml:space="preserve"> w/ t-test against </w:t>
      </w:r>
      <w:proofErr w:type="spellStart"/>
      <w:r>
        <w:t>ssGSEA</w:t>
      </w:r>
      <w:proofErr w:type="spellEnd"/>
      <w:r>
        <w:t xml:space="preserve"> and GSVA with the t-test for population level inference (differential abundance). </w:t>
      </w:r>
      <w:r>
        <w:br/>
      </w:r>
      <w:r>
        <w:br/>
        <w:t xml:space="preserve">The existing DE analysis will be under a subsection of “inference at the population level” which compares </w:t>
      </w:r>
      <w:proofErr w:type="spellStart"/>
      <w:r>
        <w:t>cILR</w:t>
      </w:r>
      <w:proofErr w:type="spellEnd"/>
      <w:r>
        <w:t xml:space="preserve"> w/ t-test against DESeq2/corncob with sets values calculated as sums. </w:t>
      </w:r>
    </w:p>
  </w:comment>
  <w:comment w:id="2" w:author="Quang P. Nguyen" w:date="2021-11-16T21:58:00Z" w:initials="QPN">
    <w:p w14:paraId="2D54AEF4" w14:textId="15BEEC1B" w:rsidR="001E7EFB" w:rsidRDefault="001E7EFB">
      <w:pPr>
        <w:pStyle w:val="CommentText"/>
      </w:pPr>
      <w:r>
        <w:rPr>
          <w:rStyle w:val="CommentReference"/>
        </w:rPr>
        <w:annotationRef/>
      </w:r>
      <w:r>
        <w:t xml:space="preserve">New analysis here so that disease prediction doesn’t seem to be alone in downstream analysis. This analysis will be using </w:t>
      </w:r>
      <w:proofErr w:type="spellStart"/>
      <w:r>
        <w:t>cILR</w:t>
      </w:r>
      <w:proofErr w:type="spellEnd"/>
      <w:r>
        <w:t xml:space="preserve"> generated scores to perform PERMANOVA and visualizations to distinguish between cases/controls using the Euclidean distance metric.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483E6" w15:done="0"/>
  <w15:commentEx w15:paraId="0E6AD005" w15:done="0"/>
  <w15:commentEx w15:paraId="2D54A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A834" w16cex:dateUtc="2021-11-17T02:59:00Z"/>
  <w16cex:commentExtensible w16cex:durableId="253EA788" w16cex:dateUtc="2021-11-17T02:56:00Z"/>
  <w16cex:commentExtensible w16cex:durableId="253EA7FF" w16cex:dateUtc="2021-11-17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483E6" w16cid:durableId="253EA834"/>
  <w16cid:commentId w16cid:paraId="0E6AD005" w16cid:durableId="253EA788"/>
  <w16cid:commentId w16cid:paraId="2D54AEF4" w16cid:durableId="253EA7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2"/>
  </w:num>
  <w:num w:numId="5">
    <w:abstractNumId w:val="11"/>
  </w:num>
  <w:num w:numId="6">
    <w:abstractNumId w:val="9"/>
  </w:num>
  <w:num w:numId="7">
    <w:abstractNumId w:val="10"/>
  </w:num>
  <w:num w:numId="8">
    <w:abstractNumId w:val="6"/>
  </w:num>
  <w:num w:numId="9">
    <w:abstractNumId w:val="8"/>
  </w:num>
  <w:num w:numId="10">
    <w:abstractNumId w:val="1"/>
  </w:num>
  <w:num w:numId="11">
    <w:abstractNumId w:val="4"/>
  </w:num>
  <w:num w:numId="12">
    <w:abstractNumId w:val="2"/>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P. Nguyen">
    <w15:presenceInfo w15:providerId="AD" w15:userId="S::f00345k@dartmouth.edu::9abac45e-e3f2-4fb8-8e56-bf9e76e56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77D06"/>
    <w:rsid w:val="00083A74"/>
    <w:rsid w:val="00087F41"/>
    <w:rsid w:val="000A5F9D"/>
    <w:rsid w:val="000B7497"/>
    <w:rsid w:val="000C202F"/>
    <w:rsid w:val="00112F80"/>
    <w:rsid w:val="00141495"/>
    <w:rsid w:val="00145EA4"/>
    <w:rsid w:val="00147D26"/>
    <w:rsid w:val="00157D16"/>
    <w:rsid w:val="001614D1"/>
    <w:rsid w:val="00165579"/>
    <w:rsid w:val="00175D3B"/>
    <w:rsid w:val="001765F3"/>
    <w:rsid w:val="001A1F80"/>
    <w:rsid w:val="001A308D"/>
    <w:rsid w:val="001A7D21"/>
    <w:rsid w:val="001B1211"/>
    <w:rsid w:val="001B27B1"/>
    <w:rsid w:val="001E7EFB"/>
    <w:rsid w:val="001F512E"/>
    <w:rsid w:val="002270CE"/>
    <w:rsid w:val="002576C8"/>
    <w:rsid w:val="002B41F5"/>
    <w:rsid w:val="002F5E6A"/>
    <w:rsid w:val="00336EB0"/>
    <w:rsid w:val="00344B8A"/>
    <w:rsid w:val="003463C6"/>
    <w:rsid w:val="003600AC"/>
    <w:rsid w:val="003809B4"/>
    <w:rsid w:val="00387166"/>
    <w:rsid w:val="003C34C8"/>
    <w:rsid w:val="003D4D25"/>
    <w:rsid w:val="00414018"/>
    <w:rsid w:val="0043230C"/>
    <w:rsid w:val="00452614"/>
    <w:rsid w:val="00455F52"/>
    <w:rsid w:val="004971E1"/>
    <w:rsid w:val="004C7E39"/>
    <w:rsid w:val="0050609B"/>
    <w:rsid w:val="005073B9"/>
    <w:rsid w:val="00520B00"/>
    <w:rsid w:val="00522EA1"/>
    <w:rsid w:val="00534222"/>
    <w:rsid w:val="005556EE"/>
    <w:rsid w:val="00573968"/>
    <w:rsid w:val="005B7C6B"/>
    <w:rsid w:val="005D396D"/>
    <w:rsid w:val="005D4CA7"/>
    <w:rsid w:val="005E4F29"/>
    <w:rsid w:val="0062105E"/>
    <w:rsid w:val="006D3434"/>
    <w:rsid w:val="006F5CFE"/>
    <w:rsid w:val="00704D8C"/>
    <w:rsid w:val="00710E0E"/>
    <w:rsid w:val="007159B5"/>
    <w:rsid w:val="0072510F"/>
    <w:rsid w:val="00725DE6"/>
    <w:rsid w:val="007311CD"/>
    <w:rsid w:val="00737293"/>
    <w:rsid w:val="00742A59"/>
    <w:rsid w:val="00756755"/>
    <w:rsid w:val="007609C2"/>
    <w:rsid w:val="00796CAC"/>
    <w:rsid w:val="007B0F55"/>
    <w:rsid w:val="007D777C"/>
    <w:rsid w:val="007F1360"/>
    <w:rsid w:val="007F5184"/>
    <w:rsid w:val="0080238E"/>
    <w:rsid w:val="00811911"/>
    <w:rsid w:val="00846427"/>
    <w:rsid w:val="00846E67"/>
    <w:rsid w:val="00871D6D"/>
    <w:rsid w:val="008733CC"/>
    <w:rsid w:val="00882F23"/>
    <w:rsid w:val="00886D13"/>
    <w:rsid w:val="00890711"/>
    <w:rsid w:val="008E7103"/>
    <w:rsid w:val="008F611F"/>
    <w:rsid w:val="009009D6"/>
    <w:rsid w:val="009053A8"/>
    <w:rsid w:val="0094041D"/>
    <w:rsid w:val="009749F2"/>
    <w:rsid w:val="009A2665"/>
    <w:rsid w:val="009A44FC"/>
    <w:rsid w:val="009B6223"/>
    <w:rsid w:val="009D46DC"/>
    <w:rsid w:val="00A02C55"/>
    <w:rsid w:val="00A04D61"/>
    <w:rsid w:val="00A05B09"/>
    <w:rsid w:val="00A56446"/>
    <w:rsid w:val="00A61BA0"/>
    <w:rsid w:val="00A73129"/>
    <w:rsid w:val="00A84F24"/>
    <w:rsid w:val="00AA2729"/>
    <w:rsid w:val="00AD17DB"/>
    <w:rsid w:val="00AF6497"/>
    <w:rsid w:val="00B176FB"/>
    <w:rsid w:val="00B17EDE"/>
    <w:rsid w:val="00B20751"/>
    <w:rsid w:val="00B32102"/>
    <w:rsid w:val="00B57180"/>
    <w:rsid w:val="00B730AD"/>
    <w:rsid w:val="00B97F13"/>
    <w:rsid w:val="00BB626F"/>
    <w:rsid w:val="00BB7799"/>
    <w:rsid w:val="00BD4D63"/>
    <w:rsid w:val="00C22952"/>
    <w:rsid w:val="00C23CFA"/>
    <w:rsid w:val="00C40008"/>
    <w:rsid w:val="00C41506"/>
    <w:rsid w:val="00C41D3A"/>
    <w:rsid w:val="00C4787B"/>
    <w:rsid w:val="00C74DFE"/>
    <w:rsid w:val="00CC1205"/>
    <w:rsid w:val="00CD0F19"/>
    <w:rsid w:val="00CD1CBA"/>
    <w:rsid w:val="00CE1A6B"/>
    <w:rsid w:val="00CF1D6B"/>
    <w:rsid w:val="00D065A0"/>
    <w:rsid w:val="00D41065"/>
    <w:rsid w:val="00D44487"/>
    <w:rsid w:val="00D6056C"/>
    <w:rsid w:val="00D60AE5"/>
    <w:rsid w:val="00D75904"/>
    <w:rsid w:val="00D86DE1"/>
    <w:rsid w:val="00DA10D8"/>
    <w:rsid w:val="00E0537D"/>
    <w:rsid w:val="00E546A5"/>
    <w:rsid w:val="00E6776D"/>
    <w:rsid w:val="00E94A6C"/>
    <w:rsid w:val="00EC1E66"/>
    <w:rsid w:val="00ED0720"/>
    <w:rsid w:val="00ED3611"/>
    <w:rsid w:val="00EE195C"/>
    <w:rsid w:val="00EF09A1"/>
    <w:rsid w:val="00F72979"/>
    <w:rsid w:val="00FB2A50"/>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11</Pages>
  <Words>11070</Words>
  <Characters>63104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63</cp:revision>
  <dcterms:created xsi:type="dcterms:W3CDTF">2021-10-22T21:08:00Z</dcterms:created>
  <dcterms:modified xsi:type="dcterms:W3CDTF">2021-11-17T03:00:00Z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id="GWbNQPXT"/&gt;&lt;style id="http://www.zotero.org/styles/plos-computational-biology" hasBibliography="1" bibliographyStyleHasBeenSet="1"/&gt;&lt;prefs&gt;&lt;pref name="fieldType" value="Field"/&gt;&lt;/prefs&gt;&lt;/data&gt;</vt:lpwstr>
  </property>
</Properties>
</file>