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Pr="009A44FC" w:rsidRDefault="002270CE" w:rsidP="007B0F55">
      <w:pPr>
        <w:spacing w:after="120"/>
        <w:jc w:val="center"/>
        <w:rPr>
          <w:rFonts w:ascii="Times New Roman" w:hAnsi="Times New Roman" w:cs="Times New Roman"/>
          <w:sz w:val="22"/>
          <w:szCs w:val="22"/>
        </w:rPr>
      </w:pPr>
      <w:proofErr w:type="spellStart"/>
      <w:r w:rsidRPr="009A44FC">
        <w:rPr>
          <w:rFonts w:ascii="Times New Roman" w:hAnsi="Times New Roman" w:cs="Times New Roman"/>
          <w:sz w:val="22"/>
          <w:szCs w:val="22"/>
        </w:rPr>
        <w:t>cILR</w:t>
      </w:r>
      <w:proofErr w:type="spellEnd"/>
      <w:r w:rsidRPr="009A44FC">
        <w:rPr>
          <w:rFonts w:ascii="Times New Roman" w:hAnsi="Times New Roman" w:cs="Times New Roman"/>
          <w:sz w:val="22"/>
          <w:szCs w:val="22"/>
        </w:rPr>
        <w:t>: Competitive isometric log-ratio for taxonomic enrichment analysis</w:t>
      </w:r>
    </w:p>
    <w:p w14:paraId="4892ACCF" w14:textId="59C99A8B"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478FD8B4" w14:textId="2EC2B0D3"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7E06505C" w14:textId="76DF6FDE"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October 26</w:t>
      </w:r>
      <w:r w:rsidRPr="009A44FC">
        <w:rPr>
          <w:rFonts w:ascii="Times New Roman" w:hAnsi="Times New Roman" w:cs="Times New Roman"/>
          <w:sz w:val="22"/>
          <w:szCs w:val="22"/>
          <w:vertAlign w:val="superscript"/>
        </w:rPr>
        <w:t>th</w:t>
      </w:r>
      <w:r w:rsidRPr="009A44FC">
        <w:rPr>
          <w:rFonts w:ascii="Times New Roman" w:hAnsi="Times New Roman" w:cs="Times New Roman"/>
          <w:sz w:val="22"/>
          <w:szCs w:val="22"/>
        </w:rPr>
        <w:t>, 2021</w:t>
      </w:r>
    </w:p>
    <w:p w14:paraId="2621EFE6" w14:textId="77777777" w:rsidR="002270CE" w:rsidRPr="009A44FC" w:rsidRDefault="002270CE" w:rsidP="002270CE">
      <w:pPr>
        <w:spacing w:after="120"/>
        <w:rPr>
          <w:rFonts w:ascii="Times New Roman" w:hAnsi="Times New Roman" w:cs="Times New Roman"/>
          <w:b/>
          <w:bCs/>
          <w:sz w:val="22"/>
          <w:szCs w:val="22"/>
        </w:rPr>
      </w:pPr>
    </w:p>
    <w:p w14:paraId="09AC8A01" w14:textId="2C0EB25D" w:rsidR="00522EA1" w:rsidRPr="009A44FC" w:rsidRDefault="00522EA1" w:rsidP="00522EA1">
      <w:pPr>
        <w:pStyle w:val="PlainText"/>
        <w:spacing w:line="300" w:lineRule="exact"/>
        <w:rPr>
          <w:rFonts w:ascii="Times New Roman" w:hAnsi="Times New Roman" w:cs="Times New Roman"/>
        </w:rPr>
      </w:pPr>
      <w:commentRangeStart w:id="0"/>
      <w:r w:rsidRPr="009A44FC">
        <w:rPr>
          <w:rFonts w:ascii="Times New Roman" w:hAnsi="Times New Roman" w:cs="Times New Roman"/>
        </w:rPr>
        <w:t>We</w:t>
      </w:r>
      <w:commentRangeEnd w:id="0"/>
      <w:r w:rsidR="00A04934">
        <w:rPr>
          <w:rStyle w:val="CommentReference"/>
          <w:rFonts w:asciiTheme="minorHAnsi" w:hAnsiTheme="minorHAnsi"/>
        </w:rPr>
        <w:commentReference w:id="0"/>
      </w:r>
      <w:r w:rsidRPr="009A44FC">
        <w:rPr>
          <w:rFonts w:ascii="Times New Roman" w:hAnsi="Times New Roman" w:cs="Times New Roman"/>
        </w:rPr>
        <w:t xml:space="preserve"> greatly appreciate</w:t>
      </w:r>
      <w:r w:rsidR="009454F0">
        <w:rPr>
          <w:rFonts w:ascii="Times New Roman" w:hAnsi="Times New Roman" w:cs="Times New Roman"/>
        </w:rPr>
        <w:t xml:space="preserve"> both reviewers for thorough and insightful</w:t>
      </w:r>
      <w:r w:rsidR="00693F3A">
        <w:rPr>
          <w:rFonts w:ascii="Times New Roman" w:hAnsi="Times New Roman" w:cs="Times New Roman"/>
        </w:rPr>
        <w:t xml:space="preserve"> </w:t>
      </w:r>
      <w:r w:rsidR="009454F0">
        <w:rPr>
          <w:rFonts w:ascii="Times New Roman" w:hAnsi="Times New Roman" w:cs="Times New Roman"/>
        </w:rPr>
        <w:t>reviews of our manuscript.</w:t>
      </w:r>
      <w:r w:rsidRPr="009A44FC">
        <w:rPr>
          <w:rFonts w:ascii="Times New Roman" w:hAnsi="Times New Roman" w:cs="Times New Roman"/>
        </w:rPr>
        <w:t xml:space="preserve"> We </w:t>
      </w:r>
      <w:r w:rsidR="009454F0">
        <w:rPr>
          <w:rFonts w:ascii="Times New Roman" w:hAnsi="Times New Roman" w:cs="Times New Roman"/>
        </w:rPr>
        <w:t xml:space="preserve">think that you will find its quality much improved </w:t>
      </w:r>
      <w:proofErr w:type="gramStart"/>
      <w:r w:rsidR="009454F0">
        <w:rPr>
          <w:rFonts w:ascii="Times New Roman" w:hAnsi="Times New Roman" w:cs="Times New Roman"/>
        </w:rPr>
        <w:t>as a result of</w:t>
      </w:r>
      <w:proofErr w:type="gramEnd"/>
      <w:r w:rsidR="009454F0">
        <w:rPr>
          <w:rFonts w:ascii="Times New Roman" w:hAnsi="Times New Roman" w:cs="Times New Roman"/>
        </w:rPr>
        <w:t xml:space="preserve"> the changes we’ve made in response.</w:t>
      </w:r>
      <w:r w:rsidRPr="009A44FC">
        <w:rPr>
          <w:rFonts w:ascii="Times New Roman" w:hAnsi="Times New Roman" w:cs="Times New Roman"/>
        </w:rPr>
        <w:t xml:space="preserve"> </w:t>
      </w:r>
      <w:r w:rsidR="009454F0">
        <w:rPr>
          <w:rFonts w:ascii="Times New Roman" w:hAnsi="Times New Roman" w:cs="Times New Roman"/>
        </w:rPr>
        <w:t>Here, we summarize the major changes, with point-by-point responses to each reviewer comment following</w:t>
      </w:r>
      <w:r w:rsidRPr="009A44FC">
        <w:rPr>
          <w:rFonts w:ascii="Times New Roman" w:hAnsi="Times New Roman" w:cs="Times New Roman"/>
        </w:rPr>
        <w:t xml:space="preserve">: </w:t>
      </w:r>
    </w:p>
    <w:p w14:paraId="32E57F7C" w14:textId="36970D6B" w:rsidR="001A1F80" w:rsidRPr="009A44FC"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r w:rsidR="009454F0">
        <w:rPr>
          <w:rFonts w:ascii="Times New Roman" w:hAnsi="Times New Roman" w:cs="Times New Roman"/>
        </w:rPr>
        <w:t xml:space="preserve">The title of the manuscript will now be “CBEA: Competitive balances for taxonomic enrichment analysis” </w:t>
      </w:r>
    </w:p>
    <w:p w14:paraId="297C7741" w14:textId="2A64ECEC" w:rsidR="001A1F80" w:rsidRPr="009A44FC" w:rsidRDefault="009A1631" w:rsidP="00522EA1">
      <w:pPr>
        <w:pStyle w:val="PlainText"/>
        <w:numPr>
          <w:ilvl w:val="0"/>
          <w:numId w:val="12"/>
        </w:numPr>
        <w:spacing w:line="300" w:lineRule="exact"/>
        <w:rPr>
          <w:rFonts w:ascii="Times New Roman" w:hAnsi="Times New Roman" w:cs="Times New Roman"/>
        </w:rPr>
      </w:pPr>
      <w:r>
        <w:rPr>
          <w:rFonts w:ascii="Times New Roman" w:hAnsi="Times New Roman" w:cs="Times New Roman"/>
        </w:rPr>
        <w:t xml:space="preserve">Throughout, we </w:t>
      </w:r>
      <w:r w:rsidR="001A1F80" w:rsidRPr="009A44FC">
        <w:rPr>
          <w:rFonts w:ascii="Times New Roman" w:hAnsi="Times New Roman" w:cs="Times New Roman"/>
        </w:rPr>
        <w:t>have provided more clarity</w:t>
      </w:r>
      <w:r w:rsidR="008E7103">
        <w:rPr>
          <w:rFonts w:ascii="Times New Roman" w:hAnsi="Times New Roman" w:cs="Times New Roman"/>
        </w:rPr>
        <w:t xml:space="preserve"> and precision</w:t>
      </w:r>
      <w:r w:rsidR="001A1F80" w:rsidRPr="009A44FC">
        <w:rPr>
          <w:rFonts w:ascii="Times New Roman" w:hAnsi="Times New Roman" w:cs="Times New Roman"/>
        </w:rPr>
        <w:t xml:space="preserve"> in the language surrounding statistical concepts and results</w:t>
      </w:r>
      <w:r>
        <w:rPr>
          <w:rFonts w:ascii="Times New Roman" w:hAnsi="Times New Roman" w:cs="Times New Roman"/>
        </w:rPr>
        <w:t>.</w:t>
      </w:r>
      <w:r w:rsidR="001A1F80" w:rsidRPr="009A44FC">
        <w:rPr>
          <w:rFonts w:ascii="Times New Roman" w:hAnsi="Times New Roman" w:cs="Times New Roman"/>
        </w:rPr>
        <w:t xml:space="preserve"> </w:t>
      </w:r>
    </w:p>
    <w:p w14:paraId="4EF956DF" w14:textId="6939FB3B" w:rsidR="00522EA1" w:rsidRPr="009A44FC" w:rsidRDefault="00C23CFA"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When discussing our results, we provide additional </w:t>
      </w:r>
      <w:r w:rsidR="001A1F80" w:rsidRPr="009A44FC">
        <w:rPr>
          <w:rFonts w:ascii="Times New Roman" w:hAnsi="Times New Roman" w:cs="Times New Roman"/>
        </w:rPr>
        <w:t>context of our experimental conditions</w:t>
      </w:r>
      <w:r w:rsidRPr="009A44FC">
        <w:rPr>
          <w:rFonts w:ascii="Times New Roman" w:hAnsi="Times New Roman" w:cs="Times New Roman"/>
        </w:rPr>
        <w:t xml:space="preserve"> to ensure proper interpretation</w:t>
      </w:r>
      <w:r w:rsidR="006F5CFE" w:rsidRPr="009A44FC">
        <w:rPr>
          <w:rFonts w:ascii="Times New Roman" w:hAnsi="Times New Roman" w:cs="Times New Roman"/>
        </w:rPr>
        <w:t xml:space="preserve"> and avoid overstatements</w:t>
      </w:r>
      <w:r w:rsidR="001A1F80" w:rsidRPr="009A44FC">
        <w:rPr>
          <w:rFonts w:ascii="Times New Roman" w:hAnsi="Times New Roman" w:cs="Times New Roman"/>
        </w:rPr>
        <w:t xml:space="preserve">. </w:t>
      </w:r>
    </w:p>
    <w:p w14:paraId="7F2F9D97" w14:textId="28EC88F0"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9A1631">
        <w:rPr>
          <w:rFonts w:ascii="Times New Roman" w:hAnsi="Times New Roman" w:cs="Times New Roman"/>
        </w:rPr>
        <w:t xml:space="preserve">improved </w:t>
      </w:r>
      <w:r w:rsidRPr="009A44FC">
        <w:rPr>
          <w:rFonts w:ascii="Times New Roman" w:hAnsi="Times New Roman" w:cs="Times New Roman"/>
        </w:rPr>
        <w:t>precision in the language surrounding the idea of zero-inflat</w:t>
      </w:r>
      <w:r w:rsidR="009A1631">
        <w:rPr>
          <w:rFonts w:ascii="Times New Roman" w:hAnsi="Times New Roman" w:cs="Times New Roman"/>
        </w:rPr>
        <w:t>ion</w:t>
      </w:r>
      <w:r w:rsidRPr="009A44FC">
        <w:rPr>
          <w:rFonts w:ascii="Times New Roman" w:hAnsi="Times New Roman" w:cs="Times New Roman"/>
        </w:rPr>
        <w:t xml:space="preserve"> and compositionality of microbiome data, </w:t>
      </w:r>
      <w:r w:rsidR="008733CC" w:rsidRPr="009A44FC">
        <w:rPr>
          <w:rFonts w:ascii="Times New Roman" w:hAnsi="Times New Roman" w:cs="Times New Roman"/>
        </w:rPr>
        <w:t xml:space="preserve">highlighting </w:t>
      </w:r>
      <w:r w:rsidR="00B57180" w:rsidRPr="009A44FC">
        <w:rPr>
          <w:rFonts w:ascii="Times New Roman" w:hAnsi="Times New Roman" w:cs="Times New Roman"/>
        </w:rPr>
        <w:t xml:space="preserve">the </w:t>
      </w:r>
      <w:r w:rsidR="008733CC" w:rsidRPr="009A44FC">
        <w:rPr>
          <w:rFonts w:ascii="Times New Roman" w:hAnsi="Times New Roman" w:cs="Times New Roman"/>
        </w:rPr>
        <w:t xml:space="preserve">motivation behind our </w:t>
      </w:r>
      <w:r w:rsidR="00B57180" w:rsidRPr="009A44FC">
        <w:rPr>
          <w:rFonts w:ascii="Times New Roman" w:hAnsi="Times New Roman" w:cs="Times New Roman"/>
        </w:rPr>
        <w:t>approach</w:t>
      </w:r>
      <w:r w:rsidR="008733CC" w:rsidRPr="009A44FC">
        <w:rPr>
          <w:rFonts w:ascii="Times New Roman" w:hAnsi="Times New Roman" w:cs="Times New Roman"/>
        </w:rPr>
        <w:t xml:space="preserve"> and the assumptions we’re making</w:t>
      </w:r>
      <w:r w:rsidRPr="009A44FC">
        <w:rPr>
          <w:rFonts w:ascii="Times New Roman" w:hAnsi="Times New Roman" w:cs="Times New Roman"/>
        </w:rPr>
        <w:t xml:space="preserve">. </w:t>
      </w:r>
    </w:p>
    <w:p w14:paraId="726EF149" w14:textId="0095D861"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added more clarification on the motivation behind our procedure for adjusting inter-set correlation in our null hypothesis inference section. We emphasized the trade-off between type I error and power for enrichment analysis as a discovery tool and provided and clarified that the user can make the choice </w:t>
      </w:r>
      <w:r w:rsidR="00001DB3" w:rsidRPr="009A44FC">
        <w:rPr>
          <w:rFonts w:ascii="Times New Roman" w:hAnsi="Times New Roman" w:cs="Times New Roman"/>
        </w:rPr>
        <w:t>whether</w:t>
      </w:r>
      <w:r w:rsidRPr="009A44FC">
        <w:rPr>
          <w:rFonts w:ascii="Times New Roman" w:hAnsi="Times New Roman" w:cs="Times New Roman"/>
        </w:rPr>
        <w:t xml:space="preserve"> to adjust for correlation when using our method. </w:t>
      </w:r>
    </w:p>
    <w:p w14:paraId="2043388C" w14:textId="46BFE69B"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We reorganized</w:t>
      </w:r>
      <w:r w:rsidR="009A1631">
        <w:rPr>
          <w:rFonts w:ascii="Times New Roman" w:hAnsi="Times New Roman" w:cs="Times New Roman"/>
        </w:rPr>
        <w:t xml:space="preserve"> the</w:t>
      </w:r>
      <w:r w:rsidRPr="009A44FC">
        <w:rPr>
          <w:rFonts w:ascii="Times New Roman" w:hAnsi="Times New Roman" w:cs="Times New Roman"/>
        </w:rPr>
        <w:t xml:space="preserve"> manuscript to highlight our main contribution which is a new approach for set-based testing </w:t>
      </w:r>
      <w:r w:rsidR="00001DB3" w:rsidRPr="009A44FC">
        <w:rPr>
          <w:rFonts w:ascii="Times New Roman" w:hAnsi="Times New Roman" w:cs="Times New Roman"/>
        </w:rPr>
        <w:t xml:space="preserve">for </w:t>
      </w:r>
      <w:r w:rsidRPr="009A44FC">
        <w:rPr>
          <w:rFonts w:ascii="Times New Roman" w:hAnsi="Times New Roman" w:cs="Times New Roman"/>
        </w:rPr>
        <w:t xml:space="preserve">relative abundance microbiome data. </w:t>
      </w:r>
      <w:r w:rsidR="001A1F80" w:rsidRPr="009A44FC">
        <w:rPr>
          <w:rFonts w:ascii="Times New Roman" w:hAnsi="Times New Roman" w:cs="Times New Roman"/>
        </w:rPr>
        <w:t xml:space="preserve">This organization is also motivated by </w:t>
      </w:r>
      <w:r w:rsidR="009A1631">
        <w:rPr>
          <w:rFonts w:ascii="Times New Roman" w:hAnsi="Times New Roman" w:cs="Times New Roman"/>
        </w:rPr>
        <w:t xml:space="preserve">the work of </w:t>
      </w:r>
      <w:proofErr w:type="spellStart"/>
      <w:r w:rsidR="001A1F80" w:rsidRPr="009A44FC">
        <w:rPr>
          <w:rFonts w:ascii="Times New Roman" w:hAnsi="Times New Roman" w:cs="Times New Roman"/>
        </w:rPr>
        <w:t>Geistlinger</w:t>
      </w:r>
      <w:proofErr w:type="spellEnd"/>
      <w:r w:rsidR="001A1F80" w:rsidRPr="009A44FC">
        <w:rPr>
          <w:rFonts w:ascii="Times New Roman" w:hAnsi="Times New Roman" w:cs="Times New Roman"/>
        </w:rPr>
        <w:t xml:space="preserve"> et al.</w:t>
      </w:r>
      <w:r w:rsidR="009A1631">
        <w:rPr>
          <w:rFonts w:ascii="Times New Roman" w:hAnsi="Times New Roman" w:cs="Times New Roman"/>
        </w:rPr>
        <w:t xml:space="preserve"> </w:t>
      </w:r>
      <w:r w:rsidR="009A1631">
        <w:rPr>
          <w:rFonts w:ascii="Times New Roman" w:hAnsi="Times New Roman" w:cs="Times New Roman"/>
        </w:rPr>
        <w:fldChar w:fldCharType="begin"/>
      </w:r>
      <w:r w:rsidR="009A1631">
        <w:rPr>
          <w:rFonts w:ascii="Times New Roman" w:hAnsi="Times New Roman" w:cs="Times New Roman"/>
        </w:rPr>
        <w:instrText xml:space="preserve"> ADDIN ZOTERO_ITEM CSL_CITATION {"citationID":"W2HzxUFL","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9A1631">
        <w:rPr>
          <w:rFonts w:ascii="Times New Roman" w:hAnsi="Times New Roman" w:cs="Times New Roman"/>
        </w:rPr>
        <w:fldChar w:fldCharType="separate"/>
      </w:r>
      <w:r w:rsidR="009A1631" w:rsidRPr="009A1631">
        <w:rPr>
          <w:rFonts w:ascii="Times New Roman" w:hAnsi="Times New Roman" w:cs="Times New Roman"/>
        </w:rPr>
        <w:t>[1]</w:t>
      </w:r>
      <w:r w:rsidR="009A1631">
        <w:rPr>
          <w:rFonts w:ascii="Times New Roman" w:hAnsi="Times New Roman" w:cs="Times New Roman"/>
        </w:rPr>
        <w:fldChar w:fldCharType="end"/>
      </w:r>
      <w:r w:rsidR="001A1F80" w:rsidRPr="009A44FC">
        <w:rPr>
          <w:rFonts w:ascii="Times New Roman" w:hAnsi="Times New Roman" w:cs="Times New Roman"/>
        </w:rPr>
        <w:t xml:space="preserve"> on benchmarking standards for gene set testing approaches as suggested by Reviewer 2. </w:t>
      </w:r>
      <w:r w:rsidR="005D4CA7" w:rsidRPr="009A44FC">
        <w:rPr>
          <w:rFonts w:ascii="Times New Roman" w:hAnsi="Times New Roman" w:cs="Times New Roman"/>
        </w:rPr>
        <w:t xml:space="preserve">We </w:t>
      </w:r>
      <w:r w:rsidR="009A1631">
        <w:rPr>
          <w:rFonts w:ascii="Times New Roman" w:hAnsi="Times New Roman" w:cs="Times New Roman"/>
        </w:rPr>
        <w:t xml:space="preserve">believe </w:t>
      </w:r>
      <w:r w:rsidR="005D4CA7" w:rsidRPr="009A44FC">
        <w:rPr>
          <w:rFonts w:ascii="Times New Roman" w:hAnsi="Times New Roman" w:cs="Times New Roman"/>
        </w:rPr>
        <w:t>this reorganization of the manuscript will make it easier to follow</w:t>
      </w:r>
      <w:r w:rsidR="009A1631">
        <w:rPr>
          <w:rFonts w:ascii="Times New Roman" w:hAnsi="Times New Roman" w:cs="Times New Roman"/>
        </w:rPr>
        <w:t xml:space="preserve"> by eliminating redundant material and consolidating the presentation of results.</w:t>
      </w:r>
      <w:r w:rsidR="005D4CA7" w:rsidRPr="009A44FC">
        <w:rPr>
          <w:rFonts w:ascii="Times New Roman" w:hAnsi="Times New Roman" w:cs="Times New Roman"/>
        </w:rPr>
        <w:t xml:space="preserve"> </w:t>
      </w:r>
    </w:p>
    <w:p w14:paraId="0809C9CF" w14:textId="4AFE93FC" w:rsidR="005D4CA7" w:rsidRPr="009A44FC" w:rsidRDefault="00030436"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We agree with Reviewer 1 that enrichment analysis is equivalent</w:t>
      </w:r>
      <w:r w:rsidR="00B10230">
        <w:rPr>
          <w:rFonts w:ascii="Times New Roman" w:hAnsi="Times New Roman" w:cs="Times New Roman"/>
        </w:rPr>
        <w:t xml:space="preserve"> to differential</w:t>
      </w:r>
      <w:r w:rsidRPr="009A44FC">
        <w:rPr>
          <w:rFonts w:ascii="Times New Roman" w:hAnsi="Times New Roman" w:cs="Times New Roman"/>
        </w:rPr>
        <w:t xml:space="preserve"> abundance for sets and have grouped the “single-sample enrichment testing” and “differential abundance analysis” into one section titled “enrichment analysis”. </w:t>
      </w:r>
      <w:r w:rsidR="005D4CA7" w:rsidRPr="009A44FC">
        <w:rPr>
          <w:rFonts w:ascii="Times New Roman" w:hAnsi="Times New Roman" w:cs="Times New Roman"/>
        </w:rPr>
        <w:t xml:space="preserve">The “single-sample enrichment testing” </w:t>
      </w:r>
      <w:r w:rsidR="00B10230">
        <w:rPr>
          <w:rFonts w:ascii="Times New Roman" w:hAnsi="Times New Roman" w:cs="Times New Roman"/>
        </w:rPr>
        <w:t xml:space="preserve">section </w:t>
      </w:r>
      <w:r w:rsidR="005D4CA7" w:rsidRPr="009A44FC">
        <w:rPr>
          <w:rFonts w:ascii="Times New Roman" w:hAnsi="Times New Roman" w:cs="Times New Roman"/>
        </w:rPr>
        <w:t>is now referred to as</w:t>
      </w:r>
      <w:r w:rsidR="00001DB3" w:rsidRPr="009A44FC">
        <w:rPr>
          <w:rFonts w:ascii="Times New Roman" w:hAnsi="Times New Roman" w:cs="Times New Roman"/>
        </w:rPr>
        <w:t xml:space="preserve"> “Inference at the sample level” while the differential abundance section is now titled “Inference at the population level”. </w:t>
      </w:r>
    </w:p>
    <w:p w14:paraId="7A240838" w14:textId="238015EC" w:rsidR="005D4CA7" w:rsidRDefault="005D4CA7" w:rsidP="005D4CA7">
      <w:pPr>
        <w:pStyle w:val="PlainText"/>
        <w:numPr>
          <w:ilvl w:val="2"/>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on the real data set for </w:t>
      </w:r>
      <w:r w:rsidR="00B10230">
        <w:rPr>
          <w:rFonts w:ascii="Times New Roman" w:hAnsi="Times New Roman" w:cs="Times New Roman"/>
        </w:rPr>
        <w:t>the</w:t>
      </w:r>
      <w:r w:rsidRPr="009A44FC">
        <w:rPr>
          <w:rFonts w:ascii="Times New Roman" w:hAnsi="Times New Roman" w:cs="Times New Roman"/>
        </w:rPr>
        <w:t xml:space="preserve"> “single sample enrichment testing” </w:t>
      </w:r>
      <w:r w:rsidR="00145EA4" w:rsidRPr="009A44FC">
        <w:rPr>
          <w:rFonts w:ascii="Times New Roman" w:hAnsi="Times New Roman" w:cs="Times New Roman"/>
        </w:rPr>
        <w:t xml:space="preserve">section </w:t>
      </w:r>
      <w:r w:rsidR="00001DB3" w:rsidRPr="009A44FC">
        <w:rPr>
          <w:rFonts w:ascii="Times New Roman" w:hAnsi="Times New Roman" w:cs="Times New Roman"/>
        </w:rPr>
        <w:t xml:space="preserve">which are: </w:t>
      </w:r>
      <w:commentRangeStart w:id="1"/>
      <w:r w:rsidR="00001DB3" w:rsidRPr="009A44FC">
        <w:rPr>
          <w:rFonts w:ascii="Times New Roman" w:hAnsi="Times New Roman" w:cs="Times New Roman"/>
        </w:rPr>
        <w:t xml:space="preserve">random [gene] sets and label permutation. </w:t>
      </w:r>
      <w:r w:rsidR="00145EA4" w:rsidRPr="009A44FC">
        <w:rPr>
          <w:rFonts w:ascii="Times New Roman" w:hAnsi="Times New Roman" w:cs="Times New Roman"/>
        </w:rPr>
        <w:t>We added the random [gene] set analyses for the real data portion of the “differential abundance analysis” section</w:t>
      </w:r>
      <w:commentRangeEnd w:id="1"/>
      <w:r w:rsidR="001E7EFB">
        <w:rPr>
          <w:rStyle w:val="CommentReference"/>
          <w:rFonts w:asciiTheme="minorHAnsi" w:hAnsiTheme="minorHAnsi"/>
        </w:rPr>
        <w:commentReference w:id="1"/>
      </w:r>
      <w:r w:rsidR="00145EA4" w:rsidRPr="009A44FC">
        <w:rPr>
          <w:rFonts w:ascii="Times New Roman" w:hAnsi="Times New Roman" w:cs="Times New Roman"/>
        </w:rPr>
        <w:t xml:space="preserve">. These additional analyses were motivated by </w:t>
      </w:r>
      <w:proofErr w:type="spellStart"/>
      <w:r w:rsidR="00145EA4" w:rsidRPr="009A44FC">
        <w:rPr>
          <w:rFonts w:ascii="Times New Roman" w:hAnsi="Times New Roman" w:cs="Times New Roman"/>
        </w:rPr>
        <w:t>Geistlinger</w:t>
      </w:r>
      <w:proofErr w:type="spellEnd"/>
      <w:r w:rsidR="00145EA4" w:rsidRPr="009A44FC">
        <w:rPr>
          <w:rFonts w:ascii="Times New Roman" w:hAnsi="Times New Roman" w:cs="Times New Roman"/>
        </w:rPr>
        <w:t xml:space="preserve"> et al. </w:t>
      </w:r>
      <w:r w:rsidR="008E7103">
        <w:rPr>
          <w:rFonts w:ascii="Times New Roman" w:hAnsi="Times New Roman" w:cs="Times New Roman"/>
        </w:rPr>
        <w:t xml:space="preserve">Consequently, we have moved the simulation results for this section to the supplemental. </w:t>
      </w:r>
    </w:p>
    <w:p w14:paraId="32D30838" w14:textId="09DBE0C5" w:rsidR="00030436" w:rsidRPr="009A44FC" w:rsidRDefault="00FC08D0"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lastRenderedPageBreak/>
        <w:t xml:space="preserve">We have also added a new section </w:t>
      </w:r>
      <w:r w:rsidR="00B10230">
        <w:rPr>
          <w:rFonts w:ascii="Times New Roman" w:hAnsi="Times New Roman" w:cs="Times New Roman"/>
        </w:rPr>
        <w:t xml:space="preserve">titled </w:t>
      </w:r>
      <w:r w:rsidRPr="009A44FC">
        <w:rPr>
          <w:rFonts w:ascii="Times New Roman" w:hAnsi="Times New Roman" w:cs="Times New Roman"/>
        </w:rPr>
        <w:t xml:space="preserve">“downstream analysis” where we would expand on using our single sample scores for disease prediction (the “disease prediction” section). </w:t>
      </w:r>
      <w:commentRangeStart w:id="2"/>
      <w:r w:rsidRPr="009A44FC">
        <w:rPr>
          <w:rFonts w:ascii="Times New Roman" w:hAnsi="Times New Roman" w:cs="Times New Roman"/>
        </w:rPr>
        <w:t>We also added a new section on “ordination analyses” using our single sample scores.</w:t>
      </w:r>
      <w:commentRangeEnd w:id="2"/>
      <w:r w:rsidR="001E7EFB">
        <w:rPr>
          <w:rStyle w:val="CommentReference"/>
          <w:rFonts w:asciiTheme="minorHAnsi" w:hAnsiTheme="minorHAnsi"/>
        </w:rPr>
        <w:commentReference w:id="2"/>
      </w:r>
      <w:r w:rsidRPr="009A44FC">
        <w:rPr>
          <w:rFonts w:ascii="Times New Roman" w:hAnsi="Times New Roman" w:cs="Times New Roman"/>
        </w:rPr>
        <w:t xml:space="preserve">  </w:t>
      </w:r>
    </w:p>
    <w:p w14:paraId="7D6BAEBF" w14:textId="16D7E021" w:rsidR="00030436" w:rsidRPr="009A44FC" w:rsidRDefault="00145EA4"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have </w:t>
      </w:r>
      <w:r w:rsidR="005F7CF8">
        <w:rPr>
          <w:rFonts w:ascii="Times New Roman" w:hAnsi="Times New Roman" w:cs="Times New Roman"/>
        </w:rPr>
        <w:t>revised</w:t>
      </w:r>
      <w:r w:rsidRPr="009A44FC">
        <w:rPr>
          <w:rFonts w:ascii="Times New Roman" w:hAnsi="Times New Roman" w:cs="Times New Roman"/>
        </w:rPr>
        <w:t xml:space="preserve"> the discussion section</w:t>
      </w:r>
      <w:r w:rsidR="005F7CF8">
        <w:rPr>
          <w:rFonts w:ascii="Times New Roman" w:hAnsi="Times New Roman" w:cs="Times New Roman"/>
        </w:rPr>
        <w:t xml:space="preserve"> to highlight the</w:t>
      </w:r>
      <w:r w:rsidRPr="009A44FC">
        <w:rPr>
          <w:rFonts w:ascii="Times New Roman" w:hAnsi="Times New Roman" w:cs="Times New Roman"/>
        </w:rPr>
        <w:t xml:space="preserve"> difficulty of evaluating power/phenotypic relevance of enrichment methods and </w:t>
      </w:r>
      <w:r w:rsidR="005F7CF8">
        <w:rPr>
          <w:rFonts w:ascii="Times New Roman" w:hAnsi="Times New Roman" w:cs="Times New Roman"/>
        </w:rPr>
        <w:t xml:space="preserve">to </w:t>
      </w:r>
      <w:r w:rsidR="00E81C41">
        <w:rPr>
          <w:rFonts w:ascii="Times New Roman" w:hAnsi="Times New Roman" w:cs="Times New Roman"/>
        </w:rPr>
        <w:t xml:space="preserve">clarify </w:t>
      </w:r>
      <w:r w:rsidR="00E81C41" w:rsidRPr="009A44FC">
        <w:rPr>
          <w:rFonts w:ascii="Times New Roman" w:hAnsi="Times New Roman" w:cs="Times New Roman"/>
        </w:rPr>
        <w:t>how</w:t>
      </w:r>
      <w:r w:rsidRPr="009A44FC">
        <w:rPr>
          <w:rFonts w:ascii="Times New Roman" w:hAnsi="Times New Roman" w:cs="Times New Roman"/>
        </w:rPr>
        <w:t xml:space="preserve"> our evaluation data set can </w:t>
      </w:r>
      <w:r w:rsidR="005F7CF8">
        <w:rPr>
          <w:rFonts w:ascii="Times New Roman" w:hAnsi="Times New Roman" w:cs="Times New Roman"/>
        </w:rPr>
        <w:t>address</w:t>
      </w:r>
      <w:r w:rsidRPr="009A44FC">
        <w:rPr>
          <w:rFonts w:ascii="Times New Roman" w:hAnsi="Times New Roman" w:cs="Times New Roman"/>
        </w:rPr>
        <w:t xml:space="preserve"> those goals. </w:t>
      </w:r>
    </w:p>
    <w:p w14:paraId="11F3A9F7" w14:textId="77777777" w:rsidR="00522EA1" w:rsidRPr="009A44FC" w:rsidRDefault="00522EA1" w:rsidP="00522EA1">
      <w:pPr>
        <w:pStyle w:val="PlainText"/>
        <w:spacing w:line="300" w:lineRule="exact"/>
        <w:rPr>
          <w:rFonts w:ascii="Times New Roman" w:hAnsi="Times New Roman" w:cs="Times New Roman"/>
        </w:rPr>
      </w:pPr>
    </w:p>
    <w:p w14:paraId="6493EE42" w14:textId="238E5874" w:rsidR="00522EA1" w:rsidRPr="009A44FC" w:rsidRDefault="005F7CF8" w:rsidP="00522EA1">
      <w:pPr>
        <w:pStyle w:val="PlainText"/>
        <w:spacing w:line="300" w:lineRule="exact"/>
        <w:rPr>
          <w:rFonts w:ascii="Times New Roman" w:hAnsi="Times New Roman" w:cs="Times New Roman"/>
        </w:rPr>
      </w:pPr>
      <w:r>
        <w:rPr>
          <w:rFonts w:ascii="Times New Roman" w:hAnsi="Times New Roman" w:cs="Times New Roman"/>
        </w:rPr>
        <w:t>We believe t</w:t>
      </w:r>
      <w:r w:rsidR="00001DB3" w:rsidRPr="009A44FC">
        <w:rPr>
          <w:rFonts w:ascii="Times New Roman" w:hAnsi="Times New Roman" w:cs="Times New Roman"/>
        </w:rPr>
        <w:t xml:space="preserve">hese changes </w:t>
      </w:r>
      <w:r>
        <w:rPr>
          <w:rFonts w:ascii="Times New Roman" w:hAnsi="Times New Roman" w:cs="Times New Roman"/>
        </w:rPr>
        <w:t>in response to reviewer comments have made</w:t>
      </w:r>
      <w:r w:rsidR="00001DB3" w:rsidRPr="009A44FC">
        <w:rPr>
          <w:rFonts w:ascii="Times New Roman" w:hAnsi="Times New Roman" w:cs="Times New Roman"/>
        </w:rPr>
        <w:t xml:space="preserve"> the manuscript more focused and </w:t>
      </w:r>
      <w:r>
        <w:rPr>
          <w:rFonts w:ascii="Times New Roman" w:hAnsi="Times New Roman" w:cs="Times New Roman"/>
        </w:rPr>
        <w:t xml:space="preserve">better </w:t>
      </w:r>
      <w:r w:rsidR="00001DB3" w:rsidRPr="009A44FC">
        <w:rPr>
          <w:rFonts w:ascii="Times New Roman" w:hAnsi="Times New Roman" w:cs="Times New Roman"/>
        </w:rPr>
        <w:t xml:space="preserve">aligned with previous benchmarking </w:t>
      </w:r>
      <w:r>
        <w:rPr>
          <w:rFonts w:ascii="Times New Roman" w:hAnsi="Times New Roman" w:cs="Times New Roman"/>
        </w:rPr>
        <w:t>standards</w:t>
      </w:r>
      <w:r w:rsidR="00001DB3" w:rsidRPr="009A44FC">
        <w:rPr>
          <w:rFonts w:ascii="Times New Roman" w:hAnsi="Times New Roman" w:cs="Times New Roman"/>
        </w:rPr>
        <w:t>, while additionally provid</w:t>
      </w:r>
      <w:r>
        <w:rPr>
          <w:rFonts w:ascii="Times New Roman" w:hAnsi="Times New Roman" w:cs="Times New Roman"/>
        </w:rPr>
        <w:t xml:space="preserve">ing </w:t>
      </w:r>
      <w:r w:rsidR="00001DB3" w:rsidRPr="009A44FC">
        <w:rPr>
          <w:rFonts w:ascii="Times New Roman" w:hAnsi="Times New Roman" w:cs="Times New Roman"/>
        </w:rPr>
        <w:t xml:space="preserve">the needed clarity and precision of language around complex statistical terminology. </w:t>
      </w:r>
      <w:r>
        <w:rPr>
          <w:rFonts w:ascii="Times New Roman" w:hAnsi="Times New Roman" w:cs="Times New Roman"/>
        </w:rPr>
        <w:t>Our revisions also</w:t>
      </w:r>
      <w:r w:rsidR="00001DB3" w:rsidRPr="009A44FC">
        <w:rPr>
          <w:rFonts w:ascii="Times New Roman" w:hAnsi="Times New Roman" w:cs="Times New Roman"/>
        </w:rPr>
        <w:t xml:space="preserve"> highlight the </w:t>
      </w:r>
      <w:r w:rsidR="002A534F">
        <w:rPr>
          <w:rFonts w:ascii="Times New Roman" w:hAnsi="Times New Roman" w:cs="Times New Roman"/>
        </w:rPr>
        <w:t xml:space="preserve">main </w:t>
      </w:r>
      <w:r w:rsidR="00001DB3" w:rsidRPr="009A44FC">
        <w:rPr>
          <w:rFonts w:ascii="Times New Roman" w:hAnsi="Times New Roman" w:cs="Times New Roman"/>
        </w:rPr>
        <w:t xml:space="preserve">contribution of the manuscript which is fundamentally a single sample set enrichment analysis approach (in the same vein as </w:t>
      </w:r>
      <w:proofErr w:type="spellStart"/>
      <w:r w:rsidR="00001DB3" w:rsidRPr="009A44FC">
        <w:rPr>
          <w:rFonts w:ascii="Times New Roman" w:hAnsi="Times New Roman" w:cs="Times New Roman"/>
        </w:rPr>
        <w:t>ssGSEA</w:t>
      </w:r>
      <w:proofErr w:type="spellEnd"/>
      <w:r w:rsidR="00141495" w:rsidRPr="009A44FC">
        <w:rPr>
          <w:rFonts w:ascii="Times New Roman" w:hAnsi="Times New Roman" w:cs="Times New Roman"/>
        </w:rPr>
        <w:t>)</w:t>
      </w:r>
      <w:r w:rsidR="00145EA4" w:rsidRPr="009A44FC">
        <w:rPr>
          <w:rFonts w:ascii="Times New Roman" w:hAnsi="Times New Roman" w:cs="Times New Roman"/>
        </w:rPr>
        <w:t xml:space="preserve">. </w:t>
      </w:r>
    </w:p>
    <w:p w14:paraId="1712FFAA" w14:textId="77777777" w:rsidR="00522EA1" w:rsidRPr="009A44FC" w:rsidRDefault="00522EA1" w:rsidP="00522EA1">
      <w:pPr>
        <w:pStyle w:val="PlainText"/>
        <w:spacing w:line="300" w:lineRule="exact"/>
        <w:rPr>
          <w:rFonts w:ascii="Times New Roman" w:hAnsi="Times New Roman" w:cs="Times New Roman"/>
        </w:rPr>
      </w:pPr>
    </w:p>
    <w:p w14:paraId="409196DE" w14:textId="3A73F7A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6779F6A4" w14:textId="5A952AFC" w:rsidR="00BB7799" w:rsidRPr="009A44FC" w:rsidRDefault="00BB7799" w:rsidP="002270CE">
      <w:pPr>
        <w:spacing w:after="120"/>
        <w:rPr>
          <w:rFonts w:ascii="Times New Roman" w:hAnsi="Times New Roman" w:cs="Times New Roman"/>
          <w:b/>
          <w:bCs/>
          <w:color w:val="FF0000"/>
          <w:sz w:val="22"/>
          <w:szCs w:val="22"/>
          <w:u w:val="single"/>
        </w:rPr>
      </w:pPr>
      <w:r w:rsidRPr="009A44FC">
        <w:rPr>
          <w:rFonts w:ascii="Times New Roman" w:hAnsi="Times New Roman" w:cs="Times New Roman"/>
          <w:color w:val="FF0000"/>
          <w:sz w:val="22"/>
          <w:szCs w:val="22"/>
          <w:u w:val="single"/>
        </w:rPr>
        <w:t>Summary</w:t>
      </w:r>
    </w:p>
    <w:p w14:paraId="639CC90C" w14:textId="74D39BD2"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 this manuscript Nguyen et al propose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9A44FC">
        <w:rPr>
          <w:rFonts w:ascii="Times New Roman" w:hAnsi="Times New Roman" w:cs="Times New Roman"/>
          <w:color w:val="FF0000"/>
          <w:sz w:val="22"/>
          <w:szCs w:val="22"/>
        </w:rPr>
        <w:t>Overall,</w:t>
      </w:r>
      <w:r w:rsidRPr="009A44FC">
        <w:rPr>
          <w:rFonts w:ascii="Times New Roman" w:hAnsi="Times New Roman" w:cs="Times New Roman"/>
          <w:color w:val="FF0000"/>
          <w:sz w:val="22"/>
          <w:szCs w:val="22"/>
        </w:rPr>
        <w:t xml:space="preserve"> it’s a nice idea and is </w:t>
      </w:r>
      <w:proofErr w:type="gramStart"/>
      <w:r w:rsidRPr="009A44FC">
        <w:rPr>
          <w:rFonts w:ascii="Times New Roman" w:hAnsi="Times New Roman" w:cs="Times New Roman"/>
          <w:color w:val="FF0000"/>
          <w:sz w:val="22"/>
          <w:szCs w:val="22"/>
        </w:rPr>
        <w:t>fairly well</w:t>
      </w:r>
      <w:proofErr w:type="gramEnd"/>
      <w:r w:rsidRPr="009A44FC">
        <w:rPr>
          <w:rFonts w:ascii="Times New Roman" w:hAnsi="Times New Roman" w:cs="Times New Roman"/>
          <w:color w:val="FF0000"/>
          <w:sz w:val="22"/>
          <w:szCs w:val="22"/>
        </w:rPr>
        <w:t xml:space="preserve"> executed. The statistical analysis is largely </w:t>
      </w:r>
      <w:r w:rsidR="001614D1" w:rsidRPr="009A44FC">
        <w:rPr>
          <w:rFonts w:ascii="Times New Roman" w:hAnsi="Times New Roman" w:cs="Times New Roman"/>
          <w:color w:val="FF0000"/>
          <w:sz w:val="22"/>
          <w:szCs w:val="22"/>
        </w:rPr>
        <w:t>appropriate,</w:t>
      </w:r>
      <w:r w:rsidRPr="009A44FC">
        <w:rPr>
          <w:rFonts w:ascii="Times New Roman" w:hAnsi="Times New Roman" w:cs="Times New Roman"/>
          <w:color w:val="FF0000"/>
          <w:sz w:val="22"/>
          <w:szCs w:val="22"/>
        </w:rPr>
        <w:t xml:space="preserve"> and it could be a nice contribution. My largest</w:t>
      </w:r>
      <w:r w:rsidR="00D75904"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comments relate to the lack of precision in the authors' writing, the extent of the authors claims, and the authors handling of zeros and count variation.</w:t>
      </w:r>
    </w:p>
    <w:p w14:paraId="750DB103" w14:textId="4DDDBD83"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greatly appreciate </w:t>
      </w:r>
      <w:r w:rsidR="004875BF">
        <w:rPr>
          <w:rFonts w:ascii="Times New Roman" w:hAnsi="Times New Roman" w:cs="Times New Roman"/>
          <w:color w:val="000000" w:themeColor="text1"/>
          <w:sz w:val="22"/>
          <w:szCs w:val="22"/>
        </w:rPr>
        <w:t xml:space="preserve">the </w:t>
      </w:r>
      <w:r w:rsidRPr="009A44FC">
        <w:rPr>
          <w:rFonts w:ascii="Times New Roman" w:hAnsi="Times New Roman" w:cs="Times New Roman"/>
          <w:color w:val="000000" w:themeColor="text1"/>
          <w:sz w:val="22"/>
          <w:szCs w:val="22"/>
        </w:rPr>
        <w:t>reviewer</w:t>
      </w:r>
      <w:r w:rsidR="004875BF">
        <w:rPr>
          <w:rFonts w:ascii="Times New Roman" w:hAnsi="Times New Roman" w:cs="Times New Roman"/>
          <w:color w:val="000000" w:themeColor="text1"/>
          <w:sz w:val="22"/>
          <w:szCs w:val="22"/>
        </w:rPr>
        <w:t>’s</w:t>
      </w:r>
      <w:r w:rsidRPr="009A44FC">
        <w:rPr>
          <w:rFonts w:ascii="Times New Roman" w:hAnsi="Times New Roman" w:cs="Times New Roman"/>
          <w:color w:val="000000" w:themeColor="text1"/>
          <w:sz w:val="22"/>
          <w:szCs w:val="22"/>
        </w:rPr>
        <w:t xml:space="preserve">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w:t>
      </w:r>
      <w:r w:rsidR="004875BF">
        <w:rPr>
          <w:rFonts w:ascii="Times New Roman" w:hAnsi="Times New Roman" w:cs="Times New Roman"/>
          <w:color w:val="000000" w:themeColor="text1"/>
          <w:sz w:val="22"/>
          <w:szCs w:val="22"/>
        </w:rPr>
        <w:t xml:space="preserve"> clarify</w:t>
      </w:r>
      <w:r w:rsidR="008E7103">
        <w:rPr>
          <w:rFonts w:ascii="Times New Roman" w:hAnsi="Times New Roman" w:cs="Times New Roman"/>
          <w:color w:val="000000" w:themeColor="text1"/>
          <w:sz w:val="22"/>
          <w:szCs w:val="22"/>
        </w:rPr>
        <w:t xml:space="preserve"> the concepts we are advancing </w:t>
      </w:r>
      <w:r w:rsidR="004875BF">
        <w:rPr>
          <w:rFonts w:ascii="Times New Roman" w:hAnsi="Times New Roman" w:cs="Times New Roman"/>
          <w:color w:val="000000" w:themeColor="text1"/>
          <w:sz w:val="22"/>
          <w:szCs w:val="22"/>
        </w:rPr>
        <w:t xml:space="preserve">and provide </w:t>
      </w:r>
      <w:r w:rsidR="008E7103">
        <w:rPr>
          <w:rFonts w:ascii="Times New Roman" w:hAnsi="Times New Roman" w:cs="Times New Roman"/>
          <w:color w:val="000000" w:themeColor="text1"/>
          <w:sz w:val="22"/>
          <w:szCs w:val="22"/>
        </w:rPr>
        <w:t xml:space="preserve">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1B567DE4" w14:textId="46CCEB1A" w:rsidR="00BB7799" w:rsidRPr="009A44FC" w:rsidRDefault="00BB7799" w:rsidP="002270CE">
      <w:pPr>
        <w:spacing w:after="120"/>
        <w:rPr>
          <w:rFonts w:ascii="Times New Roman" w:hAnsi="Times New Roman" w:cs="Times New Roman"/>
          <w:color w:val="FF0000"/>
          <w:sz w:val="22"/>
          <w:szCs w:val="22"/>
          <w:u w:val="single"/>
        </w:rPr>
      </w:pPr>
      <w:r w:rsidRPr="009A44FC">
        <w:rPr>
          <w:rFonts w:ascii="Times New Roman" w:hAnsi="Times New Roman" w:cs="Times New Roman"/>
          <w:color w:val="FF0000"/>
          <w:sz w:val="22"/>
          <w:szCs w:val="22"/>
          <w:u w:val="single"/>
        </w:rPr>
        <w:t>Detailed Comments</w:t>
      </w:r>
    </w:p>
    <w:p w14:paraId="0CBD9710" w14:textId="1F1DEC4D"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Precision of Writing:</w:t>
      </w:r>
    </w:p>
    <w:p w14:paraId="73AE6B8D" w14:textId="429EB20A"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08D6222D" w14:textId="4D2260AC" w:rsidR="00145EA4" w:rsidRPr="009A44FC"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can be confusing, </w:t>
      </w:r>
      <w:r w:rsidR="009053A8" w:rsidRPr="009A44FC">
        <w:rPr>
          <w:rFonts w:ascii="Times New Roman" w:hAnsi="Times New Roman" w:cs="Times New Roman"/>
          <w:color w:val="000000" w:themeColor="text1"/>
          <w:sz w:val="22"/>
          <w:szCs w:val="22"/>
        </w:rPr>
        <w:t xml:space="preserve">and we provide some commentary below </w:t>
      </w:r>
      <w:r w:rsidR="00145EA4" w:rsidRPr="009A44FC">
        <w:rPr>
          <w:rFonts w:ascii="Times New Roman" w:hAnsi="Times New Roman" w:cs="Times New Roman"/>
          <w:color w:val="000000" w:themeColor="text1"/>
          <w:sz w:val="22"/>
          <w:szCs w:val="22"/>
        </w:rPr>
        <w:t xml:space="preserve">with regards to our thought process on framing the issue around compositional data. </w:t>
      </w:r>
      <w:r w:rsidR="00CE1A6B" w:rsidRPr="009A44FC">
        <w:rPr>
          <w:rFonts w:ascii="Times New Roman" w:hAnsi="Times New Roman" w:cs="Times New Roman"/>
          <w:color w:val="000000" w:themeColor="text1"/>
          <w:sz w:val="22"/>
          <w:szCs w:val="22"/>
        </w:rPr>
        <w:t xml:space="preserve">This is also a response to the comment from the reviewer below with regards to the statement about the constraints of the sequencing instrument making sequencing data compositional. </w:t>
      </w:r>
    </w:p>
    <w:p w14:paraId="063D7C54" w14:textId="5F3A1B87" w:rsidR="00083A74" w:rsidRPr="009A44FC" w:rsidRDefault="00083A74" w:rsidP="00083A74">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141495" w:rsidRPr="009A44FC">
        <w:rPr>
          <w:rFonts w:ascii="Times New Roman" w:hAnsi="Times New Roman" w:cs="Times New Roman"/>
          <w:color w:val="000000" w:themeColor="text1"/>
          <w:sz w:val="22"/>
          <w:szCs w:val="22"/>
        </w:rPr>
        <w:lastRenderedPageBreak/>
        <w:fldChar w:fldCharType="begin"/>
      </w:r>
      <w:r w:rsidR="009A1631">
        <w:rPr>
          <w:rFonts w:ascii="Times New Roman" w:hAnsi="Times New Roman" w:cs="Times New Roman"/>
          <w:color w:val="000000" w:themeColor="text1"/>
          <w:sz w:val="22"/>
          <w:szCs w:val="22"/>
        </w:rPr>
        <w:instrText xml:space="preserve"> ADDIN ZOTERO_ITEM CSL_CITATION {"citationID":"IfcgHSlE","properties":{"formattedCitation":"[2]","plainCitation":"[2]","noteIndex":0},"citationItems":[{"id":567,"uris":["http://zotero.org/users/4849999/items/793FEQPC"],"uri":["http://zotero.org/users/4849999/items/793FEQPC"],"itemData":{"id":567,"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141495"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[2]</w:t>
      </w:r>
      <w:r w:rsidR="00141495"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wpRPlzWQ","properties":{"formattedCitation":"[3,4]","plainCitation":"[3,4]","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J."}],"accessed":{"date-parts":[["2018",12,4]]},"issued":{"date-parts":[["2017"]]}}},{"id":1855,"uris":["http://zotero.org/users/4849999/items/46TX6ZUD"],"uri":["http://zotero.org/users/4849999/items/46TX6ZUD"],"itemData":{"id":1855,"type":"article-journal","abstract":"Although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[3,4]</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8fY3vLfL","properties":{"formattedCitation":"[5]","plainCitation":"[5]","noteIndex":0},"citationItems":[{"id":151,"uris":["http://zotero.org/users/4849999/items/KEVYP497"],"uri":["http://zotero.org/users/4849999/items/KEVYP497"],"itemData":{"id":151,"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[5]</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using existing methods in the gene expression literature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sRD0MwyB","properties":{"formattedCitation":"[6]","plainCitation":"[6]","noteIndex":0},"citationItems":[{"id":587,"uris":["http://zotero.org/users/4849999/items/KM654JUI"],"uri":["http://zotero.org/users/4849999/items/KM654JUI"],"itemData":{"id":587,"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[6]</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9A44FC">
        <w:rPr>
          <w:rFonts w:ascii="Times New Roman" w:hAnsi="Times New Roman" w:cs="Times New Roman"/>
          <w:i/>
          <w:iCs/>
          <w:color w:val="000000" w:themeColor="text1"/>
          <w:sz w:val="22"/>
          <w:szCs w:val="22"/>
        </w:rPr>
        <w:t>estimateSizeFactors</w:t>
      </w:r>
      <w:proofErr w:type="spellEnd"/>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 xml:space="preserve">Other studies have also empirically compared different normalization methods, where transformation to proportion is usually the best choice </w:t>
      </w:r>
      <w:r w:rsidR="00846427"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dGiUGrlW","properties":{"formattedCitation":"[7]","plainCitation":"[7]","noteIndex":0},"citationItems":[{"id":589,"uris":["http://zotero.org/users/4849999/items/KKDG4TCX"],"uri":["http://zotero.org/users/4849999/items/KKDG4TCX"],"itemData":{"id":589,"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846427"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[7]</w:t>
      </w:r>
      <w:r w:rsidR="00846427"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xml:space="preserve">. As such, we mistakenly use the term “strictly compositional” to refer to the fact that microbiome sequencing data, unlike other sequencing data sets, generally </w:t>
      </w:r>
      <w:r w:rsidR="005B7C6B" w:rsidRPr="009A44FC">
        <w:rPr>
          <w:rFonts w:ascii="Times New Roman" w:hAnsi="Times New Roman" w:cs="Times New Roman"/>
          <w:color w:val="000000" w:themeColor="text1"/>
          <w:sz w:val="22"/>
          <w:szCs w:val="22"/>
        </w:rPr>
        <w:t>prefers a transformation to proportions prior to analysis</w:t>
      </w:r>
      <w:r w:rsidR="00846427" w:rsidRPr="009A44FC">
        <w:rPr>
          <w:rFonts w:ascii="Times New Roman" w:hAnsi="Times New Roman" w:cs="Times New Roman"/>
          <w:color w:val="000000" w:themeColor="text1"/>
          <w:sz w:val="22"/>
          <w:szCs w:val="22"/>
        </w:rPr>
        <w:t xml:space="preserve">. </w:t>
      </w:r>
    </w:p>
    <w:p w14:paraId="3CB79454" w14:textId="34DCBA3D" w:rsidR="005B7C6B" w:rsidRPr="009A44FC" w:rsidRDefault="00846427" w:rsidP="005B7C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the case where researchers transform count data into proportions, then the data becomes composition as a sum constraint has been imposed. </w:t>
      </w:r>
      <w:r w:rsidR="004971E1">
        <w:rPr>
          <w:rFonts w:ascii="Times New Roman" w:hAnsi="Times New Roman" w:cs="Times New Roman"/>
          <w:color w:val="000000" w:themeColor="text1"/>
          <w:sz w:val="22"/>
          <w:szCs w:val="22"/>
        </w:rPr>
        <w:t xml:space="preserve">Even though there are zeroes in the composition which does not fit Aitchison’s definition, the imposed sum to one constraint still induces spurious negative correlation between the variables, where </w:t>
      </w:r>
      <w:r w:rsidRPr="009A44FC">
        <w:rPr>
          <w:rFonts w:ascii="Times New Roman" w:hAnsi="Times New Roman" w:cs="Times New Roman"/>
          <w:color w:val="000000" w:themeColor="text1"/>
          <w:sz w:val="22"/>
          <w:szCs w:val="22"/>
        </w:rPr>
        <w:t>log-ratio based methods are well motivated as solutions</w:t>
      </w:r>
      <w:r w:rsidR="003463C6" w:rsidRPr="009A44FC">
        <w:rPr>
          <w:rFonts w:ascii="Times New Roman" w:hAnsi="Times New Roman" w:cs="Times New Roman"/>
          <w:color w:val="000000" w:themeColor="text1"/>
          <w:sz w:val="22"/>
          <w:szCs w:val="22"/>
        </w:rPr>
        <w:t xml:space="preserve"> </w:t>
      </w:r>
      <w:r w:rsidR="003463C6"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fL9Li2d1","properties":{"formattedCitation":"[3]","plainCitation":"[3]","noteIndex":0},"citationItems":[{"id":372,"uris":["http://zotero.org/users/4849999/items/NTPQC378"],"uri":["http://zotero.org/users/4849999/items/NTPQC378"],"itemData":{"id":372,"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3463C6"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[3]</w:t>
      </w:r>
      <w:r w:rsidR="003463C6"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4971E1" w:rsidRPr="009A44FC">
        <w:rPr>
          <w:rFonts w:ascii="Times New Roman" w:hAnsi="Times New Roman" w:cs="Times New Roman"/>
          <w:color w:val="000000" w:themeColor="text1"/>
          <w:sz w:val="22"/>
          <w:szCs w:val="22"/>
        </w:rPr>
        <w:t>Our approach</w:t>
      </w:r>
      <w:r w:rsidRPr="009A44FC">
        <w:rPr>
          <w:rFonts w:ascii="Times New Roman" w:hAnsi="Times New Roman" w:cs="Times New Roman"/>
          <w:color w:val="000000" w:themeColor="text1"/>
          <w:sz w:val="22"/>
          <w:szCs w:val="22"/>
        </w:rPr>
        <w:t xml:space="preserve"> </w:t>
      </w:r>
      <w:r w:rsidR="004971E1">
        <w:rPr>
          <w:rFonts w:ascii="Times New Roman" w:hAnsi="Times New Roman" w:cs="Times New Roman"/>
          <w:color w:val="000000" w:themeColor="text1"/>
          <w:sz w:val="22"/>
          <w:szCs w:val="22"/>
        </w:rPr>
        <w:t xml:space="preserve">is conceptually a log-ratio based method for aggregating compositional variables. This concept is not novel as it has been advanced prior by the original authors of the ILR transformation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vs6beO4F","properties":{"formattedCitation":"[8]","plainCitation":"[8]","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[8]</w:t>
      </w:r>
      <w:r w:rsidRPr="009A44FC">
        <w:rPr>
          <w:rFonts w:ascii="Times New Roman" w:hAnsi="Times New Roman" w:cs="Times New Roman"/>
          <w:color w:val="000000" w:themeColor="text1"/>
          <w:sz w:val="22"/>
          <w:szCs w:val="22"/>
        </w:rPr>
        <w:fldChar w:fldCharType="end"/>
      </w:r>
      <w:r w:rsidR="004971E1">
        <w:rPr>
          <w:rFonts w:ascii="Times New Roman" w:hAnsi="Times New Roman" w:cs="Times New Roman"/>
          <w:color w:val="000000" w:themeColor="text1"/>
          <w:sz w:val="22"/>
          <w:szCs w:val="22"/>
        </w:rPr>
        <w:t xml:space="preserve">, where it was termed as balances between groups of parts. Our contribution is towards specifying the “groups” that has a specific interpretation </w:t>
      </w:r>
      <w:proofErr w:type="gramStart"/>
      <w:r w:rsidR="004971E1">
        <w:rPr>
          <w:rFonts w:ascii="Times New Roman" w:hAnsi="Times New Roman" w:cs="Times New Roman"/>
          <w:color w:val="000000" w:themeColor="text1"/>
          <w:sz w:val="22"/>
          <w:szCs w:val="22"/>
        </w:rPr>
        <w:t>similar to</w:t>
      </w:r>
      <w:proofErr w:type="gramEnd"/>
      <w:r w:rsidR="004971E1">
        <w:rPr>
          <w:rFonts w:ascii="Times New Roman" w:hAnsi="Times New Roman" w:cs="Times New Roman"/>
          <w:color w:val="000000" w:themeColor="text1"/>
          <w:sz w:val="22"/>
          <w:szCs w:val="22"/>
        </w:rPr>
        <w:t xml:space="preserve"> that of the competitive null hypothesis in the gene set testing literature. </w:t>
      </w:r>
      <w:r w:rsidR="005B7C6B" w:rsidRPr="009A44FC">
        <w:rPr>
          <w:rFonts w:ascii="Times New Roman" w:hAnsi="Times New Roman" w:cs="Times New Roman"/>
          <w:color w:val="000000" w:themeColor="text1"/>
          <w:sz w:val="22"/>
          <w:szCs w:val="22"/>
        </w:rPr>
        <w:t xml:space="preserve"> </w:t>
      </w:r>
    </w:p>
    <w:p w14:paraId="650A540A" w14:textId="2227A923" w:rsidR="00846427" w:rsidRPr="009A44FC" w:rsidRDefault="004971E1" w:rsidP="005B7C6B">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hope that the discussion above has </w:t>
      </w:r>
      <w:r w:rsidR="004875BF">
        <w:rPr>
          <w:rFonts w:ascii="Times New Roman" w:hAnsi="Times New Roman" w:cs="Times New Roman"/>
          <w:color w:val="000000" w:themeColor="text1"/>
          <w:sz w:val="22"/>
          <w:szCs w:val="22"/>
        </w:rPr>
        <w:t>clarified</w:t>
      </w:r>
      <w:r>
        <w:rPr>
          <w:rFonts w:ascii="Times New Roman" w:hAnsi="Times New Roman" w:cs="Times New Roman"/>
          <w:color w:val="000000" w:themeColor="text1"/>
          <w:sz w:val="22"/>
          <w:szCs w:val="22"/>
        </w:rPr>
        <w:t xml:space="preserve"> the statistical motivations of our approach. We have </w:t>
      </w:r>
      <w:r w:rsidR="001F512E">
        <w:rPr>
          <w:rFonts w:ascii="Times New Roman" w:hAnsi="Times New Roman" w:cs="Times New Roman"/>
          <w:color w:val="000000" w:themeColor="text1"/>
          <w:sz w:val="22"/>
          <w:szCs w:val="22"/>
        </w:rPr>
        <w:t>restructured</w:t>
      </w:r>
      <w:r>
        <w:rPr>
          <w:rFonts w:ascii="Times New Roman" w:hAnsi="Times New Roman" w:cs="Times New Roman"/>
          <w:color w:val="000000" w:themeColor="text1"/>
          <w:sz w:val="22"/>
          <w:szCs w:val="22"/>
        </w:rPr>
        <w:t xml:space="preserve"> the introduction section of the manuscript to reflect this and have amended certain </w:t>
      </w:r>
      <w:r w:rsidR="004875BF">
        <w:rPr>
          <w:rFonts w:ascii="Times New Roman" w:hAnsi="Times New Roman" w:cs="Times New Roman"/>
          <w:color w:val="000000" w:themeColor="text1"/>
          <w:sz w:val="22"/>
          <w:szCs w:val="22"/>
        </w:rPr>
        <w:t xml:space="preserve">potentially confusing </w:t>
      </w:r>
      <w:r>
        <w:rPr>
          <w:rFonts w:ascii="Times New Roman" w:hAnsi="Times New Roman" w:cs="Times New Roman"/>
          <w:color w:val="000000" w:themeColor="text1"/>
          <w:sz w:val="22"/>
          <w:szCs w:val="22"/>
        </w:rPr>
        <w:t xml:space="preserve">terms such as “strictly compositional” </w:t>
      </w:r>
      <w:r w:rsidR="005B7C6B" w:rsidRPr="009A44FC">
        <w:rPr>
          <w:rFonts w:ascii="Times New Roman" w:hAnsi="Times New Roman" w:cs="Times New Roman"/>
          <w:color w:val="000000" w:themeColor="text1"/>
          <w:sz w:val="22"/>
          <w:szCs w:val="22"/>
        </w:rPr>
        <w:t xml:space="preserve">(lines X-Y).  </w:t>
      </w:r>
      <w:r w:rsidR="00846427" w:rsidRPr="009A44FC">
        <w:rPr>
          <w:rFonts w:ascii="Times New Roman" w:hAnsi="Times New Roman" w:cs="Times New Roman"/>
          <w:color w:val="000000" w:themeColor="text1"/>
          <w:sz w:val="22"/>
          <w:szCs w:val="22"/>
        </w:rPr>
        <w:t xml:space="preserve">   </w:t>
      </w:r>
    </w:p>
    <w:p w14:paraId="676EAF83" w14:textId="0A1BEDBC"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which takes a similar approach (in </w:t>
      </w:r>
      <w:proofErr w:type="spellStart"/>
      <w:r w:rsidRPr="00617D77">
        <w:rPr>
          <w:rFonts w:ascii="Times New Roman" w:hAnsi="Times New Roman" w:cs="Times New Roman"/>
          <w:color w:val="FF0000"/>
          <w:sz w:val="22"/>
          <w:szCs w:val="22"/>
        </w:rPr>
        <w:t>phylofactor</w:t>
      </w:r>
      <w:proofErr w:type="spellEnd"/>
      <w:r w:rsidRPr="00617D77">
        <w:rPr>
          <w:rFonts w:ascii="Times New Roman" w:hAnsi="Times New Roman" w:cs="Times New Roman"/>
          <w:color w:val="FF0000"/>
          <w:sz w:val="22"/>
          <w:szCs w:val="22"/>
        </w:rPr>
        <w:t xml:space="preserve"> set membership is dictated by the topology of the tree).</w:t>
      </w:r>
    </w:p>
    <w:p w14:paraId="586FBC62" w14:textId="2EE5831A"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w:t>
      </w:r>
      <w:proofErr w:type="spellStart"/>
      <w:r w:rsidR="00A61BA0" w:rsidRPr="009A44FC">
        <w:rPr>
          <w:rFonts w:ascii="Times New Roman" w:hAnsi="Times New Roman" w:cs="Times New Roman"/>
          <w:color w:val="000000" w:themeColor="text1"/>
          <w:sz w:val="22"/>
          <w:szCs w:val="22"/>
        </w:rPr>
        <w:t>PhILR</w:t>
      </w:r>
      <w:proofErr w:type="spellEnd"/>
      <w:r w:rsidR="00A61BA0" w:rsidRPr="009A44FC">
        <w:rPr>
          <w:rFonts w:ascii="Times New Roman" w:hAnsi="Times New Roman" w:cs="Times New Roman"/>
          <w:color w:val="000000" w:themeColor="text1"/>
          <w:sz w:val="22"/>
          <w:szCs w:val="22"/>
        </w:rPr>
        <w:t xml:space="preserve"> </w:t>
      </w:r>
      <w:r w:rsidR="00A61BA0"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RhwQehGy","properties":{"formattedCitation":"[9]","plainCitation":"[9]","noteIndex":0},"citationItems":[{"id":588,"uris":["http://zotero.org/users/4849999/items/RUTVKDMS"],"uri":["http://zotero.org/users/4849999/items/RUTVKDMS"],"itemData":{"id":588,"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[9]</w:t>
      </w:r>
      <w:r w:rsidR="00A61BA0"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and was</w:t>
      </w:r>
      <w:r w:rsidR="004875BF">
        <w:rPr>
          <w:rFonts w:ascii="Times New Roman" w:hAnsi="Times New Roman" w:cs="Times New Roman"/>
          <w:color w:val="000000" w:themeColor="text1"/>
          <w:sz w:val="22"/>
          <w:szCs w:val="22"/>
        </w:rPr>
        <w:t xml:space="preserve"> therefore</w:t>
      </w:r>
      <w:r w:rsidR="00890711" w:rsidRPr="009A44FC">
        <w:rPr>
          <w:rFonts w:ascii="Times New Roman" w:hAnsi="Times New Roman" w:cs="Times New Roman"/>
          <w:color w:val="000000" w:themeColor="text1"/>
          <w:sz w:val="22"/>
          <w:szCs w:val="22"/>
        </w:rPr>
        <w:t xml:space="preserve">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1A7D21"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nQgTks8x","properties":{"formattedCitation":"[8]","plainCitation":"[8]","noteIndex":0},"citationItems":[{"id":535,"uris":["http://zotero.org/users/4849999/items/EFR2VMT4"],"uri":["http://zotero.org/users/4849999/items/EFR2VMT4"],"itemData":{"id":535,"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1A7D21"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[8]</w:t>
      </w:r>
      <w:r w:rsidR="001A7D21"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xml:space="preserve">. As such, our approach will be renamed “Competitive compositional balances for taxonomic enrichment analysis” (CBEA). We hope that this </w:t>
      </w:r>
      <w:r w:rsidR="004875BF">
        <w:rPr>
          <w:rFonts w:ascii="Times New Roman" w:hAnsi="Times New Roman" w:cs="Times New Roman"/>
          <w:color w:val="000000" w:themeColor="text1"/>
          <w:sz w:val="22"/>
          <w:szCs w:val="22"/>
        </w:rPr>
        <w:t xml:space="preserve">new name </w:t>
      </w:r>
      <w:r w:rsidR="001A7D21" w:rsidRPr="009A44FC">
        <w:rPr>
          <w:rFonts w:ascii="Times New Roman" w:hAnsi="Times New Roman" w:cs="Times New Roman"/>
          <w:color w:val="000000" w:themeColor="text1"/>
          <w:sz w:val="22"/>
          <w:szCs w:val="22"/>
        </w:rPr>
        <w:t>more clearly reflects the specific advances our method is proposing.</w:t>
      </w:r>
      <w:r w:rsidR="00B730AD" w:rsidRPr="009A44FC">
        <w:rPr>
          <w:rFonts w:ascii="Times New Roman" w:hAnsi="Times New Roman" w:cs="Times New Roman"/>
          <w:color w:val="000000" w:themeColor="text1"/>
          <w:sz w:val="22"/>
          <w:szCs w:val="22"/>
        </w:rPr>
        <w:t xml:space="preserve"> For the remainder of this response, we</w:t>
      </w:r>
      <w:r w:rsidR="004875BF">
        <w:rPr>
          <w:rFonts w:ascii="Times New Roman" w:hAnsi="Times New Roman" w:cs="Times New Roman"/>
          <w:color w:val="000000" w:themeColor="text1"/>
          <w:sz w:val="22"/>
          <w:szCs w:val="22"/>
        </w:rPr>
        <w:t xml:space="preserve"> will still refer</w:t>
      </w:r>
      <w:r w:rsidR="00B730AD" w:rsidRPr="009A44FC">
        <w:rPr>
          <w:rFonts w:ascii="Times New Roman" w:hAnsi="Times New Roman" w:cs="Times New Roman"/>
          <w:color w:val="000000" w:themeColor="text1"/>
          <w:sz w:val="22"/>
          <w:szCs w:val="22"/>
        </w:rPr>
        <w:t xml:space="preserve"> to the approach as </w:t>
      </w:r>
      <w:proofErr w:type="spellStart"/>
      <w:r w:rsidR="00B730AD" w:rsidRPr="009A44FC">
        <w:rPr>
          <w:rFonts w:ascii="Times New Roman" w:hAnsi="Times New Roman" w:cs="Times New Roman"/>
          <w:color w:val="000000" w:themeColor="text1"/>
          <w:sz w:val="22"/>
          <w:szCs w:val="22"/>
        </w:rPr>
        <w:t>cILR</w:t>
      </w:r>
      <w:proofErr w:type="spellEnd"/>
      <w:r w:rsidR="003463C6" w:rsidRPr="009A44FC">
        <w:rPr>
          <w:rFonts w:ascii="Times New Roman" w:hAnsi="Times New Roman" w:cs="Times New Roman"/>
          <w:color w:val="000000" w:themeColor="text1"/>
          <w:sz w:val="22"/>
          <w:szCs w:val="22"/>
        </w:rPr>
        <w:t xml:space="preserve"> for clarity purposes</w:t>
      </w:r>
      <w:r w:rsidR="004875BF">
        <w:rPr>
          <w:rFonts w:ascii="Times New Roman" w:hAnsi="Times New Roman" w:cs="Times New Roman"/>
          <w:color w:val="000000" w:themeColor="text1"/>
          <w:sz w:val="22"/>
          <w:szCs w:val="22"/>
        </w:rPr>
        <w:t>, though we have changed the naming throughout the manuscript</w:t>
      </w:r>
      <w:r w:rsidR="003463C6" w:rsidRPr="009A44FC">
        <w:rPr>
          <w:rFonts w:ascii="Times New Roman" w:hAnsi="Times New Roman" w:cs="Times New Roman"/>
          <w:color w:val="000000" w:themeColor="text1"/>
          <w:sz w:val="22"/>
          <w:szCs w:val="22"/>
        </w:rPr>
        <w:t xml:space="preserve"> </w:t>
      </w:r>
    </w:p>
    <w:p w14:paraId="30703D86" w14:textId="1DA273B0"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14:paraId="0C0DD85F" w14:textId="284C6D7B" w:rsidR="004875BF" w:rsidRDefault="00890711" w:rsidP="004875B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instead of a</w:t>
      </w:r>
      <w:r w:rsidR="004875BF">
        <w:rPr>
          <w:rFonts w:ascii="Times New Roman" w:hAnsi="Times New Roman" w:cs="Times New Roman"/>
          <w:color w:val="000000" w:themeColor="text1"/>
          <w:sz w:val="22"/>
          <w:szCs w:val="22"/>
        </w:rPr>
        <w:t>s a</w:t>
      </w:r>
      <w:r w:rsidRPr="009A44FC">
        <w:rPr>
          <w:rFonts w:ascii="Times New Roman" w:hAnsi="Times New Roman" w:cs="Times New Roman"/>
          <w:color w:val="000000" w:themeColor="text1"/>
          <w:sz w:val="22"/>
          <w:szCs w:val="22"/>
        </w:rPr>
        <w:t xml:space="preserve"> catch</w:t>
      </w:r>
      <w:r w:rsidR="004875BF">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 xml:space="preserve">characteristic of the data. Since we are </w:t>
      </w:r>
      <w:r w:rsidR="00A61BA0" w:rsidRPr="009A44FC">
        <w:rPr>
          <w:rFonts w:ascii="Times New Roman" w:hAnsi="Times New Roman" w:cs="Times New Roman"/>
          <w:color w:val="000000" w:themeColor="text1"/>
          <w:sz w:val="22"/>
          <w:szCs w:val="22"/>
        </w:rPr>
        <w:lastRenderedPageBreak/>
        <w:t>agnostic to the mechanism behind the</w:t>
      </w:r>
      <w:r w:rsidR="004875BF">
        <w:rPr>
          <w:rFonts w:ascii="Times New Roman" w:hAnsi="Times New Roman" w:cs="Times New Roman"/>
          <w:color w:val="000000" w:themeColor="text1"/>
          <w:sz w:val="22"/>
          <w:szCs w:val="22"/>
        </w:rPr>
        <w:t xml:space="preserve"> process of generating zeroes</w:t>
      </w:r>
      <w:r w:rsidR="00A61BA0" w:rsidRPr="009A44FC">
        <w:rPr>
          <w:rFonts w:ascii="Times New Roman" w:hAnsi="Times New Roman" w:cs="Times New Roman"/>
          <w:color w:val="000000" w:themeColor="text1"/>
          <w:sz w:val="22"/>
          <w:szCs w:val="22"/>
        </w:rPr>
        <w:t>, we have amended the article to use “zero abundant”</w:t>
      </w:r>
      <w:r w:rsidR="00710E0E" w:rsidRPr="009A44FC">
        <w:rPr>
          <w:rFonts w:ascii="Times New Roman" w:hAnsi="Times New Roman" w:cs="Times New Roman"/>
          <w:color w:val="000000" w:themeColor="text1"/>
          <w:sz w:val="22"/>
          <w:szCs w:val="22"/>
        </w:rPr>
        <w:t xml:space="preserve"> or “sparse”</w:t>
      </w:r>
      <w:r w:rsidR="004875BF">
        <w:rPr>
          <w:rFonts w:ascii="Times New Roman" w:hAnsi="Times New Roman" w:cs="Times New Roman"/>
          <w:color w:val="000000" w:themeColor="text1"/>
          <w:sz w:val="22"/>
          <w:szCs w:val="22"/>
        </w:rPr>
        <w:t xml:space="preserve">. </w:t>
      </w:r>
    </w:p>
    <w:p w14:paraId="7A2A6543" w14:textId="4005275F" w:rsidR="00BB7799" w:rsidRPr="00617D77" w:rsidRDefault="00BB7799" w:rsidP="00617D77">
      <w:pPr>
        <w:pStyle w:val="ListParagraph"/>
        <w:numPr>
          <w:ilvl w:val="0"/>
          <w:numId w:val="14"/>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6D4CF66D"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 xml:space="preserve">We have provided a more comprehensive response on the issue of the compositional nature of microbiome data in the above section (response to </w:t>
      </w:r>
      <w:r w:rsidR="00617D77">
        <w:rPr>
          <w:rFonts w:ascii="Times New Roman" w:hAnsi="Times New Roman" w:cs="Times New Roman"/>
          <w:color w:val="000000" w:themeColor="text1"/>
          <w:sz w:val="22"/>
          <w:szCs w:val="22"/>
        </w:rPr>
        <w:t>comment A</w:t>
      </w:r>
      <w:r w:rsidR="00D86DE1" w:rsidRPr="009A44FC">
        <w:rPr>
          <w:rFonts w:ascii="Times New Roman" w:hAnsi="Times New Roman" w:cs="Times New Roman"/>
          <w:color w:val="000000" w:themeColor="text1"/>
          <w:sz w:val="22"/>
          <w:szCs w:val="22"/>
        </w:rPr>
        <w:t>)</w:t>
      </w:r>
      <w:r w:rsidRPr="009A44FC">
        <w:rPr>
          <w:rFonts w:ascii="Times New Roman" w:hAnsi="Times New Roman" w:cs="Times New Roman"/>
          <w:color w:val="000000" w:themeColor="text1"/>
          <w:sz w:val="22"/>
          <w:szCs w:val="22"/>
        </w:rPr>
        <w:t xml:space="preserve">, which we </w:t>
      </w:r>
      <w:r w:rsidR="00617D77">
        <w:rPr>
          <w:rFonts w:ascii="Times New Roman" w:hAnsi="Times New Roman" w:cs="Times New Roman"/>
          <w:color w:val="000000" w:themeColor="text1"/>
          <w:sz w:val="22"/>
          <w:szCs w:val="22"/>
        </w:rPr>
        <w:t xml:space="preserve">believe also addresses </w:t>
      </w:r>
      <w:r w:rsidRPr="009A44FC">
        <w:rPr>
          <w:rFonts w:ascii="Times New Roman" w:hAnsi="Times New Roman" w:cs="Times New Roman"/>
          <w:color w:val="000000" w:themeColor="text1"/>
          <w:sz w:val="22"/>
          <w:szCs w:val="22"/>
        </w:rPr>
        <w:t xml:space="preserve">the issues raised in this comment. </w:t>
      </w:r>
    </w:p>
    <w:p w14:paraId="31F3C6B6" w14:textId="6344C2F7"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GSEA method cited on line 51 is not a random-walk like statistic. I think it may be a </w:t>
      </w:r>
      <w:r w:rsidR="007311CD" w:rsidRPr="009A44FC">
        <w:rPr>
          <w:rFonts w:ascii="Times New Roman" w:hAnsi="Times New Roman" w:cs="Times New Roman"/>
          <w:color w:val="FF0000"/>
          <w:sz w:val="22"/>
          <w:szCs w:val="22"/>
        </w:rPr>
        <w:t>Brownian</w:t>
      </w:r>
      <w:r w:rsidRPr="009A44FC">
        <w:rPr>
          <w:rFonts w:ascii="Times New Roman" w:hAnsi="Times New Roman" w:cs="Times New Roman"/>
          <w:color w:val="FF0000"/>
          <w:sz w:val="22"/>
          <w:szCs w:val="22"/>
        </w:rPr>
        <w:t xml:space="preserve"> bridge but </w:t>
      </w:r>
      <w:proofErr w:type="gramStart"/>
      <w:r w:rsidRPr="009A44FC">
        <w:rPr>
          <w:rFonts w:ascii="Times New Roman" w:hAnsi="Times New Roman" w:cs="Times New Roman"/>
          <w:color w:val="FF0000"/>
          <w:sz w:val="22"/>
          <w:szCs w:val="22"/>
        </w:rPr>
        <w:t>its</w:t>
      </w:r>
      <w:proofErr w:type="gramEnd"/>
      <w:r w:rsidRPr="009A44FC">
        <w:rPr>
          <w:rFonts w:ascii="Times New Roman" w:hAnsi="Times New Roman" w:cs="Times New Roman"/>
          <w:color w:val="FF0000"/>
          <w:sz w:val="22"/>
          <w:szCs w:val="22"/>
        </w:rPr>
        <w:t xml:space="preserve"> constrained to be zero at either end -- not a random walk.</w:t>
      </w:r>
    </w:p>
    <w:p w14:paraId="5FF85818" w14:textId="591F6F20"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 (lines X – Y)</w:t>
      </w:r>
      <w:r w:rsidR="00617D77" w:rsidRPr="009A44FC">
        <w:rPr>
          <w:rFonts w:ascii="Times New Roman" w:hAnsi="Times New Roman" w:cs="Times New Roman"/>
          <w:color w:val="000000" w:themeColor="text1"/>
          <w:sz w:val="22"/>
          <w:szCs w:val="22"/>
        </w:rPr>
        <w:t xml:space="preserve">. </w:t>
      </w:r>
    </w:p>
    <w:p w14:paraId="1F8997AC" w14:textId="7A76D30E" w:rsidR="00BB779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Between lines 73 and 85 the authors do not properly motivate the multiplicative rather than additive amalgamation. They mention the downsides of the "naive summation-based method</w:t>
      </w:r>
      <w:proofErr w:type="gramStart"/>
      <w:r w:rsidRPr="009A44FC">
        <w:rPr>
          <w:rFonts w:ascii="Times New Roman" w:hAnsi="Times New Roman" w:cs="Times New Roman"/>
          <w:color w:val="FF0000"/>
          <w:sz w:val="22"/>
          <w:szCs w:val="22"/>
        </w:rPr>
        <w:t>"</w:t>
      </w:r>
      <w:proofErr w:type="gramEnd"/>
      <w:r w:rsidRPr="009A44FC">
        <w:rPr>
          <w:rFonts w:ascii="Times New Roman" w:hAnsi="Times New Roman" w:cs="Times New Roman"/>
          <w:color w:val="FF0000"/>
          <w:sz w:val="22"/>
          <w:szCs w:val="22"/>
        </w:rPr>
        <w:t xml:space="preserve"> but this is unclear. From later in the </w:t>
      </w:r>
      <w:proofErr w:type="gramStart"/>
      <w:r w:rsidRPr="009A44FC">
        <w:rPr>
          <w:rFonts w:ascii="Times New Roman" w:hAnsi="Times New Roman" w:cs="Times New Roman"/>
          <w:color w:val="FF0000"/>
          <w:sz w:val="22"/>
          <w:szCs w:val="22"/>
        </w:rPr>
        <w:t>manuscript</w:t>
      </w:r>
      <w:proofErr w:type="gramEnd"/>
      <w:r w:rsidRPr="009A44FC">
        <w:rPr>
          <w:rFonts w:ascii="Times New Roman" w:hAnsi="Times New Roman" w:cs="Times New Roman"/>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9A44FC">
        <w:rPr>
          <w:rFonts w:ascii="Times New Roman" w:hAnsi="Times New Roman" w:cs="Times New Roman"/>
          <w:color w:val="FF0000"/>
          <w:sz w:val="22"/>
          <w:szCs w:val="22"/>
        </w:rPr>
        <w:t>its</w:t>
      </w:r>
      <w:proofErr w:type="spellEnd"/>
      <w:r w:rsidRPr="009A44FC">
        <w:rPr>
          <w:rFonts w:ascii="Times New Roman" w:hAnsi="Times New Roman" w:cs="Times New Roman"/>
          <w:color w:val="FF0000"/>
          <w:sz w:val="22"/>
          <w:szCs w:val="22"/>
        </w:rPr>
        <w:t xml:space="preserve"> a modeling choice and it is not "naive".</w:t>
      </w:r>
    </w:p>
    <w:p w14:paraId="3B8BAE75" w14:textId="1A5236A0" w:rsidR="00E546A5" w:rsidRPr="009A44FC" w:rsidRDefault="001A7D21"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reworked the introduction section (lines X – Y) to highlight the differences more clearly between product and sum-based aggregations and provide a robust justification for our approach. </w:t>
      </w:r>
      <w:r w:rsidR="00617D77">
        <w:rPr>
          <w:rFonts w:ascii="Times New Roman" w:hAnsi="Times New Roman" w:cs="Times New Roman"/>
          <w:color w:val="000000" w:themeColor="text1"/>
          <w:sz w:val="22"/>
          <w:szCs w:val="22"/>
        </w:rPr>
        <w:t xml:space="preserve">We have also removed the characterization of sum-based amalgamations as “naïve” as suggested. </w:t>
      </w:r>
    </w:p>
    <w:p w14:paraId="2165E24A" w14:textId="62315677"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mention "adjusting for correlation" multiple times throughout the manuscript yet the motivation is not properly clarified. The best I can guess is that they are saying that they need to modify the </w:t>
      </w:r>
      <w:proofErr w:type="gramStart"/>
      <w:r w:rsidRPr="009A44FC">
        <w:rPr>
          <w:rFonts w:ascii="Times New Roman" w:hAnsi="Times New Roman" w:cs="Times New Roman"/>
          <w:color w:val="FF0000"/>
          <w:sz w:val="22"/>
          <w:szCs w:val="22"/>
        </w:rPr>
        <w:t>null-hypothesis</w:t>
      </w:r>
      <w:proofErr w:type="gramEnd"/>
      <w:r w:rsidRPr="009A44FC">
        <w:rPr>
          <w:rFonts w:ascii="Times New Roman" w:hAnsi="Times New Roman" w:cs="Times New Roman"/>
          <w:color w:val="FF0000"/>
          <w:sz w:val="22"/>
          <w:szCs w:val="22"/>
        </w:rPr>
        <w:t xml:space="preserve"> to account for a trivial case where something looks differential expressed or set enriched when really it’s just due to the correlation structure between taxa. That said, I think there are many potential sources of confusion that the authors should clarify. Couldn't set enrichment be reflected in those correlations? </w:t>
      </w:r>
      <w:proofErr w:type="gramStart"/>
      <w:r w:rsidRPr="009A44FC">
        <w:rPr>
          <w:rFonts w:ascii="Times New Roman" w:hAnsi="Times New Roman" w:cs="Times New Roman"/>
          <w:color w:val="FF0000"/>
          <w:sz w:val="22"/>
          <w:szCs w:val="22"/>
        </w:rPr>
        <w:t>Isn't</w:t>
      </w:r>
      <w:proofErr w:type="gramEnd"/>
      <w:r w:rsidRPr="009A44FC">
        <w:rPr>
          <w:rFonts w:ascii="Times New Roman" w:hAnsi="Times New Roman" w:cs="Times New Roman"/>
          <w:color w:val="FF0000"/>
          <w:sz w:val="22"/>
          <w:szCs w:val="22"/>
        </w:rPr>
        <w:t xml:space="preserve"> the correlations actually a non-trivial part of what the authors are trying to model? In other </w:t>
      </w:r>
      <w:proofErr w:type="gramStart"/>
      <w:r w:rsidRPr="009A44FC">
        <w:rPr>
          <w:rFonts w:ascii="Times New Roman" w:hAnsi="Times New Roman" w:cs="Times New Roman"/>
          <w:color w:val="FF0000"/>
          <w:sz w:val="22"/>
          <w:szCs w:val="22"/>
        </w:rPr>
        <w:t>words</w:t>
      </w:r>
      <w:proofErr w:type="gramEnd"/>
      <w:r w:rsidRPr="009A44FC">
        <w:rPr>
          <w:rFonts w:ascii="Times New Roman" w:hAnsi="Times New Roman" w:cs="Times New Roman"/>
          <w:color w:val="FF0000"/>
          <w:sz w:val="22"/>
          <w:szCs w:val="22"/>
        </w:rPr>
        <w:t xml:space="preserve"> if a set of microbes is highly correlated wouldn't that be a sign that that set is potentially enriched or de-enriched? I don't think I understand this point completely but I think it is likely non-trivial. I would encourage the authors to clarify the role of correlation.</w:t>
      </w:r>
    </w:p>
    <w:p w14:paraId="163D68B2" w14:textId="2A707624" w:rsidR="00B32102" w:rsidRPr="009A44FC" w:rsidRDefault="00617D77" w:rsidP="00E546A5">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pointing out </w:t>
      </w:r>
      <w:r w:rsidR="00C41D3A" w:rsidRPr="009A44FC">
        <w:rPr>
          <w:rFonts w:ascii="Times New Roman" w:hAnsi="Times New Roman" w:cs="Times New Roman"/>
          <w:color w:val="000000" w:themeColor="text1"/>
          <w:sz w:val="22"/>
          <w:szCs w:val="22"/>
        </w:rPr>
        <w:t xml:space="preserve">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roperties” section to provide more commentary on this concep</w:t>
      </w:r>
      <w:r w:rsidR="00B32102" w:rsidRPr="009A44FC">
        <w:rPr>
          <w:rFonts w:ascii="Times New Roman" w:hAnsi="Times New Roman" w:cs="Times New Roman"/>
          <w:color w:val="000000" w:themeColor="text1"/>
          <w:sz w:val="22"/>
          <w:szCs w:val="22"/>
        </w:rPr>
        <w:t>t</w:t>
      </w:r>
      <w:r w:rsidR="003463C6" w:rsidRPr="009A44FC">
        <w:rPr>
          <w:rFonts w:ascii="Times New Roman" w:hAnsi="Times New Roman" w:cs="Times New Roman"/>
          <w:color w:val="000000" w:themeColor="text1"/>
          <w:sz w:val="22"/>
          <w:szCs w:val="22"/>
        </w:rPr>
        <w:t xml:space="preserve"> (lines X-Y)</w:t>
      </w:r>
      <w:r w:rsidR="00B32102" w:rsidRPr="009A44FC">
        <w:rPr>
          <w:rFonts w:ascii="Times New Roman" w:hAnsi="Times New Roman" w:cs="Times New Roman"/>
          <w:color w:val="000000" w:themeColor="text1"/>
          <w:sz w:val="22"/>
          <w:szCs w:val="22"/>
        </w:rPr>
        <w:t xml:space="preserve">. </w:t>
      </w:r>
    </w:p>
    <w:p w14:paraId="19CEFDDB" w14:textId="6F283DF2"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Additionally, we agree with the reviewer that there are situations where highly correlated sets are biologically relevant. As such, we have provided more commentary in the same section (lines X-Y) with regards to that issue and have left the decision whether to adjust for correlation to the user. This also supports the notion (as also recommended by reviewer 2) that set-based analysis is </w:t>
      </w:r>
      <w:r w:rsidR="00425D18">
        <w:rPr>
          <w:rFonts w:ascii="Times New Roman" w:hAnsi="Times New Roman" w:cs="Times New Roman"/>
          <w:color w:val="000000" w:themeColor="text1"/>
          <w:sz w:val="22"/>
          <w:szCs w:val="22"/>
        </w:rPr>
        <w:t>usually</w:t>
      </w:r>
      <w:r w:rsidRPr="009A44FC">
        <w:rPr>
          <w:rFonts w:ascii="Times New Roman" w:hAnsi="Times New Roman" w:cs="Times New Roman"/>
          <w:color w:val="000000" w:themeColor="text1"/>
          <w:sz w:val="22"/>
          <w:szCs w:val="22"/>
        </w:rPr>
        <w:t xml:space="preserve"> exploratory </w:t>
      </w:r>
      <w:r w:rsidR="00425D18">
        <w:rPr>
          <w:rFonts w:ascii="Times New Roman" w:hAnsi="Times New Roman" w:cs="Times New Roman"/>
          <w:color w:val="000000" w:themeColor="text1"/>
          <w:sz w:val="22"/>
          <w:szCs w:val="22"/>
        </w:rPr>
        <w:t>rather than</w:t>
      </w:r>
      <w:r w:rsidRPr="009A44FC">
        <w:rPr>
          <w:rFonts w:ascii="Times New Roman" w:hAnsi="Times New Roman" w:cs="Times New Roman"/>
          <w:color w:val="000000" w:themeColor="text1"/>
          <w:sz w:val="22"/>
          <w:szCs w:val="22"/>
        </w:rPr>
        <w:t xml:space="preserve"> confirmatory</w:t>
      </w:r>
      <w:r w:rsidR="00425D18">
        <w:rPr>
          <w:rFonts w:ascii="Times New Roman" w:hAnsi="Times New Roman" w:cs="Times New Roman"/>
          <w:color w:val="000000" w:themeColor="text1"/>
          <w:sz w:val="22"/>
          <w:szCs w:val="22"/>
        </w:rPr>
        <w:t xml:space="preserve"> so an </w:t>
      </w:r>
      <w:r w:rsidRPr="009A44FC">
        <w:rPr>
          <w:rFonts w:ascii="Times New Roman" w:hAnsi="Times New Roman" w:cs="Times New Roman"/>
          <w:color w:val="000000" w:themeColor="text1"/>
          <w:sz w:val="22"/>
          <w:szCs w:val="22"/>
        </w:rPr>
        <w:t xml:space="preserve">inflated type I error </w:t>
      </w:r>
      <w:r w:rsidR="004D24B5">
        <w:rPr>
          <w:rFonts w:ascii="Times New Roman" w:hAnsi="Times New Roman" w:cs="Times New Roman"/>
          <w:color w:val="000000" w:themeColor="text1"/>
          <w:sz w:val="22"/>
          <w:szCs w:val="22"/>
        </w:rPr>
        <w:t>may be</w:t>
      </w:r>
      <w:r w:rsidRPr="009A44FC">
        <w:rPr>
          <w:rFonts w:ascii="Times New Roman" w:hAnsi="Times New Roman" w:cs="Times New Roman"/>
          <w:color w:val="000000" w:themeColor="text1"/>
          <w:sz w:val="22"/>
          <w:szCs w:val="22"/>
        </w:rPr>
        <w:t xml:space="preserve"> acceptable </w:t>
      </w:r>
      <w:r w:rsidR="004D24B5">
        <w:rPr>
          <w:rFonts w:ascii="Times New Roman" w:hAnsi="Times New Roman" w:cs="Times New Roman"/>
          <w:color w:val="000000" w:themeColor="text1"/>
          <w:sz w:val="22"/>
          <w:szCs w:val="22"/>
        </w:rPr>
        <w:t>to achieve higher power</w:t>
      </w:r>
      <w:r w:rsidRPr="009A44FC">
        <w:rPr>
          <w:rFonts w:ascii="Times New Roman" w:hAnsi="Times New Roman" w:cs="Times New Roman"/>
          <w:color w:val="000000" w:themeColor="text1"/>
          <w:sz w:val="22"/>
          <w:szCs w:val="22"/>
        </w:rPr>
        <w:t xml:space="preserve">. </w:t>
      </w:r>
    </w:p>
    <w:p w14:paraId="0BF3FF5D" w14:textId="4EBFCB34"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lastRenderedPageBreak/>
        <w:t xml:space="preserve">On lines 167-170 the authors state that since the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are not</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orthogonal a correlation can exist between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aggregated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variables. This is misleading there can be correlation </w:t>
      </w:r>
      <w:proofErr w:type="gramStart"/>
      <w:r w:rsidRPr="009A44FC">
        <w:rPr>
          <w:rFonts w:ascii="Times New Roman" w:hAnsi="Times New Roman" w:cs="Times New Roman"/>
          <w:color w:val="FF0000"/>
          <w:sz w:val="22"/>
          <w:szCs w:val="22"/>
        </w:rPr>
        <w:t>whether or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not</w:t>
      </w:r>
      <w:proofErr w:type="gramEnd"/>
      <w:r w:rsidRPr="009A44FC">
        <w:rPr>
          <w:rFonts w:ascii="Times New Roman" w:hAnsi="Times New Roman" w:cs="Times New Roman"/>
          <w:color w:val="FF0000"/>
          <w:sz w:val="22"/>
          <w:szCs w:val="22"/>
        </w:rPr>
        <w:t xml:space="preserve"> the </w:t>
      </w:r>
      <w:proofErr w:type="spellStart"/>
      <w:r w:rsidRPr="009A44FC">
        <w:rPr>
          <w:rFonts w:ascii="Times New Roman" w:hAnsi="Times New Roman" w:cs="Times New Roman"/>
          <w:color w:val="FF0000"/>
          <w:sz w:val="22"/>
          <w:szCs w:val="22"/>
        </w:rPr>
        <w:t>cILR's</w:t>
      </w:r>
      <w:proofErr w:type="spellEnd"/>
      <w:r w:rsidRPr="009A44FC">
        <w:rPr>
          <w:rFonts w:ascii="Times New Roman" w:hAnsi="Times New Roman" w:cs="Times New Roman"/>
          <w:color w:val="FF0000"/>
          <w:sz w:val="22"/>
          <w:szCs w:val="22"/>
        </w:rPr>
        <w:t xml:space="preserve"> are orthogonal or not, orthogonality and a lack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correlation are separate concepts.</w:t>
      </w:r>
    </w:p>
    <w:p w14:paraId="2EE3745D" w14:textId="5F7AC8BB" w:rsidR="0072510F" w:rsidRPr="009A44FC" w:rsidRDefault="00B32102" w:rsidP="0072510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relevant section (lines X – Y, “Statistical properties” section) </w:t>
      </w:r>
      <w:r w:rsidR="004D24B5">
        <w:rPr>
          <w:rFonts w:ascii="Times New Roman" w:hAnsi="Times New Roman" w:cs="Times New Roman"/>
          <w:color w:val="000000" w:themeColor="text1"/>
          <w:sz w:val="22"/>
          <w:szCs w:val="22"/>
        </w:rPr>
        <w:t xml:space="preserve">have been revised </w:t>
      </w:r>
      <w:r w:rsidRPr="009A44FC">
        <w:rPr>
          <w:rFonts w:ascii="Times New Roman" w:hAnsi="Times New Roman" w:cs="Times New Roman"/>
          <w:color w:val="000000" w:themeColor="text1"/>
          <w:sz w:val="22"/>
          <w:szCs w:val="22"/>
        </w:rPr>
        <w:t xml:space="preserve">to correct for this misconception. </w:t>
      </w:r>
    </w:p>
    <w:p w14:paraId="72E81829" w14:textId="748FB0F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Citation on line 187. I don't see how this paper supports this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statement. </w:t>
      </w:r>
      <w:proofErr w:type="spellStart"/>
      <w:r w:rsidRPr="009A44FC">
        <w:rPr>
          <w:rFonts w:ascii="Times New Roman" w:hAnsi="Times New Roman" w:cs="Times New Roman"/>
          <w:color w:val="FF0000"/>
          <w:sz w:val="22"/>
          <w:szCs w:val="22"/>
        </w:rPr>
        <w:t>Egozcue</w:t>
      </w:r>
      <w:proofErr w:type="spellEnd"/>
      <w:r w:rsidRPr="009A44FC">
        <w:rPr>
          <w:rFonts w:ascii="Times New Roman" w:hAnsi="Times New Roman" w:cs="Times New Roman"/>
          <w:color w:val="FF0000"/>
          <w:sz w:val="22"/>
          <w:szCs w:val="22"/>
        </w:rPr>
        <w:t xml:space="preserve"> et al. take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almost purely mathematical approach</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far as I can tell do not discuss central limit theorems or other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things that are implied by the authors statement. If I remember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correctly the relevant citations are authored by Aitchison while I</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cannot remember them exactly.</w:t>
      </w:r>
    </w:p>
    <w:p w14:paraId="478554AA" w14:textId="38E62930"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w:t>
      </w:r>
      <w:r w:rsidR="000A5F9D">
        <w:rPr>
          <w:rFonts w:ascii="Times New Roman" w:hAnsi="Times New Roman" w:cs="Times New Roman"/>
          <w:color w:val="000000" w:themeColor="text1"/>
          <w:sz w:val="22"/>
          <w:szCs w:val="22"/>
        </w:rPr>
        <w:t xml:space="preserve"> the reviewer that</w:t>
      </w:r>
      <w:r w:rsidR="004D24B5">
        <w:rPr>
          <w:rFonts w:ascii="Times New Roman" w:hAnsi="Times New Roman" w:cs="Times New Roman"/>
          <w:color w:val="000000" w:themeColor="text1"/>
          <w:sz w:val="22"/>
          <w:szCs w:val="22"/>
        </w:rPr>
        <w:t xml:space="preserve"> the</w:t>
      </w:r>
      <w:r w:rsidR="000A5F9D">
        <w:rPr>
          <w:rFonts w:ascii="Times New Roman" w:hAnsi="Times New Roman" w:cs="Times New Roman"/>
          <w:color w:val="000000" w:themeColor="text1"/>
          <w:sz w:val="22"/>
          <w:szCs w:val="22"/>
        </w:rPr>
        <w:t xml:space="preserve">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w:t>
      </w:r>
      <w:proofErr w:type="spellStart"/>
      <w:r w:rsidR="00C41506">
        <w:rPr>
          <w:rFonts w:ascii="Times New Roman" w:hAnsi="Times New Roman" w:cs="Times New Roman"/>
          <w:color w:val="000000" w:themeColor="text1"/>
          <w:sz w:val="22"/>
          <w:szCs w:val="22"/>
        </w:rPr>
        <w:t>cILR</w:t>
      </w:r>
      <w:proofErr w:type="spellEnd"/>
      <w:r w:rsidR="00C41506">
        <w:rPr>
          <w:rFonts w:ascii="Times New Roman" w:hAnsi="Times New Roman" w:cs="Times New Roman"/>
          <w:color w:val="000000" w:themeColor="text1"/>
          <w:sz w:val="22"/>
          <w:szCs w:val="22"/>
        </w:rPr>
        <w:t xml:space="preserve">.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Cvkz6sNI","properties":{"formattedCitation":"[10]","plainCitation":"[10]","noteIndex":0},"citationItems":[{"id":1957,"uris":["http://zotero.org/users/4849999/items/72ZT3IFA"],"uri":["http://zotero.org/users/4849999/items/72ZT3IFA"],"itemData":{"id":1957,"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distributions","volume":"67","author":[{"family":"ATCHISON","given":"J."},{"family":"SHEN","given":"S.M."}],"issued":{"date-parts":[["1980",1,1]]}}}],"schema":"https://github.com/citation-style-language/schema/raw/master/csl-citation.json"}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[10]</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Pr>
          <w:rFonts w:ascii="Times New Roman" w:hAnsi="Times New Roman" w:cs="Times New Roman"/>
          <w:color w:val="000000" w:themeColor="text1"/>
          <w:sz w:val="22"/>
          <w:szCs w:val="22"/>
        </w:rPr>
        <w:t>Egozcue</w:t>
      </w:r>
      <w:proofErr w:type="spellEnd"/>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oepyLX8w","properties":{"formattedCitation":"[11]","plainCitation":"[11]","noteIndex":0},"citationItems":[{"id":1956,"uris":["http://zotero.org/users/4849999/items/G4UTDLD9"],"uri":["http://zotero.org/users/4849999/items/G4UTDLD9"],"itemData":{"id":1956,"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[11]</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w:t>
      </w:r>
      <w:proofErr w:type="spellStart"/>
      <w:r w:rsidR="000B7497">
        <w:rPr>
          <w:rFonts w:ascii="Times New Roman" w:hAnsi="Times New Roman" w:cs="Times New Roman"/>
          <w:color w:val="000000" w:themeColor="text1"/>
          <w:sz w:val="22"/>
          <w:szCs w:val="22"/>
        </w:rPr>
        <w:t>coordiates</w:t>
      </w:r>
      <w:proofErr w:type="spellEnd"/>
      <w:r w:rsidR="000B7497">
        <w:rPr>
          <w:rFonts w:ascii="Times New Roman" w:hAnsi="Times New Roman" w:cs="Times New Roman"/>
          <w:color w:val="000000" w:themeColor="text1"/>
          <w:sz w:val="22"/>
          <w:szCs w:val="22"/>
        </w:rPr>
        <w:t xml:space="preserve"> that motivated the logistic normal distribution mentioned above. </w:t>
      </w:r>
      <w:r w:rsidR="00C41506">
        <w:rPr>
          <w:rFonts w:ascii="Times New Roman" w:hAnsi="Times New Roman" w:cs="Times New Roman"/>
          <w:color w:val="000000" w:themeColor="text1"/>
          <w:sz w:val="22"/>
          <w:szCs w:val="22"/>
        </w:rPr>
        <w:t xml:space="preserve"> </w:t>
      </w:r>
    </w:p>
    <w:p w14:paraId="0B109F6E" w14:textId="120254AA" w:rsidR="00165579"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line 536 the authors mention "inflated counts", I have no idea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what this means.</w:t>
      </w:r>
    </w:p>
    <w:p w14:paraId="7E76A9E3" w14:textId="70C6E675"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have added more clarification beforehand in the “Methods” section to detail the meaning of “inflated counts”. In essence, “inflated counts” refers to when sets (or individual taxon) have 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9A44FC">
        <w:rPr>
          <w:rFonts w:ascii="Times New Roman" w:hAnsi="Times New Roman" w:cs="Times New Roman"/>
          <w:color w:val="000000" w:themeColor="text1"/>
          <w:sz w:val="22"/>
          <w:szCs w:val="22"/>
        </w:rPr>
        <w:t xml:space="preserve"> </w:t>
      </w:r>
    </w:p>
    <w:p w14:paraId="33904FC6" w14:textId="1849AA94" w:rsidR="007311CD" w:rsidRPr="009A44FC" w:rsidRDefault="00BB7799" w:rsidP="00617D77">
      <w:pPr>
        <w:pStyle w:val="ListParagraph"/>
        <w:numPr>
          <w:ilvl w:val="0"/>
          <w:numId w:val="14"/>
        </w:numPr>
        <w:spacing w:after="12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Lines 572 to 582. I don't understand how this hypothesis makes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sense. How does taxa-specific bias relate to the performance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DESeq2 or corncob? The writing here is poor. Also, I am not sure how</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this could be, are you not basing the gold-standard truth </w:t>
      </w:r>
      <w:proofErr w:type="gramStart"/>
      <w:r w:rsidRPr="009A44FC">
        <w:rPr>
          <w:rFonts w:ascii="Times New Roman" w:hAnsi="Times New Roman" w:cs="Times New Roman"/>
          <w:color w:val="FF0000"/>
          <w:sz w:val="22"/>
          <w:szCs w:val="22"/>
        </w:rPr>
        <w:t>off of</w:t>
      </w:r>
      <w:proofErr w:type="gramEnd"/>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permuted data which you know has no signal? This permutation would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maintain the measurement bias</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a result it would seem the data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does not support this hypothesis. I expect I am missing something.</w:t>
      </w:r>
    </w:p>
    <w:p w14:paraId="7F73EEEF" w14:textId="2E39D697" w:rsidR="0080238E" w:rsidRPr="009A44FC" w:rsidRDefault="000B7497"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r w:rsidR="0080238E">
        <w:rPr>
          <w:rFonts w:ascii="Times New Roman" w:hAnsi="Times New Roman" w:cs="Times New Roman"/>
          <w:color w:val="000000" w:themeColor="text1"/>
          <w:sz w:val="22"/>
          <w:szCs w:val="22"/>
        </w:rPr>
        <w:t>In our results, w</w:t>
      </w:r>
      <w:r w:rsidR="007D777C">
        <w:rPr>
          <w:rFonts w:ascii="Times New Roman" w:hAnsi="Times New Roman" w:cs="Times New Roman"/>
          <w:color w:val="000000" w:themeColor="text1"/>
          <w:sz w:val="22"/>
          <w:szCs w:val="22"/>
        </w:rPr>
        <w:t>e observed some surprising differences in the performance of DESeq2 and corncob between simulations and</w:t>
      </w:r>
      <w:r w:rsidR="004D24B5">
        <w:rPr>
          <w:rFonts w:ascii="Times New Roman" w:hAnsi="Times New Roman" w:cs="Times New Roman"/>
          <w:color w:val="000000" w:themeColor="text1"/>
          <w:sz w:val="22"/>
          <w:szCs w:val="22"/>
        </w:rPr>
        <w:t xml:space="preserve"> the</w:t>
      </w:r>
      <w:r w:rsidR="007D777C">
        <w:rPr>
          <w:rFonts w:ascii="Times New Roman" w:hAnsi="Times New Roman" w:cs="Times New Roman"/>
          <w:color w:val="000000" w:themeColor="text1"/>
          <w:sz w:val="22"/>
          <w:szCs w:val="22"/>
        </w:rPr>
        <w:t xml:space="preserve"> real data analys</w:t>
      </w:r>
      <w:r w:rsidR="004D24B5">
        <w:rPr>
          <w:rFonts w:ascii="Times New Roman" w:hAnsi="Times New Roman" w:cs="Times New Roman"/>
          <w:color w:val="000000" w:themeColor="text1"/>
          <w:sz w:val="22"/>
          <w:szCs w:val="22"/>
        </w:rPr>
        <w:t>i</w:t>
      </w:r>
      <w:r w:rsidR="007D777C">
        <w:rPr>
          <w:rFonts w:ascii="Times New Roman" w:hAnsi="Times New Roman" w:cs="Times New Roman"/>
          <w:color w:val="000000" w:themeColor="text1"/>
          <w:sz w:val="22"/>
          <w:szCs w:val="22"/>
        </w:rPr>
        <w:t xml:space="preserve">s. </w:t>
      </w:r>
      <w:r w:rsidR="00F72979">
        <w:rPr>
          <w:rFonts w:ascii="Times New Roman" w:hAnsi="Times New Roman" w:cs="Times New Roman"/>
          <w:color w:val="000000" w:themeColor="text1"/>
          <w:sz w:val="22"/>
          <w:szCs w:val="22"/>
        </w:rPr>
        <w:t xml:space="preserve">In </w:t>
      </w:r>
      <w:r w:rsidR="004D24B5">
        <w:rPr>
          <w:rFonts w:ascii="Times New Roman" w:hAnsi="Times New Roman" w:cs="Times New Roman"/>
          <w:color w:val="000000" w:themeColor="text1"/>
          <w:sz w:val="22"/>
          <w:szCs w:val="22"/>
        </w:rPr>
        <w:t xml:space="preserve">the </w:t>
      </w:r>
      <w:r w:rsidR="00F72979">
        <w:rPr>
          <w:rFonts w:ascii="Times New Roman" w:hAnsi="Times New Roman" w:cs="Times New Roman"/>
          <w:color w:val="000000" w:themeColor="text1"/>
          <w:sz w:val="22"/>
          <w:szCs w:val="22"/>
        </w:rPr>
        <w:t xml:space="preserve">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proofErr w:type="spellStart"/>
      <w:r w:rsidR="0080238E">
        <w:rPr>
          <w:rFonts w:ascii="Times New Roman" w:hAnsi="Times New Roman" w:cs="Times New Roman"/>
          <w:color w:val="000000" w:themeColor="text1"/>
          <w:sz w:val="22"/>
          <w:szCs w:val="22"/>
        </w:rPr>
        <w:t>cILR</w:t>
      </w:r>
      <w:proofErr w:type="spellEnd"/>
      <w:r w:rsidR="0080238E">
        <w:rPr>
          <w:rFonts w:ascii="Times New Roman" w:hAnsi="Times New Roman" w:cs="Times New Roman"/>
          <w:color w:val="000000" w:themeColor="text1"/>
          <w:sz w:val="22"/>
          <w:szCs w:val="22"/>
        </w:rPr>
        <w:t xml:space="preserve">). In the section from lines 572-582, we explained this phenomenon by hypothesizing that this discrepancy might be due to taxa-specific biases. According to McLaren et al. </w:t>
      </w:r>
      <w:r w:rsidR="0080238E">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UfgNlsHf","properties":{"formattedCitation":"[12]","plainCitation":"[12]","noteIndex":0},"citationItems":[{"id":1897,"uris":["http://zotero.org/users/4849999/items/ANESCJQ7"],"uri":["http://zotero.org/users/4849999/items/ANESCJQ7"],"itemData":{"id":1897,"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80238E">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[12]</w:t>
      </w:r>
      <w:r w:rsidR="0080238E">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r w:rsidR="00EF09A1">
        <w:rPr>
          <w:rFonts w:ascii="Times New Roman" w:hAnsi="Times New Roman" w:cs="Times New Roman"/>
          <w:color w:val="000000" w:themeColor="text1"/>
          <w:sz w:val="22"/>
          <w:szCs w:val="22"/>
        </w:rPr>
        <w:t xml:space="preserve">In the permutation analyses using real data this bias would be preserved as </w:t>
      </w:r>
      <w:r w:rsidR="0080238E">
        <w:rPr>
          <w:rFonts w:ascii="Times New Roman" w:hAnsi="Times New Roman" w:cs="Times New Roman"/>
          <w:color w:val="000000" w:themeColor="text1"/>
          <w:sz w:val="22"/>
          <w:szCs w:val="22"/>
        </w:rPr>
        <w:t xml:space="preserve">the reviewer has stated, </w:t>
      </w:r>
      <w:r w:rsidR="00EF09A1">
        <w:rPr>
          <w:rFonts w:ascii="Times New Roman" w:hAnsi="Times New Roman" w:cs="Times New Roman"/>
          <w:color w:val="000000" w:themeColor="text1"/>
          <w:sz w:val="22"/>
          <w:szCs w:val="22"/>
        </w:rPr>
        <w:t xml:space="preserve">which explains that high type I error observed when </w:t>
      </w:r>
      <w:r w:rsidR="0080238E">
        <w:rPr>
          <w:rFonts w:ascii="Times New Roman" w:hAnsi="Times New Roman" w:cs="Times New Roman"/>
          <w:color w:val="000000" w:themeColor="text1"/>
          <w:sz w:val="22"/>
          <w:szCs w:val="22"/>
        </w:rPr>
        <w:t xml:space="preserve">applying DESeq2 and corncob </w:t>
      </w:r>
      <w:r w:rsidR="004D24B5">
        <w:rPr>
          <w:rFonts w:ascii="Times New Roman" w:hAnsi="Times New Roman" w:cs="Times New Roman"/>
          <w:color w:val="000000" w:themeColor="text1"/>
          <w:sz w:val="22"/>
          <w:szCs w:val="22"/>
        </w:rPr>
        <w:t xml:space="preserve">to </w:t>
      </w:r>
      <w:r w:rsidR="0080238E">
        <w:rPr>
          <w:rFonts w:ascii="Times New Roman" w:hAnsi="Times New Roman" w:cs="Times New Roman"/>
          <w:color w:val="000000" w:themeColor="text1"/>
          <w:sz w:val="22"/>
          <w:szCs w:val="22"/>
        </w:rPr>
        <w:t>simulation</w:t>
      </w:r>
      <w:r w:rsidR="00EF09A1">
        <w:rPr>
          <w:rFonts w:ascii="Times New Roman" w:hAnsi="Times New Roman" w:cs="Times New Roman"/>
          <w:color w:val="000000" w:themeColor="text1"/>
          <w:sz w:val="22"/>
          <w:szCs w:val="22"/>
        </w:rPr>
        <w:t xml:space="preserve">s where </w:t>
      </w:r>
      <w:r w:rsidR="0080238E">
        <w:rPr>
          <w:rFonts w:ascii="Times New Roman" w:hAnsi="Times New Roman" w:cs="Times New Roman"/>
          <w:color w:val="000000" w:themeColor="text1"/>
          <w:sz w:val="22"/>
          <w:szCs w:val="22"/>
        </w:rPr>
        <w:t xml:space="preserve">this aspect of the data </w:t>
      </w:r>
      <w:r w:rsidR="00EF09A1">
        <w:rPr>
          <w:rFonts w:ascii="Times New Roman" w:hAnsi="Times New Roman" w:cs="Times New Roman"/>
          <w:color w:val="000000" w:themeColor="text1"/>
          <w:sz w:val="22"/>
          <w:szCs w:val="22"/>
        </w:rPr>
        <w:t xml:space="preserve">was not </w:t>
      </w:r>
      <w:r w:rsidR="001E7EFB">
        <w:rPr>
          <w:rFonts w:ascii="Times New Roman" w:hAnsi="Times New Roman" w:cs="Times New Roman"/>
          <w:color w:val="000000" w:themeColor="text1"/>
          <w:sz w:val="22"/>
          <w:szCs w:val="22"/>
        </w:rPr>
        <w:t>considered</w:t>
      </w:r>
      <w:r w:rsidR="0080238E">
        <w:rPr>
          <w:rFonts w:ascii="Times New Roman" w:hAnsi="Times New Roman" w:cs="Times New Roman"/>
          <w:color w:val="000000" w:themeColor="text1"/>
          <w:sz w:val="22"/>
          <w:szCs w:val="22"/>
        </w:rPr>
        <w:t xml:space="preserve">. </w:t>
      </w:r>
    </w:p>
    <w:p w14:paraId="5D21B1B3" w14:textId="68D65AC8"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22098484" w14:textId="1710DA8F"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Modeling Choices</w:t>
      </w:r>
    </w:p>
    <w:p w14:paraId="65703A11" w14:textId="02F573FA" w:rsidR="00BB7799" w:rsidRPr="00617D77" w:rsidRDefault="00BB7799" w:rsidP="00617D77">
      <w:pPr>
        <w:pStyle w:val="ListParagraph"/>
        <w:numPr>
          <w:ilvl w:val="0"/>
          <w:numId w:val="15"/>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As far as I can tell the authors do not state how they are handling</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zeros. This is a non-trivial methodologic detail especially if they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are simply taking log-ratio transforms of count data. To what exten</w:t>
      </w:r>
      <w:r w:rsidR="007311CD" w:rsidRPr="00617D77">
        <w:rPr>
          <w:rFonts w:ascii="Times New Roman" w:hAnsi="Times New Roman" w:cs="Times New Roman"/>
          <w:color w:val="FF0000"/>
          <w:sz w:val="22"/>
          <w:szCs w:val="22"/>
        </w:rPr>
        <w:t xml:space="preserve">t </w:t>
      </w:r>
      <w:r w:rsidRPr="00617D77">
        <w:rPr>
          <w:rFonts w:ascii="Times New Roman" w:hAnsi="Times New Roman" w:cs="Times New Roman"/>
          <w:color w:val="FF0000"/>
          <w:sz w:val="22"/>
          <w:szCs w:val="22"/>
        </w:rPr>
        <w:t>is the non-normality of the authors results simply a product of</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directly transforming count data without accounting for the variance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of the counts. For example, count data typically have a mean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variance relationship that seems largely ignored by the </w:t>
      </w:r>
      <w:proofErr w:type="gramStart"/>
      <w:r w:rsidRPr="00617D77">
        <w:rPr>
          <w:rFonts w:ascii="Times New Roman" w:hAnsi="Times New Roman" w:cs="Times New Roman"/>
          <w:color w:val="FF0000"/>
          <w:sz w:val="22"/>
          <w:szCs w:val="22"/>
        </w:rPr>
        <w:t>authors</w:t>
      </w:r>
      <w:proofErr w:type="gramEnd"/>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approach. Moreover, there has been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advances in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compositional modeling of microbiome focusing on Multinomial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logistic normal models that are not addressed by the authors. In</w:t>
      </w:r>
      <w:r w:rsidR="007311CD" w:rsidRPr="00617D77">
        <w:rPr>
          <w:rFonts w:ascii="Times New Roman" w:hAnsi="Times New Roman" w:cs="Times New Roman"/>
          <w:color w:val="FF0000"/>
          <w:sz w:val="22"/>
          <w:szCs w:val="22"/>
        </w:rPr>
        <w:t xml:space="preserve"> </w:t>
      </w:r>
      <w:proofErr w:type="gramStart"/>
      <w:r w:rsidRPr="00617D77">
        <w:rPr>
          <w:rFonts w:ascii="Times New Roman" w:hAnsi="Times New Roman" w:cs="Times New Roman"/>
          <w:color w:val="FF0000"/>
          <w:sz w:val="22"/>
          <w:szCs w:val="22"/>
        </w:rPr>
        <w:t>fact</w:t>
      </w:r>
      <w:proofErr w:type="gramEnd"/>
      <w:r w:rsidRPr="00617D77">
        <w:rPr>
          <w:rFonts w:ascii="Times New Roman" w:hAnsi="Times New Roman" w:cs="Times New Roman"/>
          <w:color w:val="FF0000"/>
          <w:sz w:val="22"/>
          <w:szCs w:val="22"/>
        </w:rPr>
        <w:t xml:space="preserve"> in light of the availability of these methods the authors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modeling of these counts seems sub-par.</w:t>
      </w:r>
    </w:p>
    <w:p w14:paraId="2CB0821B" w14:textId="40F02000" w:rsidR="009D46DC" w:rsidRPr="009A44FC" w:rsidRDefault="004D24B5"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This section of our analysis lacked clarity.</w:t>
      </w:r>
      <w:r w:rsidR="008F611F">
        <w:rPr>
          <w:rFonts w:ascii="Times New Roman" w:hAnsi="Times New Roman" w:cs="Times New Roman"/>
          <w:color w:val="000000" w:themeColor="text1"/>
          <w:sz w:val="22"/>
          <w:szCs w:val="22"/>
        </w:rPr>
        <w:t xml:space="preserve"> Our strategy for addressing sparsity in microbiome data is to use </w:t>
      </w:r>
      <w:proofErr w:type="spellStart"/>
      <w:r w:rsidR="008F611F">
        <w:rPr>
          <w:rFonts w:ascii="Times New Roman" w:hAnsi="Times New Roman" w:cs="Times New Roman"/>
          <w:color w:val="000000" w:themeColor="text1"/>
          <w:sz w:val="22"/>
          <w:szCs w:val="22"/>
        </w:rPr>
        <w:t>pseudocounts</w:t>
      </w:r>
      <w:proofErr w:type="spellEnd"/>
      <w:r w:rsidR="008F611F">
        <w:rPr>
          <w:rFonts w:ascii="Times New Roman" w:hAnsi="Times New Roman" w:cs="Times New Roman"/>
          <w:color w:val="000000" w:themeColor="text1"/>
          <w:sz w:val="22"/>
          <w:szCs w:val="22"/>
        </w:rPr>
        <w:t xml:space="preserve"> to ensure the validity of the log-ratio transformations. We</w:t>
      </w:r>
      <w:r>
        <w:rPr>
          <w:rFonts w:ascii="Times New Roman" w:hAnsi="Times New Roman" w:cs="Times New Roman"/>
          <w:color w:val="000000" w:themeColor="text1"/>
          <w:sz w:val="22"/>
          <w:szCs w:val="22"/>
        </w:rPr>
        <w:t xml:space="preserve"> stated</w:t>
      </w:r>
      <w:r w:rsidR="008F611F">
        <w:rPr>
          <w:rFonts w:ascii="Times New Roman" w:hAnsi="Times New Roman" w:cs="Times New Roman"/>
          <w:color w:val="000000" w:themeColor="text1"/>
          <w:sz w:val="22"/>
          <w:szCs w:val="22"/>
        </w:rPr>
        <w:t xml:space="preserve"> this assumption more clearly in the “statistical properties” section of the</w:t>
      </w:r>
      <w:r>
        <w:rPr>
          <w:rFonts w:ascii="Times New Roman" w:hAnsi="Times New Roman" w:cs="Times New Roman"/>
          <w:color w:val="000000" w:themeColor="text1"/>
          <w:sz w:val="22"/>
          <w:szCs w:val="22"/>
        </w:rPr>
        <w:t xml:space="preserve"> revised</w:t>
      </w:r>
      <w:r w:rsidR="008F611F">
        <w:rPr>
          <w:rFonts w:ascii="Times New Roman" w:hAnsi="Times New Roman" w:cs="Times New Roman"/>
          <w:color w:val="000000" w:themeColor="text1"/>
          <w:sz w:val="22"/>
          <w:szCs w:val="22"/>
        </w:rPr>
        <w:t xml:space="preserve"> manuscript. We also acknowledged in our </w:t>
      </w:r>
      <w:r w:rsidR="009D46DC" w:rsidRPr="009A44FC">
        <w:rPr>
          <w:rFonts w:ascii="Times New Roman" w:hAnsi="Times New Roman" w:cs="Times New Roman"/>
          <w:color w:val="000000" w:themeColor="text1"/>
          <w:sz w:val="22"/>
          <w:szCs w:val="22"/>
        </w:rPr>
        <w:t>discussion section on the limitations of the approach</w:t>
      </w:r>
      <w:r w:rsidR="00E94A6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mentioned alternative methods that users can apply prior to running CBEA</w:t>
      </w:r>
      <w:r w:rsidR="00E94A6C">
        <w:rPr>
          <w:rFonts w:ascii="Times New Roman" w:hAnsi="Times New Roman" w:cs="Times New Roman"/>
          <w:color w:val="000000" w:themeColor="text1"/>
          <w:sz w:val="22"/>
          <w:szCs w:val="22"/>
        </w:rPr>
        <w:t xml:space="preserve">. However, according to our experimental results, the performance of our approach was not significantly </w:t>
      </w:r>
      <w:r w:rsidR="00077D06">
        <w:rPr>
          <w:rFonts w:ascii="Times New Roman" w:hAnsi="Times New Roman" w:cs="Times New Roman"/>
          <w:color w:val="000000" w:themeColor="text1"/>
          <w:sz w:val="22"/>
          <w:szCs w:val="22"/>
        </w:rPr>
        <w:t>affected by data sparsity levels</w:t>
      </w:r>
      <w:r w:rsidR="00E94A6C">
        <w:rPr>
          <w:rFonts w:ascii="Times New Roman" w:hAnsi="Times New Roman" w:cs="Times New Roman"/>
          <w:color w:val="000000" w:themeColor="text1"/>
          <w:sz w:val="22"/>
          <w:szCs w:val="22"/>
        </w:rPr>
        <w:t xml:space="preserve">. </w:t>
      </w:r>
    </w:p>
    <w:p w14:paraId="7299AD77" w14:textId="6692523A"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Our approach is to perform an ILR-like transformation </w:t>
      </w:r>
      <w:r w:rsidR="009B6223">
        <w:rPr>
          <w:rFonts w:ascii="Times New Roman" w:hAnsi="Times New Roman" w:cs="Times New Roman"/>
          <w:color w:val="000000" w:themeColor="text1"/>
          <w:sz w:val="22"/>
          <w:szCs w:val="22"/>
        </w:rPr>
        <w:t xml:space="preserve">to the proportions corresponding to the set annotation and perform inference through empirically modelling the test statistic under the null. </w:t>
      </w:r>
      <w:r w:rsidR="004D24B5">
        <w:rPr>
          <w:rFonts w:ascii="Times New Roman" w:hAnsi="Times New Roman" w:cs="Times New Roman"/>
          <w:color w:val="000000" w:themeColor="text1"/>
          <w:sz w:val="22"/>
          <w:szCs w:val="22"/>
        </w:rPr>
        <w:t>Our simulation studies have demonstrated that the empirical distribution of our test statistic is well approximated by a normal distribution. Furthermore, real data analyses also show that normal approximation generate good performance values for all considered situations. We have updated the “statistical properties” section in the revised manuscript to better outline this modelling approach and discuss how statistical features of the underlying count data (</w:t>
      </w:r>
      <w:proofErr w:type="gramStart"/>
      <w:r w:rsidR="004D24B5">
        <w:rPr>
          <w:rFonts w:ascii="Times New Roman" w:hAnsi="Times New Roman" w:cs="Times New Roman"/>
          <w:color w:val="000000" w:themeColor="text1"/>
          <w:sz w:val="22"/>
          <w:szCs w:val="22"/>
        </w:rPr>
        <w:t>e.g.</w:t>
      </w:r>
      <w:proofErr w:type="gramEnd"/>
      <w:r w:rsidR="004D24B5">
        <w:rPr>
          <w:rFonts w:ascii="Times New Roman" w:hAnsi="Times New Roman" w:cs="Times New Roman"/>
          <w:color w:val="000000" w:themeColor="text1"/>
          <w:sz w:val="22"/>
          <w:szCs w:val="22"/>
        </w:rPr>
        <w:t xml:space="preserve"> sparsity and mean-variance relationship) may impact the distribution of the transformed proportions. </w:t>
      </w:r>
    </w:p>
    <w:p w14:paraId="04BD0A6C" w14:textId="537DDC50"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noted, multinomial logistic normal models are </w:t>
      </w:r>
      <w:r w:rsidR="001C0FC7">
        <w:rPr>
          <w:rFonts w:ascii="Times New Roman" w:hAnsi="Times New Roman" w:cs="Times New Roman"/>
          <w:color w:val="000000" w:themeColor="text1"/>
          <w:sz w:val="22"/>
          <w:szCs w:val="22"/>
        </w:rPr>
        <w:t xml:space="preserve">useful for modelling the count data direction, and it may be feasible to apply the multinomial logistic normal model to perform set-based enrichment analysis. Although we are not away of any existing approaches that utilizes this distribution for set-based testing, this is an interesting idea that we hope to explore in future research. </w:t>
      </w:r>
    </w:p>
    <w:p w14:paraId="06F19637" w14:textId="7C9D4F60" w:rsidR="00034C0C"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Unsubstantiated Claims</w:t>
      </w:r>
    </w:p>
    <w:p w14:paraId="05B38C1B" w14:textId="2E2CAE10" w:rsidR="00BB7799" w:rsidRPr="00617D77" w:rsidRDefault="00BB7799" w:rsidP="00617D77">
      <w:pPr>
        <w:pStyle w:val="ListParagraph"/>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There are </w:t>
      </w:r>
      <w:proofErr w:type="gramStart"/>
      <w:r w:rsidRPr="00617D77">
        <w:rPr>
          <w:rFonts w:ascii="Times New Roman" w:hAnsi="Times New Roman" w:cs="Times New Roman"/>
          <w:color w:val="FF0000"/>
          <w:sz w:val="22"/>
          <w:szCs w:val="22"/>
        </w:rPr>
        <w:t>a number of</w:t>
      </w:r>
      <w:proofErr w:type="gramEnd"/>
      <w:r w:rsidRPr="00617D77">
        <w:rPr>
          <w:rFonts w:ascii="Times New Roman" w:hAnsi="Times New Roman" w:cs="Times New Roman"/>
          <w:color w:val="FF0000"/>
          <w:sz w:val="22"/>
          <w:szCs w:val="22"/>
        </w:rPr>
        <w:t xml:space="preserve"> unsubstantiated claims where the language needs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to be altered to be more precise.</w:t>
      </w:r>
    </w:p>
    <w:p w14:paraId="5E4B7329" w14:textId="6A3512F9" w:rsidR="007311CD"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 xml:space="preserve">Line 493: "These results 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generated scores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informative features in disease prediction tasks." No. These results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demonstrate that </w:t>
      </w:r>
      <w:proofErr w:type="spellStart"/>
      <w:r w:rsidRPr="00617D77">
        <w:rPr>
          <w:rFonts w:ascii="Times New Roman" w:hAnsi="Times New Roman" w:cs="Times New Roman"/>
          <w:color w:val="FF0000"/>
          <w:sz w:val="22"/>
          <w:szCs w:val="22"/>
        </w:rPr>
        <w:t>cILR</w:t>
      </w:r>
      <w:proofErr w:type="spellEnd"/>
      <w:r w:rsidRPr="00617D77">
        <w:rPr>
          <w:rFonts w:ascii="Times New Roman" w:hAnsi="Times New Roman" w:cs="Times New Roman"/>
          <w:color w:val="FF0000"/>
          <w:sz w:val="22"/>
          <w:szCs w:val="22"/>
        </w:rPr>
        <w:t xml:space="preserve"> COULD be informative features in disease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predictions tasks. I am not convinced that these are even useful for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the case-studies shown in this manuscript let alone other tasks.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Moreover, the comparison methods </w:t>
      </w:r>
      <w:proofErr w:type="spellStart"/>
      <w:r w:rsidRPr="00617D77">
        <w:rPr>
          <w:rFonts w:ascii="Times New Roman" w:hAnsi="Times New Roman" w:cs="Times New Roman"/>
          <w:color w:val="FF0000"/>
          <w:sz w:val="22"/>
          <w:szCs w:val="22"/>
        </w:rPr>
        <w:t>ssGSEA</w:t>
      </w:r>
      <w:proofErr w:type="spellEnd"/>
      <w:r w:rsidRPr="00617D77">
        <w:rPr>
          <w:rFonts w:ascii="Times New Roman" w:hAnsi="Times New Roman" w:cs="Times New Roman"/>
          <w:color w:val="FF0000"/>
          <w:sz w:val="22"/>
          <w:szCs w:val="22"/>
        </w:rPr>
        <w:t xml:space="preserve"> and GSVA seem like odd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choices. Are the authors only using methods that can take set-based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features? This does not account for the potential that the chosen</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sets are not informative. The later seems like an important case to</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establish the motivation of the current work.</w:t>
      </w:r>
      <w:r w:rsidR="00A04D61" w:rsidRPr="00617D77">
        <w:rPr>
          <w:rFonts w:ascii="Times New Roman" w:hAnsi="Times New Roman" w:cs="Times New Roman"/>
          <w:color w:val="FF0000"/>
          <w:sz w:val="22"/>
          <w:szCs w:val="22"/>
        </w:rPr>
        <w:t xml:space="preserve"> </w:t>
      </w:r>
    </w:p>
    <w:p w14:paraId="79471735" w14:textId="340495B2"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w:t>
      </w:r>
      <w:proofErr w:type="spellStart"/>
      <w:r>
        <w:rPr>
          <w:rFonts w:ascii="Times New Roman" w:hAnsi="Times New Roman" w:cs="Times New Roman"/>
          <w:color w:val="000000" w:themeColor="text1"/>
          <w:sz w:val="22"/>
          <w:szCs w:val="22"/>
        </w:rPr>
        <w:t>cILR</w:t>
      </w:r>
      <w:proofErr w:type="spellEnd"/>
      <w:r>
        <w:rPr>
          <w:rFonts w:ascii="Times New Roman" w:hAnsi="Times New Roman" w:cs="Times New Roman"/>
          <w:color w:val="000000" w:themeColor="text1"/>
          <w:sz w:val="22"/>
          <w:szCs w:val="22"/>
        </w:rPr>
        <w:t xml:space="preserve"> generates scores at the sample level, performing as a transformation of a </w:t>
      </w:r>
      <m:oMath>
        <m:r>
          <w:rPr>
            <w:rFonts w:ascii="Cambria Math" w:hAnsi="Cambria Math" w:cs="Times New Roman"/>
            <w:color w:val="000000" w:themeColor="text1"/>
            <w:sz w:val="22"/>
            <w:szCs w:val="22"/>
          </w:rPr>
          <m:t>n x p</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Cambria Math" w:cs="Times New Roman"/>
            <w:color w:val="000000" w:themeColor="text1"/>
            <w:sz w:val="22"/>
            <w:szCs w:val="22"/>
          </w:rPr>
          <m:t>n x m</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w:t>
      </w:r>
      <w:proofErr w:type="spellStart"/>
      <w:r>
        <w:rPr>
          <w:rFonts w:ascii="Times New Roman" w:eastAsiaTheme="minorEastAsia" w:hAnsi="Times New Roman" w:cs="Times New Roman"/>
          <w:color w:val="000000" w:themeColor="text1"/>
          <w:sz w:val="22"/>
          <w:szCs w:val="22"/>
        </w:rPr>
        <w:t>cILR</w:t>
      </w:r>
      <w:proofErr w:type="spellEnd"/>
      <w:r>
        <w:rPr>
          <w:rFonts w:ascii="Times New Roman" w:eastAsiaTheme="minorEastAsia" w:hAnsi="Times New Roman" w:cs="Times New Roman"/>
          <w:color w:val="000000" w:themeColor="text1"/>
          <w:sz w:val="22"/>
          <w:szCs w:val="22"/>
        </w:rPr>
        <w:t xml:space="preserve"> against similar approaches such as </w:t>
      </w:r>
      <w:proofErr w:type="spellStart"/>
      <w:r>
        <w:rPr>
          <w:rFonts w:ascii="Times New Roman" w:eastAsiaTheme="minorEastAsia" w:hAnsi="Times New Roman" w:cs="Times New Roman"/>
          <w:color w:val="000000" w:themeColor="text1"/>
          <w:sz w:val="22"/>
          <w:szCs w:val="22"/>
        </w:rPr>
        <w:t>ssGSEA</w:t>
      </w:r>
      <w:proofErr w:type="spellEnd"/>
      <w:r>
        <w:rPr>
          <w:rFonts w:ascii="Times New Roman" w:eastAsiaTheme="minorEastAsia" w:hAnsi="Times New Roman" w:cs="Times New Roman"/>
          <w:color w:val="000000" w:themeColor="text1"/>
          <w:sz w:val="22"/>
          <w:szCs w:val="22"/>
        </w:rPr>
        <w:t xml:space="preserve"> and GSVA, which also calculates enrichment scores per sample. </w:t>
      </w:r>
      <w:proofErr w:type="spellStart"/>
      <w:r w:rsidR="00D44487">
        <w:rPr>
          <w:rFonts w:ascii="Times New Roman" w:eastAsiaTheme="minorEastAsia" w:hAnsi="Times New Roman" w:cs="Times New Roman"/>
          <w:color w:val="000000" w:themeColor="text1"/>
          <w:sz w:val="22"/>
          <w:szCs w:val="22"/>
        </w:rPr>
        <w:t>ssGSEA</w:t>
      </w:r>
      <w:proofErr w:type="spellEnd"/>
      <w:r w:rsidR="00D44487">
        <w:rPr>
          <w:rFonts w:ascii="Times New Roman" w:eastAsiaTheme="minorEastAsia" w:hAnsi="Times New Roman" w:cs="Times New Roman"/>
          <w:color w:val="000000" w:themeColor="text1"/>
          <w:sz w:val="22"/>
          <w:szCs w:val="22"/>
        </w:rPr>
        <w:t xml:space="preserve">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p>
    <w:p w14:paraId="7FF828F4" w14:textId="7A74C070"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demonstrated in the manuscript</w:t>
      </w:r>
      <w:r w:rsidR="001C0FC7">
        <w:rPr>
          <w:rFonts w:ascii="Times New Roman" w:hAnsi="Times New Roman" w:cs="Times New Roman"/>
          <w:color w:val="000000" w:themeColor="text1"/>
          <w:sz w:val="22"/>
          <w:szCs w:val="22"/>
        </w:rPr>
        <w:t xml:space="preserve"> is</w:t>
      </w:r>
      <w:r w:rsidR="00157D16">
        <w:rPr>
          <w:rFonts w:ascii="Times New Roman" w:hAnsi="Times New Roman" w:cs="Times New Roman"/>
          <w:color w:val="000000" w:themeColor="text1"/>
          <w:sz w:val="22"/>
          <w:szCs w:val="22"/>
        </w:rPr>
        <w:t xml:space="preserv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generated scores are informative features” refer</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 to the fact that given the same sets of microbes, scores constructed by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can be informative towards prediction compared to similar approaches, suggesting that it is valid to use set-ba</w:t>
      </w:r>
      <w:r w:rsidR="001C0FC7">
        <w:rPr>
          <w:rFonts w:ascii="Times New Roman" w:hAnsi="Times New Roman" w:cs="Times New Roman"/>
          <w:color w:val="000000" w:themeColor="text1"/>
          <w:sz w:val="22"/>
          <w:szCs w:val="22"/>
        </w:rPr>
        <w:t>s</w:t>
      </w:r>
      <w:r w:rsidR="00AF6497">
        <w:rPr>
          <w:rFonts w:ascii="Times New Roman" w:hAnsi="Times New Roman" w:cs="Times New Roman"/>
          <w:color w:val="000000" w:themeColor="text1"/>
          <w:sz w:val="22"/>
          <w:szCs w:val="22"/>
        </w:rPr>
        <w:t xml:space="preserve">ed features generated using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for predicti</w:t>
      </w:r>
      <w:r w:rsidR="001C0FC7">
        <w:rPr>
          <w:rFonts w:ascii="Times New Roman" w:hAnsi="Times New Roman" w:cs="Times New Roman"/>
          <w:color w:val="000000" w:themeColor="text1"/>
          <w:sz w:val="22"/>
          <w:szCs w:val="22"/>
        </w:rPr>
        <w:t>on</w:t>
      </w:r>
      <w:r w:rsidR="00AF6497">
        <w:rPr>
          <w:rFonts w:ascii="Times New Roman" w:hAnsi="Times New Roman" w:cs="Times New Roman"/>
          <w:color w:val="000000" w:themeColor="text1"/>
          <w:sz w:val="22"/>
          <w:szCs w:val="22"/>
        </w:rPr>
        <w:t xml:space="preserve"> purposes. However, we agree with the reviewer that this is a </w:t>
      </w:r>
      <w:r w:rsidR="00AF6497">
        <w:rPr>
          <w:rFonts w:ascii="Times New Roman" w:hAnsi="Times New Roman" w:cs="Times New Roman"/>
          <w:color w:val="000000" w:themeColor="text1"/>
          <w:sz w:val="22"/>
          <w:szCs w:val="22"/>
        </w:rPr>
        <w:lastRenderedPageBreak/>
        <w:t xml:space="preserve">strong statement and have adjusted </w:t>
      </w:r>
      <w:r w:rsidR="001C0FC7">
        <w:rPr>
          <w:rFonts w:ascii="Times New Roman" w:hAnsi="Times New Roman" w:cs="Times New Roman"/>
          <w:color w:val="000000" w:themeColor="text1"/>
          <w:sz w:val="22"/>
          <w:szCs w:val="22"/>
        </w:rPr>
        <w:t>it accordingly</w:t>
      </w:r>
      <w:r w:rsidR="00AF6497">
        <w:rPr>
          <w:rFonts w:ascii="Times New Roman" w:hAnsi="Times New Roman" w:cs="Times New Roman"/>
          <w:color w:val="000000" w:themeColor="text1"/>
          <w:sz w:val="22"/>
          <w:szCs w:val="22"/>
        </w:rPr>
        <w:t>. We also added the context provided in this response to the results interpretation</w:t>
      </w:r>
      <w:r w:rsidR="001C0FC7">
        <w:rPr>
          <w:rFonts w:ascii="Times New Roman" w:hAnsi="Times New Roman" w:cs="Times New Roman"/>
          <w:color w:val="000000" w:themeColor="text1"/>
          <w:sz w:val="22"/>
          <w:szCs w:val="22"/>
        </w:rPr>
        <w:t xml:space="preserve"> in the manuscript. </w:t>
      </w:r>
    </w:p>
    <w:p w14:paraId="1D4ED2CA" w14:textId="194C419D" w:rsidR="00C40008" w:rsidRPr="00617D77" w:rsidRDefault="00BB7799" w:rsidP="00617D77">
      <w:pPr>
        <w:pStyle w:val="ListParagraph"/>
        <w:numPr>
          <w:ilvl w:val="0"/>
          <w:numId w:val="1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Line 535-537. The authors show that their model displays Type 1</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error control on a set of of simulated datasets. They make some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claims about false-discovery control on real data on lines 397-406</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but I really don't follow how they know what is non-random or random</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on this dataset. It seems like they have a strong hypothesis about</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aerobic vs. anaerobic but that hypothesis seems too weak to serve as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a gold-standard reference. </w:t>
      </w:r>
      <w:proofErr w:type="gramStart"/>
      <w:r w:rsidRPr="00617D77">
        <w:rPr>
          <w:rFonts w:ascii="Times New Roman" w:hAnsi="Times New Roman" w:cs="Times New Roman"/>
          <w:color w:val="FF0000"/>
          <w:sz w:val="22"/>
          <w:szCs w:val="22"/>
        </w:rPr>
        <w:t>Overall</w:t>
      </w:r>
      <w:proofErr w:type="gramEnd"/>
      <w:r w:rsidRPr="00617D77">
        <w:rPr>
          <w:rFonts w:ascii="Times New Roman" w:hAnsi="Times New Roman" w:cs="Times New Roman"/>
          <w:color w:val="FF0000"/>
          <w:sz w:val="22"/>
          <w:szCs w:val="22"/>
        </w:rPr>
        <w:t xml:space="preserve"> these claims are unsubstantiated.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 would emphasize that any claim saying a model can be trusted is</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suspect and bordering on overtly false -- any model can fail and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nearly all models are </w:t>
      </w:r>
      <w:r w:rsidR="007311CD" w:rsidRPr="00617D77">
        <w:rPr>
          <w:rFonts w:ascii="Times New Roman" w:hAnsi="Times New Roman" w:cs="Times New Roman"/>
          <w:color w:val="FF0000"/>
          <w:sz w:val="22"/>
          <w:szCs w:val="22"/>
        </w:rPr>
        <w:t>mis-specified</w:t>
      </w:r>
      <w:r w:rsidRPr="00617D77">
        <w:rPr>
          <w:rFonts w:ascii="Times New Roman" w:hAnsi="Times New Roman" w:cs="Times New Roman"/>
          <w:color w:val="FF0000"/>
          <w:sz w:val="22"/>
          <w:szCs w:val="22"/>
        </w:rPr>
        <w:t xml:space="preserve"> there are times at which a model</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may be useful but that is about it. No model can be globally</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trusted.</w:t>
      </w:r>
    </w:p>
    <w:p w14:paraId="02C3E960" w14:textId="1176DF9A" w:rsidR="00414018" w:rsidRPr="009A44FC" w:rsidRDefault="009F45B1" w:rsidP="00414018">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thank the reviewer for raising this issue. </w:t>
      </w:r>
      <w:r w:rsidR="00C34826">
        <w:rPr>
          <w:rFonts w:ascii="Times New Roman" w:hAnsi="Times New Roman" w:cs="Times New Roman"/>
          <w:color w:val="000000" w:themeColor="text1"/>
          <w:sz w:val="22"/>
          <w:szCs w:val="22"/>
        </w:rPr>
        <w:t xml:space="preserve">For the simulation results, we updated the manuscript to specify the precise situations of our experiments and to clarify that these scenarios represent only a subset of the data sets that users may encounter in practice. </w:t>
      </w:r>
      <w:r w:rsidR="009009D6" w:rsidRPr="009A44FC">
        <w:rPr>
          <w:rFonts w:ascii="Times New Roman" w:hAnsi="Times New Roman" w:cs="Times New Roman"/>
          <w:color w:val="000000" w:themeColor="text1"/>
          <w:sz w:val="22"/>
          <w:szCs w:val="22"/>
        </w:rPr>
        <w:t>A</w:t>
      </w:r>
      <w:r w:rsidR="0045683D">
        <w:rPr>
          <w:rFonts w:ascii="Times New Roman" w:hAnsi="Times New Roman" w:cs="Times New Roman"/>
          <w:color w:val="000000" w:themeColor="text1"/>
          <w:sz w:val="22"/>
          <w:szCs w:val="22"/>
        </w:rPr>
        <w:t>s such</w:t>
      </w:r>
      <w:r w:rsidR="009009D6" w:rsidRPr="009A44FC">
        <w:rPr>
          <w:rFonts w:ascii="Times New Roman" w:hAnsi="Times New Roman" w:cs="Times New Roman"/>
          <w:color w:val="000000" w:themeColor="text1"/>
          <w:sz w:val="22"/>
          <w:szCs w:val="22"/>
        </w:rPr>
        <w:t xml:space="preserve">, we have </w:t>
      </w:r>
      <w:r w:rsidR="00CC65CB">
        <w:rPr>
          <w:rFonts w:ascii="Times New Roman" w:hAnsi="Times New Roman" w:cs="Times New Roman"/>
          <w:color w:val="000000" w:themeColor="text1"/>
          <w:sz w:val="22"/>
          <w:szCs w:val="22"/>
        </w:rPr>
        <w:t xml:space="preserve">modified our performance claims </w:t>
      </w:r>
      <w:r w:rsidR="009009D6" w:rsidRPr="009A44FC">
        <w:rPr>
          <w:rFonts w:ascii="Times New Roman" w:hAnsi="Times New Roman" w:cs="Times New Roman"/>
          <w:color w:val="000000" w:themeColor="text1"/>
          <w:sz w:val="22"/>
          <w:szCs w:val="22"/>
        </w:rPr>
        <w:t>(</w:t>
      </w:r>
      <w:r w:rsidR="0045683D" w:rsidRPr="009A44FC">
        <w:rPr>
          <w:rFonts w:ascii="Times New Roman" w:hAnsi="Times New Roman" w:cs="Times New Roman"/>
          <w:color w:val="000000" w:themeColor="text1"/>
          <w:sz w:val="22"/>
          <w:szCs w:val="22"/>
        </w:rPr>
        <w:t>e.g.,</w:t>
      </w:r>
      <w:r w:rsidR="009009D6" w:rsidRPr="009A44FC">
        <w:rPr>
          <w:rFonts w:ascii="Times New Roman" w:hAnsi="Times New Roman" w:cs="Times New Roman"/>
          <w:color w:val="000000" w:themeColor="text1"/>
          <w:sz w:val="22"/>
          <w:szCs w:val="22"/>
        </w:rPr>
        <w:t xml:space="preserve"> lines X – Y). </w:t>
      </w:r>
    </w:p>
    <w:p w14:paraId="5012F83C" w14:textId="58992CF7"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terms of our gingival data set, we agree that the aerobic vs anaerobic hypothesis is not strong enough to serve as ground truth.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the lack of standardized gold-standard data sets for enrichment testing in the discussion section. Furthermore, </w:t>
      </w:r>
      <w:commentRangeStart w:id="3"/>
      <w:r w:rsidRPr="009A44FC">
        <w:rPr>
          <w:rFonts w:ascii="Times New Roman" w:hAnsi="Times New Roman" w:cs="Times New Roman"/>
          <w:color w:val="000000" w:themeColor="text1"/>
          <w:sz w:val="22"/>
          <w:szCs w:val="22"/>
        </w:rPr>
        <w:t xml:space="preserve">we have added additional type I error </w:t>
      </w:r>
      <w:r w:rsidR="0045683D">
        <w:rPr>
          <w:rFonts w:ascii="Times New Roman" w:hAnsi="Times New Roman" w:cs="Times New Roman"/>
          <w:color w:val="000000" w:themeColor="text1"/>
          <w:sz w:val="22"/>
          <w:szCs w:val="22"/>
        </w:rPr>
        <w:t>results</w:t>
      </w:r>
      <w:r w:rsidRPr="009A44FC">
        <w:rPr>
          <w:rFonts w:ascii="Times New Roman" w:hAnsi="Times New Roman" w:cs="Times New Roman"/>
          <w:color w:val="000000" w:themeColor="text1"/>
          <w:sz w:val="22"/>
          <w:szCs w:val="22"/>
        </w:rPr>
        <w:t xml:space="preserve"> on the real data set</w:t>
      </w:r>
      <w:commentRangeEnd w:id="3"/>
      <w:r w:rsidR="0045683D">
        <w:rPr>
          <w:rStyle w:val="CommentReference"/>
        </w:rPr>
        <w:commentReference w:id="3"/>
      </w:r>
      <w:r w:rsidRPr="009A44FC">
        <w:rPr>
          <w:rFonts w:ascii="Times New Roman" w:hAnsi="Times New Roman" w:cs="Times New Roman"/>
          <w:color w:val="000000" w:themeColor="text1"/>
          <w:sz w:val="22"/>
          <w:szCs w:val="22"/>
        </w:rPr>
        <w:t xml:space="preserve"> (following standards set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a3XvuWx8","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9A1631" w:rsidRPr="009A1631">
        <w:rPr>
          <w:rFonts w:ascii="Times New Roman" w:hAnsi="Times New Roman" w:cs="Times New Roman"/>
          <w:sz w:val="22"/>
        </w:rPr>
        <w:t>[1]</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 as recommended by reviewer 2). However, we maintain that the results still provide good insight into model performance since the hypothesis </w:t>
      </w:r>
      <w:r w:rsidR="00B97F13" w:rsidRPr="009A44FC">
        <w:rPr>
          <w:rFonts w:ascii="Times New Roman" w:hAnsi="Times New Roman" w:cs="Times New Roman"/>
          <w:color w:val="000000" w:themeColor="text1"/>
          <w:sz w:val="22"/>
          <w:szCs w:val="22"/>
        </w:rPr>
        <w:t>does have</w:t>
      </w:r>
      <w:r w:rsidR="0045683D">
        <w:rPr>
          <w:rFonts w:ascii="Times New Roman" w:hAnsi="Times New Roman" w:cs="Times New Roman"/>
          <w:color w:val="000000" w:themeColor="text1"/>
          <w:sz w:val="22"/>
          <w:szCs w:val="22"/>
        </w:rPr>
        <w:t xml:space="preserve"> a</w:t>
      </w:r>
      <w:r w:rsidR="00B97F13" w:rsidRPr="009A44FC">
        <w:rPr>
          <w:rFonts w:ascii="Times New Roman" w:hAnsi="Times New Roman" w:cs="Times New Roman"/>
          <w:color w:val="000000" w:themeColor="text1"/>
          <w:sz w:val="22"/>
          <w:szCs w:val="22"/>
        </w:rPr>
        <w:t xml:space="preser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attempts to validate differential abundance analyses for microbiome data </w:t>
      </w:r>
      <w:r w:rsidRPr="009A44FC">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ke8CjCvB","properties":{"formattedCitation":"[13]","plainCitation":"[13]","noteIndex":0},"citationItems":[{"id":1746,"uris":["http://zotero.org/users/4849999/items/R5HNS27S"],"uri":["http://zotero.org/users/4849999/items/R5HNS27S"],"itemData":{"id":1746,"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[13]</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5D6AF1AE" w14:textId="1A723E3C" w:rsidR="007311CD" w:rsidRPr="00617D77" w:rsidRDefault="00BB7799" w:rsidP="00617D77">
      <w:pPr>
        <w:pStyle w:val="ListParagraph"/>
        <w:numPr>
          <w:ilvl w:val="0"/>
          <w:numId w:val="6"/>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Other Comments on Clarity</w:t>
      </w:r>
    </w:p>
    <w:p w14:paraId="776A0EA0" w14:textId="3C0DBFF6" w:rsidR="00ED3611"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lacks detail. I kept waiting for a</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methods section to answer some of my questions (e.g., how </w:t>
      </w:r>
      <w:proofErr w:type="gramStart"/>
      <w:r w:rsidRPr="00617D77">
        <w:rPr>
          <w:rFonts w:ascii="Times New Roman" w:hAnsi="Times New Roman" w:cs="Times New Roman"/>
          <w:color w:val="FF0000"/>
          <w:sz w:val="22"/>
          <w:szCs w:val="22"/>
        </w:rPr>
        <w:t>was mu or</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phi</w:t>
      </w:r>
      <w:proofErr w:type="gramEnd"/>
      <w:r w:rsidRPr="00617D77">
        <w:rPr>
          <w:rFonts w:ascii="Times New Roman" w:hAnsi="Times New Roman" w:cs="Times New Roman"/>
          <w:color w:val="FF0000"/>
          <w:sz w:val="22"/>
          <w:szCs w:val="22"/>
        </w:rPr>
        <w:t xml:space="preserve"> chosen in equation 3) but these don't seem to be listed</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anywhere. Details in the remaining parts of the manuscript are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inconsistently given or vague. e.g., Line 249 "all sample sizes were</w:t>
      </w:r>
      <w:r w:rsidR="007311CD"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set to 10,000". Do you mean sequencing depth? Number of reads?</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Number of technical replicates? What is this referring to?</w:t>
      </w:r>
    </w:p>
    <w:p w14:paraId="4226E338" w14:textId="6F29725F"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w:t>
      </w:r>
      <w:r w:rsidR="0045683D">
        <w:rPr>
          <w:rFonts w:ascii="Times New Roman" w:hAnsi="Times New Roman" w:cs="Times New Roman"/>
          <w:color w:val="000000" w:themeColor="text1"/>
          <w:sz w:val="22"/>
          <w:szCs w:val="22"/>
        </w:rPr>
        <w:t xml:space="preserve"> improve</w:t>
      </w:r>
      <w:r w:rsidRPr="009A44FC">
        <w:rPr>
          <w:rFonts w:ascii="Times New Roman" w:hAnsi="Times New Roman" w:cs="Times New Roman"/>
          <w:color w:val="000000" w:themeColor="text1"/>
          <w:sz w:val="22"/>
          <w:szCs w:val="22"/>
        </w:rPr>
        <w:t xml:space="preserve"> readability and fil</w:t>
      </w:r>
      <w:r w:rsidR="0045683D">
        <w:rPr>
          <w:rFonts w:ascii="Times New Roman" w:hAnsi="Times New Roman" w:cs="Times New Roman"/>
          <w:color w:val="000000" w:themeColor="text1"/>
          <w:sz w:val="22"/>
          <w:szCs w:val="22"/>
        </w:rPr>
        <w:t>l</w:t>
      </w:r>
      <w:r w:rsidRPr="009A44FC">
        <w:rPr>
          <w:rFonts w:ascii="Times New Roman" w:hAnsi="Times New Roman" w:cs="Times New Roman"/>
          <w:color w:val="000000" w:themeColor="text1"/>
          <w:sz w:val="22"/>
          <w:szCs w:val="22"/>
        </w:rPr>
        <w:t xml:space="preserve"> in missing gaps</w:t>
      </w:r>
      <w:r w:rsidR="00AD17DB" w:rsidRPr="009A44FC">
        <w:rPr>
          <w:rFonts w:ascii="Times New Roman" w:hAnsi="Times New Roman" w:cs="Times New Roman"/>
          <w:color w:val="000000" w:themeColor="text1"/>
          <w:sz w:val="22"/>
          <w:szCs w:val="22"/>
        </w:rPr>
        <w:t xml:space="preserve"> </w:t>
      </w:r>
      <w:r w:rsidR="0045683D">
        <w:rPr>
          <w:rFonts w:ascii="Times New Roman" w:hAnsi="Times New Roman" w:cs="Times New Roman"/>
          <w:color w:val="000000" w:themeColor="text1"/>
          <w:sz w:val="22"/>
          <w:szCs w:val="22"/>
        </w:rPr>
        <w:t>in</w:t>
      </w:r>
      <w:r w:rsidR="00AD17DB" w:rsidRPr="009A44FC">
        <w:rPr>
          <w:rFonts w:ascii="Times New Roman" w:hAnsi="Times New Roman" w:cs="Times New Roman"/>
          <w:color w:val="000000" w:themeColor="text1"/>
          <w:sz w:val="22"/>
          <w:szCs w:val="22"/>
        </w:rPr>
        <w:t xml:space="preserve"> our </w:t>
      </w:r>
      <w:r w:rsidR="0045683D">
        <w:rPr>
          <w:rFonts w:ascii="Times New Roman" w:hAnsi="Times New Roman" w:cs="Times New Roman"/>
          <w:color w:val="000000" w:themeColor="text1"/>
          <w:sz w:val="22"/>
          <w:szCs w:val="22"/>
        </w:rPr>
        <w:t>evaluation methodology</w:t>
      </w:r>
      <w:r w:rsidRPr="009A44FC">
        <w:rPr>
          <w:rFonts w:ascii="Times New Roman" w:hAnsi="Times New Roman" w:cs="Times New Roman"/>
          <w:color w:val="000000" w:themeColor="text1"/>
          <w:sz w:val="22"/>
          <w:szCs w:val="22"/>
        </w:rPr>
        <w:t xml:space="preserve">. With regards to the specific examples provided by the reviewer, we provide some clarifications as follows: </w:t>
      </w:r>
    </w:p>
    <w:p w14:paraId="787B7EDD" w14:textId="11C557FE"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Cambria Math" w:hAnsi="Cambria Math" w:cs="Times New Roman"/>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Cambria Math" w:eastAsiaTheme="minorEastAsia" w:hAnsi="Cambria Math" w:cs="Times New Roman"/>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9A44FC">
        <w:rPr>
          <w:rFonts w:ascii="Times New Roman" w:eastAsiaTheme="minorEastAsia" w:hAnsi="Times New Roman" w:cs="Times New Roman"/>
          <w:i/>
          <w:iCs/>
          <w:color w:val="000000" w:themeColor="text1"/>
          <w:sz w:val="22"/>
          <w:szCs w:val="22"/>
        </w:rPr>
        <w:t>fitdistrplus</w:t>
      </w:r>
      <w:proofErr w:type="spellEnd"/>
      <w:r w:rsidRPr="009A44FC">
        <w:rPr>
          <w:rFonts w:ascii="Times New Roman" w:eastAsiaTheme="minorEastAsia" w:hAnsi="Times New Roman" w:cs="Times New Roman"/>
          <w:color w:val="000000" w:themeColor="text1"/>
          <w:sz w:val="22"/>
          <w:szCs w:val="22"/>
        </w:rPr>
        <w:t xml:space="preserve"> package </w:t>
      </w:r>
      <w:r w:rsidRPr="009A44FC">
        <w:rPr>
          <w:rFonts w:ascii="Times New Roman" w:eastAsiaTheme="minorEastAsia" w:hAnsi="Times New Roman" w:cs="Times New Roman"/>
          <w:color w:val="000000" w:themeColor="text1"/>
          <w:sz w:val="22"/>
          <w:szCs w:val="22"/>
        </w:rPr>
        <w:fldChar w:fldCharType="begin"/>
      </w:r>
      <w:r w:rsidR="009A1631">
        <w:rPr>
          <w:rFonts w:ascii="Times New Roman" w:eastAsiaTheme="minorEastAsia" w:hAnsi="Times New Roman" w:cs="Times New Roman"/>
          <w:color w:val="000000" w:themeColor="text1"/>
          <w:sz w:val="22"/>
          <w:szCs w:val="22"/>
        </w:rPr>
        <w:instrText xml:space="preserve"> ADDIN ZOTERO_ITEM CSL_CITATION {"citationID":"zWdonE7B","properties":{"formattedCitation":"[14]","plainCitation":"[14]","noteIndex":0},"citationItems":[{"id":1867,"uris":["http://zotero.org/users/4849999/items/8PVF4TV7"],"uri":["http://zotero.org/users/4849999/items/8PVF4TV7"],"itemData":{"id":1867,"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Pr="009A44FC">
        <w:rPr>
          <w:rFonts w:ascii="Times New Roman" w:eastAsiaTheme="minorEastAsia" w:hAnsi="Times New Roman" w:cs="Times New Roman"/>
          <w:color w:val="000000" w:themeColor="text1"/>
          <w:sz w:val="22"/>
          <w:szCs w:val="22"/>
        </w:rPr>
        <w:fldChar w:fldCharType="separate"/>
      </w:r>
      <w:r w:rsidR="0080238E">
        <w:rPr>
          <w:rFonts w:ascii="Times New Roman" w:eastAsiaTheme="minorEastAsia" w:hAnsi="Times New Roman" w:cs="Times New Roman"/>
          <w:noProof/>
          <w:color w:val="000000" w:themeColor="text1"/>
          <w:sz w:val="22"/>
          <w:szCs w:val="22"/>
        </w:rPr>
        <w:t>[14]</w:t>
      </w:r>
      <w:r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0AD96311" w14:textId="2415A85D"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 xml:space="preserve">10,000 samples </w:t>
      </w:r>
      <w:proofErr w:type="gramStart"/>
      <w:r w:rsidRPr="009A44FC">
        <w:rPr>
          <w:rFonts w:ascii="Times New Roman" w:eastAsiaTheme="minorEastAsia" w:hAnsi="Times New Roman" w:cs="Times New Roman"/>
          <w:color w:val="000000" w:themeColor="text1"/>
          <w:sz w:val="22"/>
          <w:szCs w:val="22"/>
        </w:rPr>
        <w:t>refer</w:t>
      </w:r>
      <w:r w:rsidR="0045683D">
        <w:rPr>
          <w:rFonts w:ascii="Times New Roman" w:eastAsiaTheme="minorEastAsia" w:hAnsi="Times New Roman" w:cs="Times New Roman"/>
          <w:color w:val="000000" w:themeColor="text1"/>
          <w:sz w:val="22"/>
          <w:szCs w:val="22"/>
        </w:rPr>
        <w:t>s</w:t>
      </w:r>
      <w:proofErr w:type="gramEnd"/>
      <w:r w:rsidRPr="009A44FC">
        <w:rPr>
          <w:rFonts w:ascii="Times New Roman" w:eastAsiaTheme="minorEastAsia" w:hAnsi="Times New Roman" w:cs="Times New Roman"/>
          <w:color w:val="000000" w:themeColor="text1"/>
          <w:sz w:val="22"/>
          <w:szCs w:val="22"/>
        </w:rPr>
        <w:t xml:space="preserve"> to the number of samples (i.e.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8B91F06" w14:textId="681CE6CC" w:rsidR="00BB7799" w:rsidRPr="00617D77" w:rsidRDefault="00BB7799" w:rsidP="00617D77">
      <w:pPr>
        <w:pStyle w:val="ListParagraph"/>
        <w:numPr>
          <w:ilvl w:val="0"/>
          <w:numId w:val="17"/>
        </w:numPr>
        <w:spacing w:after="120"/>
        <w:rPr>
          <w:rFonts w:ascii="Times New Roman" w:hAnsi="Times New Roman" w:cs="Times New Roman"/>
          <w:color w:val="FF0000"/>
          <w:sz w:val="22"/>
          <w:szCs w:val="22"/>
        </w:rPr>
      </w:pPr>
      <w:r w:rsidRPr="00617D77">
        <w:rPr>
          <w:rFonts w:ascii="Times New Roman" w:hAnsi="Times New Roman" w:cs="Times New Roman"/>
          <w:color w:val="FF0000"/>
          <w:sz w:val="22"/>
          <w:szCs w:val="22"/>
        </w:rPr>
        <w:t>The writing after line 215 is hard to read. In part this relates to</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the lack of </w:t>
      </w:r>
      <w:proofErr w:type="gramStart"/>
      <w:r w:rsidRPr="00617D77">
        <w:rPr>
          <w:rFonts w:ascii="Times New Roman" w:hAnsi="Times New Roman" w:cs="Times New Roman"/>
          <w:color w:val="FF0000"/>
          <w:sz w:val="22"/>
          <w:szCs w:val="22"/>
        </w:rPr>
        <w:t>detail</w:t>
      </w:r>
      <w:proofErr w:type="gramEnd"/>
      <w:r w:rsidRPr="00617D77">
        <w:rPr>
          <w:rFonts w:ascii="Times New Roman" w:hAnsi="Times New Roman" w:cs="Times New Roman"/>
          <w:color w:val="FF0000"/>
          <w:sz w:val="22"/>
          <w:szCs w:val="22"/>
        </w:rPr>
        <w:t xml:space="preserve"> but I think it also stems from the fact that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manuscript starts being written in triplicate for Single 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Differential Abundance Analysis, and then Prediction. It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makes the paper repetitive and hard to follow. Further, figures are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repetitive and poorly labeled so </w:t>
      </w:r>
      <w:r w:rsidR="00ED3611" w:rsidRPr="00617D77">
        <w:rPr>
          <w:rFonts w:ascii="Times New Roman" w:hAnsi="Times New Roman" w:cs="Times New Roman"/>
          <w:color w:val="FF0000"/>
          <w:sz w:val="22"/>
          <w:szCs w:val="22"/>
        </w:rPr>
        <w:t>it’s</w:t>
      </w:r>
      <w:r w:rsidRPr="00617D77">
        <w:rPr>
          <w:rFonts w:ascii="Times New Roman" w:hAnsi="Times New Roman" w:cs="Times New Roman"/>
          <w:color w:val="FF0000"/>
          <w:sz w:val="22"/>
          <w:szCs w:val="22"/>
        </w:rPr>
        <w:t xml:space="preserve"> hard, </w:t>
      </w:r>
      <w:proofErr w:type="gramStart"/>
      <w:r w:rsidRPr="00617D77">
        <w:rPr>
          <w:rFonts w:ascii="Times New Roman" w:hAnsi="Times New Roman" w:cs="Times New Roman"/>
          <w:color w:val="FF0000"/>
          <w:sz w:val="22"/>
          <w:szCs w:val="22"/>
        </w:rPr>
        <w:t>at a glance</w:t>
      </w:r>
      <w:proofErr w:type="gramEnd"/>
      <w:r w:rsidRPr="00617D77">
        <w:rPr>
          <w:rFonts w:ascii="Times New Roman" w:hAnsi="Times New Roman" w:cs="Times New Roman"/>
          <w:color w:val="FF0000"/>
          <w:sz w:val="22"/>
          <w:szCs w:val="22"/>
        </w:rPr>
        <w:t>, to figure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out what figure links to what part of the paper. I have never seen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discussion written in the </w:t>
      </w:r>
      <w:proofErr w:type="gramStart"/>
      <w:r w:rsidRPr="00617D77">
        <w:rPr>
          <w:rFonts w:ascii="Times New Roman" w:hAnsi="Times New Roman" w:cs="Times New Roman"/>
          <w:color w:val="FF0000"/>
          <w:sz w:val="22"/>
          <w:szCs w:val="22"/>
        </w:rPr>
        <w:t>parts</w:t>
      </w:r>
      <w:proofErr w:type="gramEnd"/>
      <w:r w:rsidRPr="00617D77">
        <w:rPr>
          <w:rFonts w:ascii="Times New Roman" w:hAnsi="Times New Roman" w:cs="Times New Roman"/>
          <w:color w:val="FF0000"/>
          <w:sz w:val="22"/>
          <w:szCs w:val="22"/>
        </w:rPr>
        <w:t xml:space="preserve"> but this just adds to the feeling</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that this is just a paper written in triplicate without a coherent</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message beyond the initial idea which ends around line 215. Further</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it was not clear from reading the introduction that the paper would</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be organized like this; some warning in the introduction may help a</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bit. In fact, it was not even clear what the distinction between</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single-</w:t>
      </w:r>
      <w:r w:rsidRPr="00617D77">
        <w:rPr>
          <w:rFonts w:ascii="Times New Roman" w:hAnsi="Times New Roman" w:cs="Times New Roman"/>
          <w:color w:val="FF0000"/>
          <w:sz w:val="22"/>
          <w:szCs w:val="22"/>
        </w:rPr>
        <w:lastRenderedPageBreak/>
        <w:t>sample enrichment and differential abundance was from the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introduction. In addition, this notation is non-standard. </w:t>
      </w:r>
      <w:proofErr w:type="gramStart"/>
      <w:r w:rsidRPr="00617D77">
        <w:rPr>
          <w:rFonts w:ascii="Times New Roman" w:hAnsi="Times New Roman" w:cs="Times New Roman"/>
          <w:color w:val="FF0000"/>
          <w:sz w:val="22"/>
          <w:szCs w:val="22"/>
        </w:rPr>
        <w:t>Typically</w:t>
      </w:r>
      <w:proofErr w:type="gramEnd"/>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 xml:space="preserve">enrichment (e.g., as used in </w:t>
      </w:r>
      <w:proofErr w:type="spellStart"/>
      <w:r w:rsidRPr="00617D77">
        <w:rPr>
          <w:rFonts w:ascii="Times New Roman" w:hAnsi="Times New Roman" w:cs="Times New Roman"/>
          <w:color w:val="FF0000"/>
          <w:sz w:val="22"/>
          <w:szCs w:val="22"/>
        </w:rPr>
        <w:t>gsEa</w:t>
      </w:r>
      <w:proofErr w:type="spellEnd"/>
      <w:r w:rsidRPr="00617D77">
        <w:rPr>
          <w:rFonts w:ascii="Times New Roman" w:hAnsi="Times New Roman" w:cs="Times New Roman"/>
          <w:color w:val="FF0000"/>
          <w:sz w:val="22"/>
          <w:szCs w:val="22"/>
        </w:rPr>
        <w:t>) refers to essentially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differential expression but for sets of genes (i.e., it is typically</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a comparison between groups). This makes the "single-sample</w:t>
      </w:r>
      <w:r w:rsidR="00ED3611" w:rsidRPr="00617D77">
        <w:rPr>
          <w:rFonts w:ascii="Times New Roman" w:hAnsi="Times New Roman" w:cs="Times New Roman"/>
          <w:color w:val="FF0000"/>
          <w:sz w:val="22"/>
          <w:szCs w:val="22"/>
        </w:rPr>
        <w:t xml:space="preserve"> </w:t>
      </w:r>
      <w:r w:rsidRPr="00617D77">
        <w:rPr>
          <w:rFonts w:ascii="Times New Roman" w:hAnsi="Times New Roman" w:cs="Times New Roman"/>
          <w:color w:val="FF0000"/>
          <w:sz w:val="22"/>
          <w:szCs w:val="22"/>
        </w:rPr>
        <w:t>enrichment" terminology confusing.</w:t>
      </w:r>
    </w:p>
    <w:p w14:paraId="0EF1EAD7" w14:textId="47464445" w:rsidR="007609C2" w:rsidRPr="009A44FC" w:rsidRDefault="0045683D" w:rsidP="007609C2">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w:t>
      </w:r>
      <w:r w:rsidR="007609C2" w:rsidRPr="009A44FC">
        <w:rPr>
          <w:rFonts w:ascii="Times New Roman" w:hAnsi="Times New Roman" w:cs="Times New Roman"/>
          <w:color w:val="000000" w:themeColor="text1"/>
          <w:sz w:val="22"/>
          <w:szCs w:val="22"/>
        </w:rPr>
        <w:t>e</w:t>
      </w:r>
      <w:r>
        <w:rPr>
          <w:rFonts w:ascii="Times New Roman" w:hAnsi="Times New Roman" w:cs="Times New Roman"/>
          <w:color w:val="000000" w:themeColor="text1"/>
          <w:sz w:val="22"/>
          <w:szCs w:val="22"/>
        </w:rPr>
        <w:t xml:space="preserve"> now include an overview of the manuscript in the introduction</w:t>
      </w:r>
      <w:r w:rsidR="007609C2" w:rsidRPr="009A44FC">
        <w:rPr>
          <w:rFonts w:ascii="Times New Roman" w:hAnsi="Times New Roman" w:cs="Times New Roman"/>
          <w:color w:val="000000" w:themeColor="text1"/>
          <w:sz w:val="22"/>
          <w:szCs w:val="22"/>
        </w:rPr>
        <w:t xml:space="preserve">. Additionally, we restructured the manuscript </w:t>
      </w:r>
      <w:r w:rsidR="00632DB7">
        <w:rPr>
          <w:rFonts w:ascii="Times New Roman" w:hAnsi="Times New Roman" w:cs="Times New Roman"/>
          <w:color w:val="000000" w:themeColor="text1"/>
          <w:sz w:val="22"/>
          <w:szCs w:val="22"/>
        </w:rPr>
        <w:t>to</w:t>
      </w:r>
      <w:r w:rsidR="007609C2" w:rsidRPr="009A44FC">
        <w:rPr>
          <w:rFonts w:ascii="Times New Roman" w:hAnsi="Times New Roman" w:cs="Times New Roman"/>
          <w:color w:val="000000" w:themeColor="text1"/>
          <w:sz w:val="22"/>
          <w:szCs w:val="22"/>
        </w:rPr>
        <w:t xml:space="preserve"> feature the enrichment analysis more prominently</w:t>
      </w:r>
      <w:r w:rsidR="00E6776D" w:rsidRPr="009A44FC">
        <w:rPr>
          <w:rFonts w:ascii="Times New Roman" w:hAnsi="Times New Roman" w:cs="Times New Roman"/>
          <w:color w:val="000000" w:themeColor="text1"/>
          <w:sz w:val="22"/>
          <w:szCs w:val="22"/>
        </w:rPr>
        <w:t xml:space="preserve"> and provide clarification on the specific meaning of each section. We also adjusted figures </w:t>
      </w:r>
      <w:r w:rsidR="00632DB7">
        <w:rPr>
          <w:rFonts w:ascii="Times New Roman" w:hAnsi="Times New Roman" w:cs="Times New Roman"/>
          <w:color w:val="000000" w:themeColor="text1"/>
          <w:sz w:val="22"/>
          <w:szCs w:val="22"/>
        </w:rPr>
        <w:t xml:space="preserve">labels and captions to help distinguish across different sections. </w:t>
      </w:r>
    </w:p>
    <w:p w14:paraId="10E7EA12" w14:textId="77777777" w:rsidR="00BB7799" w:rsidRPr="009A44FC" w:rsidRDefault="00BB7799" w:rsidP="002270CE">
      <w:pPr>
        <w:spacing w:after="120"/>
        <w:rPr>
          <w:rFonts w:ascii="Times New Roman" w:hAnsi="Times New Roman" w:cs="Times New Roman"/>
          <w:sz w:val="22"/>
          <w:szCs w:val="22"/>
        </w:rPr>
      </w:pPr>
    </w:p>
    <w:p w14:paraId="7CD87F28" w14:textId="1893202A"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2C0B738E" w14:textId="5F459DD5"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u w:val="single"/>
        </w:rPr>
        <w:t>Summary</w:t>
      </w:r>
    </w:p>
    <w:p w14:paraId="4E5CDF35"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theoretical considerations with the use of a competitive null hypothesis for enrichment testing.</w:t>
      </w:r>
    </w:p>
    <w:p w14:paraId="5BEBDF2D" w14:textId="04C73138"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w:t>
      </w:r>
      <w:r w:rsidR="006B3C25">
        <w:rPr>
          <w:rFonts w:ascii="Times New Roman" w:hAnsi="Times New Roman" w:cs="Times New Roman"/>
          <w:color w:val="000000" w:themeColor="text1"/>
          <w:sz w:val="22"/>
          <w:szCs w:val="22"/>
        </w:rPr>
        <w:t>made</w:t>
      </w:r>
      <w:r w:rsidRPr="009A44FC">
        <w:rPr>
          <w:rFonts w:ascii="Times New Roman" w:hAnsi="Times New Roman" w:cs="Times New Roman"/>
          <w:color w:val="000000" w:themeColor="text1"/>
          <w:sz w:val="22"/>
          <w:szCs w:val="22"/>
        </w:rPr>
        <w:t xml:space="preserve"> structural changes in the manuscript (as described in the preamble section of this response) to make sure we acknowledge the standards set out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2021</w:t>
      </w:r>
      <w:r w:rsidR="006B3C25">
        <w:rPr>
          <w:rFonts w:ascii="Times New Roman" w:hAnsi="Times New Roman" w:cs="Times New Roman"/>
          <w:color w:val="000000" w:themeColor="text1"/>
          <w:sz w:val="22"/>
          <w:szCs w:val="22"/>
        </w:rPr>
        <w:t xml:space="preserve"> </w:t>
      </w:r>
      <w:r w:rsidR="006B3C25">
        <w:rPr>
          <w:rFonts w:ascii="Times New Roman" w:hAnsi="Times New Roman" w:cs="Times New Roman"/>
          <w:color w:val="000000" w:themeColor="text1"/>
          <w:sz w:val="22"/>
          <w:szCs w:val="22"/>
        </w:rPr>
        <w:fldChar w:fldCharType="begin"/>
      </w:r>
      <w:r w:rsidR="006B3C25">
        <w:rPr>
          <w:rFonts w:ascii="Times New Roman" w:hAnsi="Times New Roman" w:cs="Times New Roman"/>
          <w:color w:val="000000" w:themeColor="text1"/>
          <w:sz w:val="22"/>
          <w:szCs w:val="22"/>
        </w:rPr>
        <w:instrText xml:space="preserve"> ADDIN ZOTERO_ITEM CSL_CITATION {"citationID":"fRVS2a7f","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6B3C25">
        <w:rPr>
          <w:rFonts w:ascii="Times New Roman" w:hAnsi="Times New Roman" w:cs="Times New Roman"/>
          <w:color w:val="000000" w:themeColor="text1"/>
          <w:sz w:val="22"/>
          <w:szCs w:val="22"/>
        </w:rPr>
        <w:fldChar w:fldCharType="separate"/>
      </w:r>
      <w:r w:rsidR="006B3C25" w:rsidRPr="006B3C25">
        <w:rPr>
          <w:rFonts w:ascii="Times New Roman" w:hAnsi="Times New Roman" w:cs="Times New Roman"/>
          <w:sz w:val="22"/>
        </w:rPr>
        <w:t>[1]</w:t>
      </w:r>
      <w:r w:rsidR="006B3C25">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6D3434" w:rsidRPr="009A44FC">
        <w:rPr>
          <w:rFonts w:ascii="Times New Roman" w:hAnsi="Times New Roman" w:cs="Times New Roman"/>
          <w:color w:val="000000" w:themeColor="text1"/>
          <w:sz w:val="22"/>
          <w:szCs w:val="22"/>
        </w:rPr>
        <w:t xml:space="preserve">Additionally, we have added a discussion on adjusting for correlation, </w:t>
      </w:r>
      <w:r w:rsidR="00725DE6" w:rsidRPr="009A44FC">
        <w:rPr>
          <w:rFonts w:ascii="Times New Roman" w:hAnsi="Times New Roman" w:cs="Times New Roman"/>
          <w:color w:val="000000" w:themeColor="text1"/>
          <w:sz w:val="22"/>
          <w:szCs w:val="22"/>
        </w:rPr>
        <w:t xml:space="preserve">and have also fixed the </w:t>
      </w:r>
      <w:r w:rsidR="006B3C25">
        <w:rPr>
          <w:rFonts w:ascii="Times New Roman" w:hAnsi="Times New Roman" w:cs="Times New Roman"/>
          <w:color w:val="000000" w:themeColor="text1"/>
          <w:sz w:val="22"/>
          <w:szCs w:val="22"/>
        </w:rPr>
        <w:t xml:space="preserve">R </w:t>
      </w:r>
      <w:r w:rsidR="00725DE6" w:rsidRPr="009A44FC">
        <w:rPr>
          <w:rFonts w:ascii="Times New Roman" w:hAnsi="Times New Roman" w:cs="Times New Roman"/>
          <w:color w:val="000000" w:themeColor="text1"/>
          <w:sz w:val="22"/>
          <w:szCs w:val="22"/>
        </w:rPr>
        <w:t xml:space="preserve">package. </w:t>
      </w:r>
    </w:p>
    <w:p w14:paraId="02031F6C" w14:textId="24BD345E" w:rsidR="00BB7799" w:rsidRPr="009A44FC" w:rsidRDefault="00C40008"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Installation: </w:t>
      </w:r>
    </w:p>
    <w:p w14:paraId="4CD9142D" w14:textId="1C8072C2" w:rsidR="00BB7799"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sidRPr="009A44FC">
        <w:rPr>
          <w:rFonts w:ascii="Times New Roman" w:hAnsi="Times New Roman" w:cs="Times New Roman"/>
          <w:color w:val="FF0000"/>
          <w:sz w:val="22"/>
          <w:szCs w:val="22"/>
        </w:rPr>
        <w:t>is</w:t>
      </w:r>
      <w:proofErr w:type="gramEnd"/>
      <w:r w:rsidRPr="009A44FC">
        <w:rPr>
          <w:rFonts w:ascii="Times New Roman" w:hAnsi="Times New Roman" w:cs="Times New Roman"/>
          <w:color w:val="FF0000"/>
          <w:sz w:val="22"/>
          <w:szCs w:val="22"/>
        </w:rPr>
        <w:t xml:space="preserve"> included below. The method looks useful for the </w:t>
      </w:r>
      <w:proofErr w:type="gramStart"/>
      <w:r w:rsidRPr="009A44FC">
        <w:rPr>
          <w:rFonts w:ascii="Times New Roman" w:hAnsi="Times New Roman" w:cs="Times New Roman"/>
          <w:color w:val="FF0000"/>
          <w:sz w:val="22"/>
          <w:szCs w:val="22"/>
        </w:rPr>
        <w:t>community</w:t>
      </w:r>
      <w:proofErr w:type="gramEnd"/>
      <w:r w:rsidRPr="009A44FC">
        <w:rPr>
          <w:rFonts w:ascii="Times New Roman" w:hAnsi="Times New Roman" w:cs="Times New Roman"/>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9A44FC">
        <w:rPr>
          <w:rFonts w:ascii="Times New Roman" w:hAnsi="Times New Roman" w:cs="Times New Roman"/>
          <w:sz w:val="22"/>
          <w:szCs w:val="22"/>
        </w:rPr>
        <w:t>.</w:t>
      </w:r>
      <w:r w:rsidR="00C40008" w:rsidRPr="009A44FC">
        <w:rPr>
          <w:rFonts w:ascii="Times New Roman" w:hAnsi="Times New Roman" w:cs="Times New Roman"/>
          <w:sz w:val="22"/>
          <w:szCs w:val="22"/>
        </w:rPr>
        <w:t xml:space="preserve"> (Detailed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3EE7E70E" w14:textId="20ED95AC"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w:t>
      </w:r>
      <w:commentRangeStart w:id="4"/>
      <w:r w:rsidR="00AF6497">
        <w:rPr>
          <w:rFonts w:ascii="Times New Roman" w:hAnsi="Times New Roman" w:cs="Times New Roman"/>
          <w:sz w:val="22"/>
          <w:szCs w:val="22"/>
        </w:rPr>
        <w:t>(issue link)</w:t>
      </w:r>
      <w:commentRangeEnd w:id="4"/>
      <w:r w:rsidR="004C591B">
        <w:rPr>
          <w:rStyle w:val="CommentReference"/>
        </w:rPr>
        <w:commentReference w:id="4"/>
      </w:r>
      <w:r w:rsidRPr="009A44FC">
        <w:rPr>
          <w:rFonts w:ascii="Times New Roman" w:hAnsi="Times New Roman" w:cs="Times New Roman"/>
          <w:sz w:val="22"/>
          <w:szCs w:val="22"/>
        </w:rPr>
        <w:t>. The current in development version on GitHub ha</w:t>
      </w:r>
      <w:r w:rsidR="004C591B">
        <w:rPr>
          <w:rFonts w:ascii="Times New Roman" w:hAnsi="Times New Roman" w:cs="Times New Roman"/>
          <w:sz w:val="22"/>
          <w:szCs w:val="22"/>
        </w:rPr>
        <w:t>s</w:t>
      </w:r>
      <w:r w:rsidRPr="009A44FC">
        <w:rPr>
          <w:rFonts w:ascii="Times New Roman" w:hAnsi="Times New Roman" w:cs="Times New Roman"/>
          <w:sz w:val="22"/>
          <w:szCs w:val="22"/>
        </w:rPr>
        <w:t xml:space="preserve"> passed R CMD CHECK</w:t>
      </w:r>
      <w:r w:rsidR="00C51917">
        <w:rPr>
          <w:rFonts w:ascii="Times New Roman" w:hAnsi="Times New Roman" w:cs="Times New Roman"/>
          <w:sz w:val="22"/>
          <w:szCs w:val="22"/>
        </w:rPr>
        <w:t xml:space="preserve"> --as-</w:t>
      </w:r>
      <w:proofErr w:type="spellStart"/>
      <w:r w:rsidR="00C51917">
        <w:rPr>
          <w:rFonts w:ascii="Times New Roman" w:hAnsi="Times New Roman" w:cs="Times New Roman"/>
          <w:sz w:val="22"/>
          <w:szCs w:val="22"/>
        </w:rPr>
        <w:t>cran</w:t>
      </w:r>
      <w:proofErr w:type="spellEnd"/>
      <w:r w:rsidRPr="009A44FC">
        <w:rPr>
          <w:rFonts w:ascii="Times New Roman" w:hAnsi="Times New Roman" w:cs="Times New Roman"/>
          <w:sz w:val="22"/>
          <w:szCs w:val="22"/>
        </w:rPr>
        <w:t xml:space="preserve"> on Windows, MacOS, and </w:t>
      </w:r>
      <w:r w:rsidR="005073B9" w:rsidRPr="009A44FC">
        <w:rPr>
          <w:rFonts w:ascii="Times New Roman" w:hAnsi="Times New Roman" w:cs="Times New Roman"/>
          <w:sz w:val="22"/>
          <w:szCs w:val="22"/>
        </w:rPr>
        <w:t xml:space="preserve">Linux (Ubuntu </w:t>
      </w:r>
      <w:r w:rsidR="00C51917">
        <w:rPr>
          <w:rFonts w:ascii="Times New Roman" w:hAnsi="Times New Roman" w:cs="Times New Roman"/>
          <w:sz w:val="22"/>
          <w:szCs w:val="22"/>
        </w:rPr>
        <w:t>20.08</w:t>
      </w:r>
      <w:r w:rsidR="005073B9" w:rsidRPr="009A44FC">
        <w:rPr>
          <w:rFonts w:ascii="Times New Roman" w:hAnsi="Times New Roman" w:cs="Times New Roman"/>
          <w:sz w:val="22"/>
          <w:szCs w:val="22"/>
        </w:rPr>
        <w:t xml:space="preserve">) via GitHub Actions. </w:t>
      </w:r>
      <w:r w:rsidR="00AF6497">
        <w:rPr>
          <w:rFonts w:ascii="Times New Roman" w:hAnsi="Times New Roman" w:cs="Times New Roman"/>
          <w:sz w:val="22"/>
          <w:szCs w:val="22"/>
        </w:rPr>
        <w:t xml:space="preserve">If there are any installation issues, please let us know. </w:t>
      </w:r>
    </w:p>
    <w:p w14:paraId="18945102" w14:textId="1584EAD8"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Adapting standards for the benchmarking of enrichment methods:</w:t>
      </w:r>
    </w:p>
    <w:p w14:paraId="1DF0D172" w14:textId="658E7AE4" w:rsidR="00C40008" w:rsidRPr="009A44FC" w:rsidRDefault="00BB7799" w:rsidP="002270CE">
      <w:pPr>
        <w:spacing w:after="120"/>
        <w:rPr>
          <w:rFonts w:ascii="Times New Roman" w:hAnsi="Times New Roman" w:cs="Times New Roman"/>
          <w:sz w:val="22"/>
          <w:szCs w:val="22"/>
        </w:rPr>
      </w:pP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w:t>
      </w:r>
      <w:proofErr w:type="spellStart"/>
      <w:r w:rsidRPr="009A44FC">
        <w:rPr>
          <w:rFonts w:ascii="Times New Roman" w:hAnsi="Times New Roman" w:cs="Times New Roman"/>
          <w:color w:val="FF0000"/>
          <w:sz w:val="22"/>
          <w:szCs w:val="22"/>
        </w:rPr>
        <w:t>doi</w:t>
      </w:r>
      <w:proofErr w:type="spellEnd"/>
      <w:r w:rsidRPr="009A44FC">
        <w:rPr>
          <w:rFonts w:ascii="Times New Roman" w:hAnsi="Times New Roman" w:cs="Times New Roman"/>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w:t>
      </w:r>
      <w:proofErr w:type="spellStart"/>
      <w:r w:rsidRPr="009A44FC">
        <w:rPr>
          <w:rFonts w:ascii="Times New Roman" w:hAnsi="Times New Roman" w:cs="Times New Roman"/>
          <w:color w:val="FF0000"/>
          <w:sz w:val="22"/>
          <w:szCs w:val="22"/>
        </w:rPr>
        <w:t>curat</w:t>
      </w:r>
      <w:r w:rsidR="00D065A0" w:rsidRPr="009A44FC">
        <w:rPr>
          <w:rFonts w:ascii="Times New Roman" w:hAnsi="Times New Roman" w:cs="Times New Roman"/>
          <w:color w:val="FF0000"/>
          <w:sz w:val="22"/>
          <w:szCs w:val="22"/>
        </w:rPr>
        <w:t>e</w:t>
      </w:r>
      <w:r w:rsidRPr="009A44FC">
        <w:rPr>
          <w:rFonts w:ascii="Times New Roman" w:hAnsi="Times New Roman" w:cs="Times New Roman"/>
          <w:color w:val="FF0000"/>
          <w:sz w:val="22"/>
          <w:szCs w:val="22"/>
        </w:rPr>
        <w:t>dMetagenomicData</w:t>
      </w:r>
      <w:proofErr w:type="spellEnd"/>
      <w:r w:rsidRPr="009A44FC">
        <w:rPr>
          <w:rFonts w:ascii="Times New Roman" w:hAnsi="Times New Roman" w:cs="Times New Roman"/>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9A44FC">
        <w:rPr>
          <w:rFonts w:ascii="Times New Roman" w:hAnsi="Times New Roman" w:cs="Times New Roman"/>
          <w:color w:val="FF0000"/>
          <w:sz w:val="22"/>
          <w:szCs w:val="22"/>
        </w:rPr>
        <w:t>has the opportunity to</w:t>
      </w:r>
      <w:proofErr w:type="gramEnd"/>
      <w:r w:rsidRPr="009A44FC">
        <w:rPr>
          <w:rFonts w:ascii="Times New Roman" w:hAnsi="Times New Roman" w:cs="Times New Roman"/>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w:t>
      </w:r>
      <w:r w:rsidRPr="009A44FC">
        <w:rPr>
          <w:rFonts w:ascii="Times New Roman" w:hAnsi="Times New Roman" w:cs="Times New Roman"/>
          <w:color w:val="FF0000"/>
          <w:sz w:val="22"/>
          <w:szCs w:val="22"/>
        </w:rPr>
        <w:lastRenderedPageBreak/>
        <w:t>standards, (b) adapting existing standards where possible, and (c) to point out where adaption of such standards would require further work, as there might well be criteria that do not straightforward translate from gene set enrichment to taxon set enrichment</w:t>
      </w:r>
      <w:r w:rsidRPr="009A44FC">
        <w:rPr>
          <w:rFonts w:ascii="Times New Roman" w:hAnsi="Times New Roman" w:cs="Times New Roman"/>
          <w:sz w:val="22"/>
          <w:szCs w:val="22"/>
        </w:rPr>
        <w:t>.</w:t>
      </w:r>
    </w:p>
    <w:p w14:paraId="1F227A32" w14:textId="103DEC56" w:rsidR="00C40008" w:rsidRDefault="009749F2" w:rsidP="002270CE">
      <w:pPr>
        <w:spacing w:after="120"/>
        <w:rPr>
          <w:rFonts w:ascii="Times New Roman" w:hAnsi="Times New Roman" w:cs="Times New Roman"/>
          <w:sz w:val="22"/>
          <w:szCs w:val="22"/>
        </w:rPr>
      </w:pPr>
      <w:r w:rsidRPr="009A44FC">
        <w:rPr>
          <w:rFonts w:ascii="Times New Roman" w:hAnsi="Times New Roman" w:cs="Times New Roman"/>
          <w:sz w:val="22"/>
          <w:szCs w:val="22"/>
        </w:rPr>
        <w:t xml:space="preserve">We thank the reviewer for </w:t>
      </w:r>
      <w:r w:rsidR="00CD1CBA" w:rsidRPr="009A44FC">
        <w:rPr>
          <w:rFonts w:ascii="Times New Roman" w:hAnsi="Times New Roman" w:cs="Times New Roman"/>
          <w:sz w:val="22"/>
          <w:szCs w:val="22"/>
        </w:rPr>
        <w:t xml:space="preserve">directing us to </w:t>
      </w:r>
      <w:r w:rsidR="00C51917">
        <w:rPr>
          <w:rFonts w:ascii="Times New Roman" w:hAnsi="Times New Roman" w:cs="Times New Roman"/>
          <w:sz w:val="22"/>
          <w:szCs w:val="22"/>
        </w:rPr>
        <w:t xml:space="preserve">the paper by </w:t>
      </w:r>
      <w:proofErr w:type="spellStart"/>
      <w:r w:rsidRPr="009A44FC">
        <w:rPr>
          <w:rFonts w:ascii="Times New Roman" w:hAnsi="Times New Roman" w:cs="Times New Roman"/>
          <w:sz w:val="22"/>
          <w:szCs w:val="22"/>
        </w:rPr>
        <w:t>Geistlinger</w:t>
      </w:r>
      <w:proofErr w:type="spellEnd"/>
      <w:r w:rsidRPr="009A44FC">
        <w:rPr>
          <w:rFonts w:ascii="Times New Roman" w:hAnsi="Times New Roman" w:cs="Times New Roman"/>
          <w:sz w:val="22"/>
          <w:szCs w:val="22"/>
        </w:rPr>
        <w:t xml:space="preserve"> et al. </w:t>
      </w:r>
      <w:r w:rsidR="00C51917">
        <w:rPr>
          <w:rFonts w:ascii="Times New Roman" w:hAnsi="Times New Roman" w:cs="Times New Roman"/>
          <w:sz w:val="22"/>
          <w:szCs w:val="22"/>
        </w:rPr>
        <w:fldChar w:fldCharType="begin"/>
      </w:r>
      <w:r w:rsidR="00C51917">
        <w:rPr>
          <w:rFonts w:ascii="Times New Roman" w:hAnsi="Times New Roman" w:cs="Times New Roman"/>
          <w:sz w:val="22"/>
          <w:szCs w:val="22"/>
        </w:rPr>
        <w:instrText xml:space="preserve"> ADDIN ZOTERO_ITEM CSL_CITATION {"citationID":"OBLXHQMg","properties":{"formattedCitation":"[1]","plainCitation":"[1]","noteIndex":0},"citationItems":[{"id":1962,"uris":["http://zotero.org/users/4849999/items/S6VGGL9V"],"uri":["http://zotero.org/users/4849999/items/S6VGGL9V"],"itemData":{"id":1962,"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00C51917">
        <w:rPr>
          <w:rFonts w:ascii="Times New Roman" w:hAnsi="Times New Roman" w:cs="Times New Roman"/>
          <w:sz w:val="22"/>
          <w:szCs w:val="22"/>
        </w:rPr>
        <w:fldChar w:fldCharType="separate"/>
      </w:r>
      <w:r w:rsidR="00C51917" w:rsidRPr="00C51917">
        <w:rPr>
          <w:rFonts w:ascii="Times New Roman" w:hAnsi="Times New Roman" w:cs="Times New Roman"/>
          <w:sz w:val="22"/>
        </w:rPr>
        <w:t>[1]</w:t>
      </w:r>
      <w:r w:rsidR="00C51917">
        <w:rPr>
          <w:rFonts w:ascii="Times New Roman" w:hAnsi="Times New Roman" w:cs="Times New Roman"/>
          <w:sz w:val="22"/>
          <w:szCs w:val="22"/>
        </w:rPr>
        <w:fldChar w:fldCharType="end"/>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After consulting</w:t>
      </w:r>
      <w:r w:rsidR="00C51917">
        <w:rPr>
          <w:rFonts w:ascii="Times New Roman" w:hAnsi="Times New Roman" w:cs="Times New Roman"/>
          <w:sz w:val="22"/>
          <w:szCs w:val="22"/>
        </w:rPr>
        <w:t xml:space="preserve">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we noticed that many of the existing sections of the manuscript already correspond</w:t>
      </w:r>
      <w:r w:rsidR="00C51917">
        <w:rPr>
          <w:rFonts w:ascii="Times New Roman" w:hAnsi="Times New Roman" w:cs="Times New Roman"/>
          <w:sz w:val="22"/>
          <w:szCs w:val="22"/>
        </w:rPr>
        <w:t xml:space="preserve"> to the structure recommended in the </w:t>
      </w:r>
      <w:proofErr w:type="spellStart"/>
      <w:r w:rsidR="00AF6497">
        <w:rPr>
          <w:rFonts w:ascii="Times New Roman" w:hAnsi="Times New Roman" w:cs="Times New Roman"/>
          <w:sz w:val="22"/>
          <w:szCs w:val="22"/>
        </w:rPr>
        <w:t>Geistliner</w:t>
      </w:r>
      <w:proofErr w:type="spellEnd"/>
      <w:r w:rsidR="00AF6497">
        <w:rPr>
          <w:rFonts w:ascii="Times New Roman" w:hAnsi="Times New Roman" w:cs="Times New Roman"/>
          <w:sz w:val="22"/>
          <w:szCs w:val="22"/>
        </w:rPr>
        <w:t xml:space="preserve"> et al. paper. </w:t>
      </w:r>
      <w:r w:rsidRPr="009A44FC">
        <w:rPr>
          <w:rFonts w:ascii="Times New Roman" w:hAnsi="Times New Roman" w:cs="Times New Roman"/>
          <w:sz w:val="22"/>
          <w:szCs w:val="22"/>
        </w:rPr>
        <w:t>As such, we</w:t>
      </w:r>
      <w:r w:rsidR="00C51917">
        <w:rPr>
          <w:rFonts w:ascii="Times New Roman" w:hAnsi="Times New Roman" w:cs="Times New Roman"/>
          <w:sz w:val="22"/>
          <w:szCs w:val="22"/>
        </w:rPr>
        <w:t xml:space="preserve"> have reorganized the manuscript to properly communicate the relationship between our evaluation strategy and the standards set by </w:t>
      </w:r>
      <w:proofErr w:type="spellStart"/>
      <w:r w:rsidR="00C51917">
        <w:rPr>
          <w:rFonts w:ascii="Times New Roman" w:hAnsi="Times New Roman" w:cs="Times New Roman"/>
          <w:sz w:val="22"/>
          <w:szCs w:val="22"/>
        </w:rPr>
        <w:t>Geistlinger</w:t>
      </w:r>
      <w:proofErr w:type="spellEnd"/>
      <w:r w:rsidR="00C51917">
        <w:rPr>
          <w:rFonts w:ascii="Times New Roman" w:hAnsi="Times New Roman" w:cs="Times New Roman"/>
          <w:sz w:val="22"/>
          <w:szCs w:val="22"/>
        </w:rPr>
        <w:t xml:space="preserve"> et al. </w:t>
      </w:r>
      <w:r w:rsidR="00AF6497">
        <w:rPr>
          <w:rFonts w:ascii="Times New Roman" w:hAnsi="Times New Roman" w:cs="Times New Roman"/>
          <w:sz w:val="22"/>
          <w:szCs w:val="22"/>
        </w:rPr>
        <w:t xml:space="preserve">Changes are as follows: </w:t>
      </w:r>
      <w:r w:rsidRPr="009A44FC">
        <w:rPr>
          <w:rFonts w:ascii="Times New Roman" w:hAnsi="Times New Roman" w:cs="Times New Roman"/>
          <w:sz w:val="22"/>
          <w:szCs w:val="22"/>
        </w:rPr>
        <w:t xml:space="preserve"> </w:t>
      </w:r>
    </w:p>
    <w:p w14:paraId="3186E711" w14:textId="77777777" w:rsidR="0094041D" w:rsidRDefault="0094041D" w:rsidP="009749F2">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have combined the “differential abundance” and “single sample enrichment testing” sections into one section titled “enrichment analysis”. Under this section, “single sample enrichment testing” is now “inference at the sample level”, and “differential abundance” is now “inference at the population level”. </w:t>
      </w:r>
    </w:p>
    <w:p w14:paraId="056FF512" w14:textId="1321D76C" w:rsidR="00D41065" w:rsidRDefault="0094041D" w:rsidP="00D41065">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created a new section </w:t>
      </w:r>
      <w:r w:rsidR="00175D3B" w:rsidRPr="009A44FC">
        <w:rPr>
          <w:rFonts w:ascii="Times New Roman" w:hAnsi="Times New Roman" w:cs="Times New Roman"/>
          <w:sz w:val="22"/>
          <w:szCs w:val="22"/>
        </w:rPr>
        <w:t xml:space="preserve">titled </w:t>
      </w:r>
      <w:r w:rsidR="00B20751" w:rsidRPr="009A44FC">
        <w:rPr>
          <w:rFonts w:ascii="Times New Roman" w:hAnsi="Times New Roman" w:cs="Times New Roman"/>
          <w:sz w:val="22"/>
          <w:szCs w:val="22"/>
        </w:rPr>
        <w:t xml:space="preserve">“downstream analyses” </w:t>
      </w:r>
      <w:proofErr w:type="gramStart"/>
      <w:r w:rsidR="00B20751" w:rsidRPr="009A44FC">
        <w:rPr>
          <w:rFonts w:ascii="Times New Roman" w:hAnsi="Times New Roman" w:cs="Times New Roman"/>
          <w:sz w:val="22"/>
          <w:szCs w:val="22"/>
        </w:rPr>
        <w:t>in order to</w:t>
      </w:r>
      <w:proofErr w:type="gramEnd"/>
      <w:r w:rsidR="00B20751" w:rsidRPr="009A44FC">
        <w:rPr>
          <w:rFonts w:ascii="Times New Roman" w:hAnsi="Times New Roman" w:cs="Times New Roman"/>
          <w:sz w:val="22"/>
          <w:szCs w:val="22"/>
        </w:rPr>
        <w:t xml:space="preserve"> distinguish the primary goal of our approach (which is enrichment testing) from secondary goals of providing sample-level scores that h</w:t>
      </w:r>
      <w:r w:rsidR="00175D3B" w:rsidRPr="009A44FC">
        <w:rPr>
          <w:rFonts w:ascii="Times New Roman" w:hAnsi="Times New Roman" w:cs="Times New Roman"/>
          <w:sz w:val="22"/>
          <w:szCs w:val="22"/>
        </w:rPr>
        <w:t>a</w:t>
      </w:r>
      <w:r w:rsidR="00382387">
        <w:rPr>
          <w:rFonts w:ascii="Times New Roman" w:hAnsi="Times New Roman" w:cs="Times New Roman"/>
          <w:sz w:val="22"/>
          <w:szCs w:val="22"/>
        </w:rPr>
        <w:t>ve</w:t>
      </w:r>
      <w:r w:rsidR="00175D3B" w:rsidRPr="009A44FC">
        <w:rPr>
          <w:rFonts w:ascii="Times New Roman" w:hAnsi="Times New Roman" w:cs="Times New Roman"/>
          <w:sz w:val="22"/>
          <w:szCs w:val="22"/>
        </w:rPr>
        <w:t xml:space="preserve"> utility in further analyses. </w:t>
      </w:r>
      <w:r w:rsidR="00382387">
        <w:rPr>
          <w:rFonts w:ascii="Times New Roman" w:hAnsi="Times New Roman" w:cs="Times New Roman"/>
          <w:sz w:val="22"/>
          <w:szCs w:val="22"/>
        </w:rPr>
        <w:t xml:space="preserve">This section now includes the </w:t>
      </w:r>
      <w:r>
        <w:rPr>
          <w:rFonts w:ascii="Times New Roman" w:hAnsi="Times New Roman" w:cs="Times New Roman"/>
          <w:sz w:val="22"/>
          <w:szCs w:val="22"/>
        </w:rPr>
        <w:t>“disease prediction”</w:t>
      </w:r>
      <w:r w:rsidR="00D41065">
        <w:rPr>
          <w:rFonts w:ascii="Times New Roman" w:hAnsi="Times New Roman" w:cs="Times New Roman"/>
          <w:sz w:val="22"/>
          <w:szCs w:val="22"/>
        </w:rPr>
        <w:t xml:space="preserve"> section and a new section titled “ordination analysis”. </w:t>
      </w:r>
      <w:r w:rsidR="002F5E6A">
        <w:rPr>
          <w:rFonts w:ascii="Times New Roman" w:hAnsi="Times New Roman" w:cs="Times New Roman"/>
          <w:sz w:val="22"/>
          <w:szCs w:val="22"/>
        </w:rPr>
        <w:t xml:space="preserve"> </w:t>
      </w:r>
    </w:p>
    <w:p w14:paraId="5DFACC42" w14:textId="3FF8C0C7" w:rsid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 xml:space="preserve">We have added evaluations for type I error on real data using label permutation and random gene sets for both “inference at the sample level” and “inference at the population level” and have labelled them </w:t>
      </w:r>
      <w:r w:rsidR="00382387">
        <w:rPr>
          <w:rFonts w:ascii="Times New Roman" w:hAnsi="Times New Roman" w:cs="Times New Roman"/>
          <w:sz w:val="22"/>
          <w:szCs w:val="22"/>
        </w:rPr>
        <w:t>accordingly</w:t>
      </w:r>
      <w:r w:rsidRPr="00D41065">
        <w:rPr>
          <w:rFonts w:ascii="Times New Roman" w:hAnsi="Times New Roman" w:cs="Times New Roman"/>
          <w:sz w:val="22"/>
          <w:szCs w:val="22"/>
        </w:rPr>
        <w:t xml:space="preserve">. </w:t>
      </w:r>
    </w:p>
    <w:p w14:paraId="16501AEB" w14:textId="07BA2AA8" w:rsidR="00D41065" w:rsidRP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Under both “inference” sections, we have clarified that our power analyses are equivalent to the “phenotypic relevance”</w:t>
      </w:r>
      <w:r w:rsidR="00382387">
        <w:rPr>
          <w:rFonts w:ascii="Times New Roman" w:hAnsi="Times New Roman" w:cs="Times New Roman"/>
          <w:sz w:val="22"/>
          <w:szCs w:val="22"/>
        </w:rPr>
        <w:t xml:space="preserve"> mentioned</w:t>
      </w:r>
      <w:r w:rsidRPr="00D41065">
        <w:rPr>
          <w:rFonts w:ascii="Times New Roman" w:hAnsi="Times New Roman" w:cs="Times New Roman"/>
          <w:sz w:val="22"/>
          <w:szCs w:val="22"/>
        </w:rPr>
        <w:t xml:space="preserve"> under the </w:t>
      </w:r>
      <w:proofErr w:type="spellStart"/>
      <w:r w:rsidRPr="00D41065">
        <w:rPr>
          <w:rFonts w:ascii="Times New Roman" w:hAnsi="Times New Roman" w:cs="Times New Roman"/>
          <w:sz w:val="22"/>
          <w:szCs w:val="22"/>
        </w:rPr>
        <w:t>Geistlinger</w:t>
      </w:r>
      <w:proofErr w:type="spellEnd"/>
      <w:r w:rsidRPr="00D41065">
        <w:rPr>
          <w:rFonts w:ascii="Times New Roman" w:hAnsi="Times New Roman" w:cs="Times New Roman"/>
          <w:sz w:val="22"/>
          <w:szCs w:val="22"/>
        </w:rPr>
        <w:t xml:space="preserve"> et al. manuscript</w:t>
      </w:r>
      <w:r>
        <w:rPr>
          <w:rFonts w:ascii="Times New Roman" w:hAnsi="Times New Roman" w:cs="Times New Roman"/>
          <w:sz w:val="22"/>
          <w:szCs w:val="22"/>
        </w:rPr>
        <w:t xml:space="preserve"> since they </w:t>
      </w:r>
      <w:r w:rsidR="00382387">
        <w:rPr>
          <w:rFonts w:ascii="Times New Roman" w:hAnsi="Times New Roman" w:cs="Times New Roman"/>
          <w:sz w:val="22"/>
          <w:szCs w:val="22"/>
        </w:rPr>
        <w:t>assess whether the correct sets were enriched in a certain situation</w:t>
      </w:r>
      <w:r>
        <w:rPr>
          <w:rFonts w:ascii="Times New Roman" w:hAnsi="Times New Roman" w:cs="Times New Roman"/>
          <w:sz w:val="22"/>
          <w:szCs w:val="22"/>
        </w:rPr>
        <w:t xml:space="preserve">. However, we acknowledge that the sample label is not perfect and have added further clarification in the discussion </w:t>
      </w:r>
      <w:r w:rsidR="00382387">
        <w:rPr>
          <w:rFonts w:ascii="Times New Roman" w:hAnsi="Times New Roman" w:cs="Times New Roman"/>
          <w:sz w:val="22"/>
          <w:szCs w:val="22"/>
        </w:rPr>
        <w:t xml:space="preserve">regarding </w:t>
      </w:r>
      <w:r>
        <w:rPr>
          <w:rFonts w:ascii="Times New Roman" w:hAnsi="Times New Roman" w:cs="Times New Roman"/>
          <w:sz w:val="22"/>
          <w:szCs w:val="22"/>
        </w:rPr>
        <w:t xml:space="preserve">the differences between the evaluation strategy we used and that of </w:t>
      </w:r>
      <w:proofErr w:type="spellStart"/>
      <w:r>
        <w:rPr>
          <w:rFonts w:ascii="Times New Roman" w:hAnsi="Times New Roman" w:cs="Times New Roman"/>
          <w:sz w:val="22"/>
          <w:szCs w:val="22"/>
        </w:rPr>
        <w:t>Geistlinger</w:t>
      </w:r>
      <w:proofErr w:type="spellEnd"/>
      <w:r>
        <w:rPr>
          <w:rFonts w:ascii="Times New Roman" w:hAnsi="Times New Roman" w:cs="Times New Roman"/>
          <w:sz w:val="22"/>
          <w:szCs w:val="22"/>
        </w:rPr>
        <w:t xml:space="preserve"> et al., as well as further discussion on the current limitations of the microbiome literature on this issue. </w:t>
      </w:r>
    </w:p>
    <w:p w14:paraId="16FC3DD3" w14:textId="05513B78" w:rsidR="00BD4D63" w:rsidRPr="00D41065" w:rsidRDefault="00B20751" w:rsidP="00D41065">
      <w:pPr>
        <w:pStyle w:val="ListParagraph"/>
        <w:numPr>
          <w:ilvl w:val="0"/>
          <w:numId w:val="9"/>
        </w:numPr>
        <w:spacing w:after="120"/>
        <w:rPr>
          <w:rFonts w:ascii="Times New Roman" w:hAnsi="Times New Roman" w:cs="Times New Roman"/>
          <w:sz w:val="22"/>
          <w:szCs w:val="22"/>
        </w:rPr>
      </w:pPr>
      <w:r w:rsidRPr="009A44FC">
        <w:rPr>
          <w:rFonts w:ascii="Times New Roman" w:hAnsi="Times New Roman" w:cs="Times New Roman"/>
          <w:sz w:val="22"/>
          <w:szCs w:val="22"/>
        </w:rPr>
        <w:t xml:space="preserve">We have added specific language to refer the reader to our runtime assessments in the supplementary materials section. </w:t>
      </w:r>
    </w:p>
    <w:p w14:paraId="7238AEDC" w14:textId="5C05FA45"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w:t>
      </w:r>
      <w:r w:rsidR="00382387">
        <w:rPr>
          <w:rFonts w:ascii="Times New Roman" w:hAnsi="Times New Roman" w:cs="Times New Roman"/>
          <w:sz w:val="22"/>
          <w:szCs w:val="22"/>
        </w:rPr>
        <w:t>ill</w:t>
      </w:r>
      <w:r>
        <w:rPr>
          <w:rFonts w:ascii="Times New Roman" w:hAnsi="Times New Roman" w:cs="Times New Roman"/>
          <w:sz w:val="22"/>
          <w:szCs w:val="22"/>
        </w:rPr>
        <w:t xml:space="preserve"> enable more</w:t>
      </w:r>
      <w:r w:rsidR="00382387">
        <w:rPr>
          <w:rFonts w:ascii="Times New Roman" w:hAnsi="Times New Roman" w:cs="Times New Roman"/>
          <w:sz w:val="22"/>
          <w:szCs w:val="22"/>
        </w:rPr>
        <w:t xml:space="preserve"> a</w:t>
      </w:r>
      <w:r>
        <w:rPr>
          <w:rFonts w:ascii="Times New Roman" w:hAnsi="Times New Roman" w:cs="Times New Roman"/>
          <w:sz w:val="22"/>
          <w:szCs w:val="22"/>
        </w:rPr>
        <w:t xml:space="preserve"> </w:t>
      </w:r>
      <w:proofErr w:type="gramStart"/>
      <w:r>
        <w:rPr>
          <w:rFonts w:ascii="Times New Roman" w:hAnsi="Times New Roman" w:cs="Times New Roman"/>
          <w:sz w:val="22"/>
          <w:szCs w:val="22"/>
        </w:rPr>
        <w:t>direct comparisons</w:t>
      </w:r>
      <w:proofErr w:type="gramEnd"/>
      <w:r>
        <w:rPr>
          <w:rFonts w:ascii="Times New Roman" w:hAnsi="Times New Roman" w:cs="Times New Roman"/>
          <w:sz w:val="22"/>
          <w:szCs w:val="22"/>
        </w:rPr>
        <w:t xml:space="preserve">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61B19B9B" w14:textId="7E7376F5"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the use of the competitive null hypothesis for enrichment testing:</w:t>
      </w:r>
    </w:p>
    <w:p w14:paraId="67AE97A5" w14:textId="05D6166E" w:rsidR="00A61BA0"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and as the authors demonstrate in their own evaluations. Furthermore,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0127347C" w14:textId="3F76002E"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147D26">
        <w:rPr>
          <w:rFonts w:ascii="Times New Roman" w:hAnsi="Times New Roman" w:cs="Times New Roman"/>
          <w:color w:val="000000" w:themeColor="text1"/>
          <w:sz w:val="22"/>
          <w:szCs w:val="22"/>
        </w:rPr>
        <w:fldChar w:fldCharType="begin"/>
      </w:r>
      <w:r w:rsidR="009A1631">
        <w:rPr>
          <w:rFonts w:ascii="Times New Roman" w:hAnsi="Times New Roman" w:cs="Times New Roman"/>
          <w:color w:val="000000" w:themeColor="text1"/>
          <w:sz w:val="22"/>
          <w:szCs w:val="22"/>
        </w:rPr>
        <w:instrText xml:space="preserve"> ADDIN ZOTERO_ITEM CSL_CITATION {"citationID":"UNxoN7kP","properties":{"formattedCitation":"[15]","plainCitation":"[15]","noteIndex":0},"citationItems":[{"id":1955,"uris":["http://zotero.org/users/4849999/items/QG9DTSH2"],"uri":["http://zotero.org/users/4849999/items/QG9DTSH2"],"itemData":{"id":1955,"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147D26">
        <w:rPr>
          <w:rFonts w:ascii="Times New Roman" w:hAnsi="Times New Roman" w:cs="Times New Roman"/>
          <w:color w:val="000000" w:themeColor="text1"/>
          <w:sz w:val="22"/>
          <w:szCs w:val="22"/>
        </w:rPr>
        <w:fldChar w:fldCharType="separate"/>
      </w:r>
      <w:r w:rsidR="00147D26">
        <w:rPr>
          <w:rFonts w:ascii="Times New Roman" w:hAnsi="Times New Roman" w:cs="Times New Roman"/>
          <w:noProof/>
          <w:color w:val="000000" w:themeColor="text1"/>
          <w:sz w:val="22"/>
          <w:szCs w:val="22"/>
        </w:rPr>
        <w:t>[15]</w:t>
      </w:r>
      <w:r w:rsidR="00147D26">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w:t>
      </w:r>
      <w:r w:rsidR="00757A91">
        <w:rPr>
          <w:rFonts w:ascii="Times New Roman" w:hAnsi="Times New Roman" w:cs="Times New Roman"/>
          <w:color w:val="000000" w:themeColor="text1"/>
          <w:sz w:val="22"/>
          <w:szCs w:val="22"/>
        </w:rPr>
        <w:t xml:space="preserve">inter-taxa </w:t>
      </w:r>
      <w:r w:rsidR="00DA10D8">
        <w:rPr>
          <w:rFonts w:ascii="Times New Roman" w:hAnsi="Times New Roman" w:cs="Times New Roman"/>
          <w:color w:val="000000" w:themeColor="text1"/>
          <w:sz w:val="22"/>
          <w:szCs w:val="22"/>
        </w:rPr>
        <w:t>correlation.</w:t>
      </w:r>
    </w:p>
    <w:p w14:paraId="687F0807"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3E8DCB89" w14:textId="348835A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73782961" w14:textId="77777777" w:rsidR="00C51917" w:rsidRPr="00C51917" w:rsidRDefault="00A61BA0" w:rsidP="00C51917">
      <w:pPr>
        <w:pStyle w:val="Bibliography"/>
        <w:rPr>
          <w:rFonts w:ascii="Calibri" w:hAnsi="Calibri" w:cs="Calibri"/>
          <w:sz w:val="22"/>
        </w:rPr>
      </w:pPr>
      <w:r w:rsidRPr="009A44FC">
        <w:rPr>
          <w:color w:val="000000" w:themeColor="text1"/>
          <w:sz w:val="22"/>
          <w:szCs w:val="22"/>
        </w:rPr>
        <w:fldChar w:fldCharType="begin"/>
      </w:r>
      <w:r w:rsidR="009A1631">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C51917" w:rsidRPr="00C51917">
        <w:rPr>
          <w:rFonts w:ascii="Calibri" w:hAnsi="Calibri" w:cs="Calibri"/>
          <w:sz w:val="22"/>
        </w:rPr>
        <w:t xml:space="preserve">1. </w:t>
      </w:r>
      <w:r w:rsidR="00C51917" w:rsidRPr="00C51917">
        <w:rPr>
          <w:rFonts w:ascii="Calibri" w:hAnsi="Calibri" w:cs="Calibri"/>
          <w:sz w:val="22"/>
        </w:rPr>
        <w:tab/>
        <w:t>Geistlinger L, Csaba G, Santarelli M, Ramos M, Schiffer L, Turaga N, et al. Toward a gold standard for benchmarking gene set enrichment analysis. Briefings in Bioinformatics. 2021;22: 545–556. doi:10.1093/bib/bbz158</w:t>
      </w:r>
    </w:p>
    <w:p w14:paraId="63D86513"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2. </w:t>
      </w:r>
      <w:r w:rsidRPr="00C51917">
        <w:rPr>
          <w:rFonts w:ascii="Calibri" w:hAnsi="Calibri" w:cs="Calibri"/>
          <w:sz w:val="22"/>
        </w:rPr>
        <w:tab/>
        <w:t>Aitchison J. The Statistical Analysis of Compositional Data. Journal of the Royal Statistical Society: Series B (Methodological). 1982;44: 139–160. doi:10.1111/j.2517-6161.1982.tb01195.x</w:t>
      </w:r>
    </w:p>
    <w:p w14:paraId="7FAA6709"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3. </w:t>
      </w:r>
      <w:r w:rsidRPr="00C51917">
        <w:rPr>
          <w:rFonts w:ascii="Calibri" w:hAnsi="Calibri" w:cs="Calibri"/>
          <w:sz w:val="22"/>
        </w:rPr>
        <w:tab/>
        <w:t>Gloor GB, Macklaim JM, Pawlowsky-Glahn V, Egozcue JJ. Microbiome Datasets Are Compositional: And This Is Not Optional. Front Microbiol. 2017;8. doi:10.3389/fmicb.2017.02224</w:t>
      </w:r>
    </w:p>
    <w:p w14:paraId="473FBC01"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4. </w:t>
      </w:r>
      <w:r w:rsidRPr="00C51917">
        <w:rPr>
          <w:rFonts w:ascii="Calibri" w:hAnsi="Calibri" w:cs="Calibri"/>
          <w:sz w:val="22"/>
        </w:rPr>
        <w:tab/>
        <w:t>Quinn TP, Erb I, Richardson MF, Crowley TM. Understanding sequencing data as compositions: an outlook and review. Bioinformatics. 2018;34: 2870–2878. doi:10.1093/bioinformatics/bty175</w:t>
      </w:r>
    </w:p>
    <w:p w14:paraId="731C5664"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5. </w:t>
      </w:r>
      <w:r w:rsidRPr="00C51917">
        <w:rPr>
          <w:rFonts w:ascii="Calibri" w:hAnsi="Calibri" w:cs="Calibri"/>
          <w:sz w:val="22"/>
        </w:rPr>
        <w:tab/>
        <w:t>Weiss S, Xu ZZ, Peddada S, Amir A, Bittinger K, Gonzalez A, et al. Normalization and microbial differential abundance strategies depend upon data characteristics. Microbiome. 2017;5. doi:10.1186/s40168-017-0237-y</w:t>
      </w:r>
    </w:p>
    <w:p w14:paraId="212B26FA" w14:textId="77777777" w:rsidR="00C51917" w:rsidRPr="00C51917" w:rsidRDefault="00C51917" w:rsidP="00C51917">
      <w:pPr>
        <w:pStyle w:val="Bibliography"/>
        <w:rPr>
          <w:rFonts w:ascii="Calibri" w:hAnsi="Calibri" w:cs="Calibri"/>
          <w:sz w:val="22"/>
          <w:lang w:val="de-DE"/>
        </w:rPr>
      </w:pPr>
      <w:r w:rsidRPr="00C51917">
        <w:rPr>
          <w:rFonts w:ascii="Calibri" w:hAnsi="Calibri" w:cs="Calibri"/>
          <w:sz w:val="22"/>
        </w:rPr>
        <w:t xml:space="preserve">6. </w:t>
      </w:r>
      <w:r w:rsidRPr="00C51917">
        <w:rPr>
          <w:rFonts w:ascii="Calibri" w:hAnsi="Calibri" w:cs="Calibri"/>
          <w:sz w:val="22"/>
        </w:rPr>
        <w:tab/>
        <w:t xml:space="preserve">McMurdie PJ, Holmes S. Waste Not, Want Not: Why Rarefying Microbiome Data Is Inadmissible. </w:t>
      </w:r>
      <w:r w:rsidRPr="00C51917">
        <w:rPr>
          <w:rFonts w:ascii="Calibri" w:hAnsi="Calibri" w:cs="Calibri"/>
          <w:sz w:val="22"/>
          <w:lang w:val="de-DE"/>
        </w:rPr>
        <w:t>PLOS Computational Biology. 2014;10: e1003531. doi:10.1371/journal.pcbi.1003531</w:t>
      </w:r>
    </w:p>
    <w:p w14:paraId="0F8306FC" w14:textId="77777777" w:rsidR="00C51917" w:rsidRPr="00C51917" w:rsidRDefault="00C51917" w:rsidP="00C51917">
      <w:pPr>
        <w:pStyle w:val="Bibliography"/>
        <w:rPr>
          <w:rFonts w:ascii="Calibri" w:hAnsi="Calibri" w:cs="Calibri"/>
          <w:sz w:val="22"/>
        </w:rPr>
      </w:pPr>
      <w:r w:rsidRPr="00C51917">
        <w:rPr>
          <w:rFonts w:ascii="Calibri" w:hAnsi="Calibri" w:cs="Calibri"/>
          <w:sz w:val="22"/>
          <w:lang w:val="de-DE"/>
        </w:rPr>
        <w:t xml:space="preserve">7. </w:t>
      </w:r>
      <w:r w:rsidRPr="00C51917">
        <w:rPr>
          <w:rFonts w:ascii="Calibri" w:hAnsi="Calibri" w:cs="Calibri"/>
          <w:sz w:val="22"/>
          <w:lang w:val="de-DE"/>
        </w:rPr>
        <w:tab/>
        <w:t xml:space="preserve">McKnight DT, Huerlimann R, Bower DS, Schwarzkopf L, Alford RA, Zenger KR. </w:t>
      </w:r>
      <w:r w:rsidRPr="00C51917">
        <w:rPr>
          <w:rFonts w:ascii="Calibri" w:hAnsi="Calibri" w:cs="Calibri"/>
          <w:sz w:val="22"/>
        </w:rPr>
        <w:t>Methods for normalizing microbiome data: An ecological perspective. Methods in Ecology and Evolution. 2019;10: 389–400. doi:10.1111/2041-210X.13115</w:t>
      </w:r>
    </w:p>
    <w:p w14:paraId="30AFB3EF"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8. </w:t>
      </w:r>
      <w:r w:rsidRPr="00C51917">
        <w:rPr>
          <w:rFonts w:ascii="Calibri" w:hAnsi="Calibri" w:cs="Calibri"/>
          <w:sz w:val="22"/>
        </w:rPr>
        <w:tab/>
        <w:t>Egozcue JJ, Pawlowsky-Glahn V. Groups of Parts and Their Balances in Compositional Data Analysis. Mathematical Geology. 2005;37: 795–828. doi:10.1007/s11004-005-7381-9</w:t>
      </w:r>
    </w:p>
    <w:p w14:paraId="5F96AF1D"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9. </w:t>
      </w:r>
      <w:r w:rsidRPr="00C51917">
        <w:rPr>
          <w:rFonts w:ascii="Calibri" w:hAnsi="Calibri" w:cs="Calibri"/>
          <w:sz w:val="22"/>
        </w:rPr>
        <w:tab/>
        <w:t>Silverman JD, Washburne AD, Mukherjee S, David LA. A phylogenetic transform enhances analysis of compositional microbiota data. Fodor A, editor. eLife. 2017;6: e21887. doi:10.7554/eLife.21887</w:t>
      </w:r>
    </w:p>
    <w:p w14:paraId="32C8DCD4"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10. </w:t>
      </w:r>
      <w:r w:rsidRPr="00C51917">
        <w:rPr>
          <w:rFonts w:ascii="Calibri" w:hAnsi="Calibri" w:cs="Calibri"/>
          <w:sz w:val="22"/>
        </w:rPr>
        <w:tab/>
        <w:t>ATCHISON J, SHEN SM. Logistic-normal distributions:Some properties and uses. Biometrika. 1980;67: 261–272. doi:10.1093/biomet/67.2.261</w:t>
      </w:r>
    </w:p>
    <w:p w14:paraId="5ECC7D11"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11. </w:t>
      </w:r>
      <w:r w:rsidRPr="00C51917">
        <w:rPr>
          <w:rFonts w:ascii="Calibri" w:hAnsi="Calibri" w:cs="Calibri"/>
          <w:sz w:val="22"/>
        </w:rPr>
        <w:tab/>
        <w:t>Egozcue JJ, Pawlowsky-Glahn V, Mateu-Figueras G, Barceló-Vidal C. Isometric Logratio Transformations for Compositional Data Analysis. Mathematical Geology. 2003;35: 279–300. doi:10.1023/A:1023818214614</w:t>
      </w:r>
    </w:p>
    <w:p w14:paraId="65E6DD06"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12. </w:t>
      </w:r>
      <w:r w:rsidRPr="00C51917">
        <w:rPr>
          <w:rFonts w:ascii="Calibri" w:hAnsi="Calibri" w:cs="Calibri"/>
          <w:sz w:val="22"/>
        </w:rPr>
        <w:tab/>
        <w:t>McLaren MR, Willis AD, Callahan BJ. Consistent and correctable bias in metagenomic sequencing experiments. Turnbaugh P, Garrett WS, Turnbaugh P, Quince C, Gibbons S, editors. eLife. 2019;8: e46923. doi:10.7554/eLife.46923</w:t>
      </w:r>
    </w:p>
    <w:p w14:paraId="64BA25F0"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13. </w:t>
      </w:r>
      <w:r w:rsidRPr="00C51917">
        <w:rPr>
          <w:rFonts w:ascii="Calibri" w:hAnsi="Calibri" w:cs="Calibri"/>
          <w:sz w:val="22"/>
        </w:rPr>
        <w:tab/>
        <w:t>Calgaro M, Romualdi C, Waldron L, Risso D, Vitulo N. Assessment of statistical methods from single cell, bulk RNA-seq, and metagenomics applied to microbiome data. Genome Biology. 2020;21: 191. doi:10.1186/s13059-020-02104-1</w:t>
      </w:r>
    </w:p>
    <w:p w14:paraId="544E6491"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lastRenderedPageBreak/>
        <w:t xml:space="preserve">14. </w:t>
      </w:r>
      <w:r w:rsidRPr="00C51917">
        <w:rPr>
          <w:rFonts w:ascii="Calibri" w:hAnsi="Calibri" w:cs="Calibri"/>
          <w:sz w:val="22"/>
        </w:rPr>
        <w:tab/>
        <w:t xml:space="preserve">Delignette-Muller ML, Dutang C. fitdistrplus: An R package for fitting distributions. Journal of Statistical Software. 2015;64: 1–34. </w:t>
      </w:r>
    </w:p>
    <w:p w14:paraId="5E74FC98" w14:textId="77777777" w:rsidR="00C51917" w:rsidRPr="00C51917" w:rsidRDefault="00C51917" w:rsidP="00C51917">
      <w:pPr>
        <w:pStyle w:val="Bibliography"/>
        <w:rPr>
          <w:rFonts w:ascii="Calibri" w:hAnsi="Calibri" w:cs="Calibri"/>
          <w:sz w:val="22"/>
        </w:rPr>
      </w:pPr>
      <w:r w:rsidRPr="00C51917">
        <w:rPr>
          <w:rFonts w:ascii="Calibri" w:hAnsi="Calibri" w:cs="Calibri"/>
          <w:sz w:val="22"/>
        </w:rPr>
        <w:t xml:space="preserve">15. </w:t>
      </w:r>
      <w:r w:rsidRPr="00C51917">
        <w:rPr>
          <w:rFonts w:ascii="Calibri" w:hAnsi="Calibri" w:cs="Calibri"/>
          <w:sz w:val="22"/>
        </w:rPr>
        <w:tab/>
        <w:t>Wu D, Smyth GK. Camera: a competitive gene set test accounting for inter-gene correlation. Nucleic Acids Res. 2012;40: e133. doi:10.1093/nar/gks461</w:t>
      </w:r>
    </w:p>
    <w:p w14:paraId="664CA6EC" w14:textId="4CCCDC85" w:rsidR="00A61BA0" w:rsidRPr="009A44FC" w:rsidRDefault="00A61BA0"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ng Nguyen" w:date="2021-11-29T22:59:00Z" w:initials="QN">
    <w:p w14:paraId="3B158645" w14:textId="77777777" w:rsidR="00A04934" w:rsidRDefault="00A04934">
      <w:pPr>
        <w:pStyle w:val="CommentText"/>
      </w:pPr>
      <w:r>
        <w:rPr>
          <w:rStyle w:val="CommentReference"/>
        </w:rPr>
        <w:annotationRef/>
      </w:r>
      <w:r>
        <w:t xml:space="preserve">Add references to specific comments below. Remember to re-include where you’re adding the section about differential abundance methods </w:t>
      </w:r>
    </w:p>
    <w:p w14:paraId="13A93B9F" w14:textId="15B0CF83" w:rsidR="00A04934" w:rsidRDefault="00A04934">
      <w:pPr>
        <w:pStyle w:val="CommentText"/>
      </w:pPr>
    </w:p>
  </w:comment>
  <w:comment w:id="1" w:author="Quang P. Nguyen" w:date="2021-11-16T21:59:00Z" w:initials="QPN">
    <w:p w14:paraId="587483E6" w14:textId="188E7980" w:rsidR="001E7EFB" w:rsidRDefault="001E7EFB">
      <w:pPr>
        <w:pStyle w:val="CommentText"/>
      </w:pPr>
      <w:r>
        <w:rPr>
          <w:rStyle w:val="CommentReference"/>
        </w:rPr>
        <w:annotationRef/>
      </w:r>
      <w:r>
        <w:t xml:space="preserve">New analysis adding random gene and label permutations for the real data section of single sample enrichment tests (or inference at the sample level). </w:t>
      </w:r>
    </w:p>
  </w:comment>
  <w:comment w:id="2" w:author="Quang P. Nguyen" w:date="2021-11-16T21:58:00Z" w:initials="QPN">
    <w:p w14:paraId="2D54AEF4" w14:textId="15BEEC1B" w:rsidR="001E7EFB" w:rsidRDefault="001E7EFB">
      <w:pPr>
        <w:pStyle w:val="CommentText"/>
      </w:pPr>
      <w:r>
        <w:rPr>
          <w:rStyle w:val="CommentReference"/>
        </w:rPr>
        <w:annotationRef/>
      </w:r>
      <w:r>
        <w:t xml:space="preserve">New analysis here so that disease prediction doesn’t seem to be alone in downstream analysis. This analysis will be using </w:t>
      </w:r>
      <w:proofErr w:type="spellStart"/>
      <w:r>
        <w:t>cILR</w:t>
      </w:r>
      <w:proofErr w:type="spellEnd"/>
      <w:r>
        <w:t xml:space="preserve"> generated scores to perform PERMANOVA and visualizations to distinguish between cases/controls using the Euclidean distance metric. </w:t>
      </w:r>
    </w:p>
  </w:comment>
  <w:comment w:id="3" w:author="Quang Nguyen" w:date="2021-11-29T22:48:00Z" w:initials="QN">
    <w:p w14:paraId="075ED54D" w14:textId="7E93389D" w:rsidR="0045683D" w:rsidRDefault="0045683D">
      <w:pPr>
        <w:pStyle w:val="CommentText"/>
      </w:pPr>
      <w:r>
        <w:rPr>
          <w:rStyle w:val="CommentReference"/>
        </w:rPr>
        <w:annotationRef/>
      </w:r>
      <w:r>
        <w:t>Statement referring to new analyses</w:t>
      </w:r>
    </w:p>
  </w:comment>
  <w:comment w:id="4" w:author="Quang Nguyen" w:date="2021-11-29T22:52:00Z" w:initials="QN">
    <w:p w14:paraId="32FB0317" w14:textId="05F82C6D" w:rsidR="004C591B" w:rsidRDefault="004C591B">
      <w:pPr>
        <w:pStyle w:val="CommentText"/>
      </w:pPr>
      <w:r>
        <w:rPr>
          <w:rStyle w:val="CommentReference"/>
        </w:rPr>
        <w:annotationRef/>
      </w:r>
      <w:r>
        <w:t>Remember issue link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A93B9F" w15:done="0"/>
  <w15:commentEx w15:paraId="587483E6" w15:done="0"/>
  <w15:commentEx w15:paraId="2D54AEF4" w15:done="0"/>
  <w15:commentEx w15:paraId="075ED54D" w15:done="0"/>
  <w15:commentEx w15:paraId="32FB03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D9CD" w16cex:dateUtc="2021-11-30T03:59:00Z"/>
  <w16cex:commentExtensible w16cex:durableId="253EA834" w16cex:dateUtc="2021-11-17T02:59:00Z"/>
  <w16cex:commentExtensible w16cex:durableId="253EA7FF" w16cex:dateUtc="2021-11-17T02:58:00Z"/>
  <w16cex:commentExtensible w16cex:durableId="254FD72F" w16cex:dateUtc="2021-11-30T03:48:00Z"/>
  <w16cex:commentExtensible w16cex:durableId="254FD83A" w16cex:dateUtc="2021-11-30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A93B9F" w16cid:durableId="254FD9CD"/>
  <w16cid:commentId w16cid:paraId="587483E6" w16cid:durableId="253EA834"/>
  <w16cid:commentId w16cid:paraId="2D54AEF4" w16cid:durableId="253EA7FF"/>
  <w16cid:commentId w16cid:paraId="075ED54D" w16cid:durableId="254FD72F"/>
  <w16cid:commentId w16cid:paraId="32FB0317" w16cid:durableId="254FD8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Nguyen">
    <w15:presenceInfo w15:providerId="Windows Live" w15:userId="cbc42b4d0e68cc47"/>
  </w15:person>
  <w15:person w15:author="Quang P. Nguyen">
    <w15:presenceInfo w15:providerId="AD" w15:userId="S::f00345k@dartmouth.edu::9abac45e-e3f2-4fb8-8e56-bf9e76e56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30436"/>
    <w:rsid w:val="00034C0C"/>
    <w:rsid w:val="00077D06"/>
    <w:rsid w:val="00083A74"/>
    <w:rsid w:val="00087F41"/>
    <w:rsid w:val="000A5F9D"/>
    <w:rsid w:val="000B7497"/>
    <w:rsid w:val="000C202F"/>
    <w:rsid w:val="00112F80"/>
    <w:rsid w:val="00141495"/>
    <w:rsid w:val="00145EA4"/>
    <w:rsid w:val="00147D26"/>
    <w:rsid w:val="00157D16"/>
    <w:rsid w:val="001614D1"/>
    <w:rsid w:val="00165579"/>
    <w:rsid w:val="00175D3B"/>
    <w:rsid w:val="001765F3"/>
    <w:rsid w:val="001A1F80"/>
    <w:rsid w:val="001A308D"/>
    <w:rsid w:val="001A7D21"/>
    <w:rsid w:val="001B1211"/>
    <w:rsid w:val="001B27B1"/>
    <w:rsid w:val="001C0FC7"/>
    <w:rsid w:val="001E7EFB"/>
    <w:rsid w:val="001F512E"/>
    <w:rsid w:val="002270CE"/>
    <w:rsid w:val="002576C8"/>
    <w:rsid w:val="002A534F"/>
    <w:rsid w:val="002B41F5"/>
    <w:rsid w:val="002F5E6A"/>
    <w:rsid w:val="00336EB0"/>
    <w:rsid w:val="00344B8A"/>
    <w:rsid w:val="003463C6"/>
    <w:rsid w:val="003600AC"/>
    <w:rsid w:val="003809B4"/>
    <w:rsid w:val="00382387"/>
    <w:rsid w:val="00387166"/>
    <w:rsid w:val="003C34C8"/>
    <w:rsid w:val="003D4D25"/>
    <w:rsid w:val="00414018"/>
    <w:rsid w:val="00425D18"/>
    <w:rsid w:val="0043230C"/>
    <w:rsid w:val="00452614"/>
    <w:rsid w:val="00455F52"/>
    <w:rsid w:val="0045683D"/>
    <w:rsid w:val="004875BF"/>
    <w:rsid w:val="004971E1"/>
    <w:rsid w:val="004C591B"/>
    <w:rsid w:val="004C7E39"/>
    <w:rsid w:val="004D24B5"/>
    <w:rsid w:val="0050609B"/>
    <w:rsid w:val="005073B9"/>
    <w:rsid w:val="00520B00"/>
    <w:rsid w:val="00522EA1"/>
    <w:rsid w:val="00534222"/>
    <w:rsid w:val="005556EE"/>
    <w:rsid w:val="00573968"/>
    <w:rsid w:val="005B7C6B"/>
    <w:rsid w:val="005D396D"/>
    <w:rsid w:val="005D4CA7"/>
    <w:rsid w:val="005E4F29"/>
    <w:rsid w:val="005F7CF8"/>
    <w:rsid w:val="00617D77"/>
    <w:rsid w:val="0062105E"/>
    <w:rsid w:val="00632DB7"/>
    <w:rsid w:val="00693F3A"/>
    <w:rsid w:val="006B3C25"/>
    <w:rsid w:val="006D3434"/>
    <w:rsid w:val="006F5CFE"/>
    <w:rsid w:val="00704D8C"/>
    <w:rsid w:val="00710E0E"/>
    <w:rsid w:val="007159B5"/>
    <w:rsid w:val="0072510F"/>
    <w:rsid w:val="00725DE6"/>
    <w:rsid w:val="007311CD"/>
    <w:rsid w:val="00737293"/>
    <w:rsid w:val="00742A59"/>
    <w:rsid w:val="00756755"/>
    <w:rsid w:val="00757A91"/>
    <w:rsid w:val="007609C2"/>
    <w:rsid w:val="00796CAC"/>
    <w:rsid w:val="007B0F55"/>
    <w:rsid w:val="007C2510"/>
    <w:rsid w:val="007D777C"/>
    <w:rsid w:val="007F1360"/>
    <w:rsid w:val="007F5184"/>
    <w:rsid w:val="0080238E"/>
    <w:rsid w:val="00811911"/>
    <w:rsid w:val="00846427"/>
    <w:rsid w:val="00846E67"/>
    <w:rsid w:val="00871D6D"/>
    <w:rsid w:val="008733CC"/>
    <w:rsid w:val="00882F23"/>
    <w:rsid w:val="00886D13"/>
    <w:rsid w:val="00890711"/>
    <w:rsid w:val="008E7103"/>
    <w:rsid w:val="008F611F"/>
    <w:rsid w:val="009009D6"/>
    <w:rsid w:val="009053A8"/>
    <w:rsid w:val="0091421E"/>
    <w:rsid w:val="0094041D"/>
    <w:rsid w:val="009454F0"/>
    <w:rsid w:val="009749F2"/>
    <w:rsid w:val="009A1631"/>
    <w:rsid w:val="009A2665"/>
    <w:rsid w:val="009A44FC"/>
    <w:rsid w:val="009B6223"/>
    <w:rsid w:val="009D46DC"/>
    <w:rsid w:val="009F45B1"/>
    <w:rsid w:val="00A02C55"/>
    <w:rsid w:val="00A04934"/>
    <w:rsid w:val="00A04D61"/>
    <w:rsid w:val="00A05B09"/>
    <w:rsid w:val="00A56446"/>
    <w:rsid w:val="00A61BA0"/>
    <w:rsid w:val="00A73129"/>
    <w:rsid w:val="00A84F24"/>
    <w:rsid w:val="00AA2729"/>
    <w:rsid w:val="00AD17DB"/>
    <w:rsid w:val="00AF6497"/>
    <w:rsid w:val="00B10230"/>
    <w:rsid w:val="00B176FB"/>
    <w:rsid w:val="00B17EDE"/>
    <w:rsid w:val="00B20751"/>
    <w:rsid w:val="00B32102"/>
    <w:rsid w:val="00B57180"/>
    <w:rsid w:val="00B730AD"/>
    <w:rsid w:val="00B97F13"/>
    <w:rsid w:val="00BB626F"/>
    <w:rsid w:val="00BB7799"/>
    <w:rsid w:val="00BD4D63"/>
    <w:rsid w:val="00C22952"/>
    <w:rsid w:val="00C23CFA"/>
    <w:rsid w:val="00C34826"/>
    <w:rsid w:val="00C40008"/>
    <w:rsid w:val="00C41506"/>
    <w:rsid w:val="00C41D3A"/>
    <w:rsid w:val="00C4787B"/>
    <w:rsid w:val="00C51917"/>
    <w:rsid w:val="00C74DFE"/>
    <w:rsid w:val="00CC1205"/>
    <w:rsid w:val="00CC65CB"/>
    <w:rsid w:val="00CD0F19"/>
    <w:rsid w:val="00CD1CBA"/>
    <w:rsid w:val="00CE1A6B"/>
    <w:rsid w:val="00CF1D6B"/>
    <w:rsid w:val="00D065A0"/>
    <w:rsid w:val="00D41065"/>
    <w:rsid w:val="00D44487"/>
    <w:rsid w:val="00D6056C"/>
    <w:rsid w:val="00D60AE5"/>
    <w:rsid w:val="00D75904"/>
    <w:rsid w:val="00D86DE1"/>
    <w:rsid w:val="00DA10D8"/>
    <w:rsid w:val="00E0537D"/>
    <w:rsid w:val="00E546A5"/>
    <w:rsid w:val="00E6776D"/>
    <w:rsid w:val="00E81C41"/>
    <w:rsid w:val="00E94A6C"/>
    <w:rsid w:val="00EC1E66"/>
    <w:rsid w:val="00EC71CE"/>
    <w:rsid w:val="00ED0720"/>
    <w:rsid w:val="00ED3611"/>
    <w:rsid w:val="00EE195C"/>
    <w:rsid w:val="00EF09A1"/>
    <w:rsid w:val="00F72979"/>
    <w:rsid w:val="00FB2A50"/>
    <w:rsid w:val="00F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11</Pages>
  <Words>12237</Words>
  <Characters>69751</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P. Nguyen</cp:lastModifiedBy>
  <cp:revision>78</cp:revision>
  <dcterms:created xsi:type="dcterms:W3CDTF">2021-10-22T21:08:00Z</dcterms:created>
  <dcterms:modified xsi:type="dcterms:W3CDTF">2021-11-30T16:41:00Z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id="n0Zxtnaj"/&gt;&lt;style id="http://www.zotero.org/styles/plos-computational-biology" hasBibliography="1" bibliographyStyleHasBeenSet="1"/&gt;&lt;prefs&gt;&lt;pref name="fieldType" value="Field"/&gt;&lt;/prefs&gt;&lt;/data&gt;</vt:lpwstr>
  </property>
</Properties>
</file>