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上市公司创业投资基金及私募股权投资基金适用反向挂钩减持政策之深度研判与实操指南</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一、 宏观政策背景与资本市场长期资本形成机制分析</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全球资本市场结构性重塑与中国宏观经济动能转换的交汇期，资本的流动性效率与一级市场投资退出机制的顺畅程度，构成了科技创新型企业及中小微企业融资环境的底层基石。中国资本市场近年来致力于深化基础制度改革，其中一项极具战略意义的核心议题便是如何通过顶层设计，引导和鼓励“耐心资本”——特别是创业投资基金（VC）与私募股权投资基金（PE）——向实体经济中的早期企业、中小企业及高新技术企业进行长期、持续的资金倾注。</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为从根本上打通“投资、退出、再投资”的资本正向循环，切实缓解私募股权创投基金在宏观经济下行周期中普遍面临的“募资难、退出难”双重困境，中国证券监督管理委员会（以下简称“中国证监会”）及中国证券投资基金业协会（以下简称“中基协”）对原有的股东减持规则进行了深度的结构性优化与制度革新 。这一改革的标志性成果，体现在2020年3月6日中国证监会正式发布的《上市公司创业投资基金股东减持股份的特别规定（2020年修订）》（证监会公告〔2020〕17号，以下简称“《特别规定（2020修订）》”）之中。该规定于同年3月31日正式施行，同步宣告了2018年发布的旧版规定作废 。与此同时，上海证券交易所与深圳证券交易所亦紧密协同，同步发布了配套的《上市公司创业投资基金股东减持股份实施细则（2020年修订）》，构筑了完整的执行闭环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该政策矩阵的核心制度创新在于系统性完善了“反向挂钩”机制（Reverse-hook Mechanism）。这一机制的底层逻辑十分清晰：创业投资基金及私募股权投资基金所持上市公司股份的法定锁定期满后，其在二级市场的减持节奏及比例限制，应当与该基金在企业首次公开发行（IPO）前提供资本支持的期限长短成反比 。这意味着，前期承担了更高不确定性风险、陪伴企业成长时间越长的早期资本，在企业成功上市后应当享受更短的减持限制窗口和更充裕的流动性溢价。这种制度安排深刻体现了监管层对于“投早、投小、投科技”的政策倾斜，通过赋予流动性特权来实现差异化扶持与资本引导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报告将立足于资本市场机构投资者的实务视角，深度剖析符合减持特别规定的适格主体条件、底层标的属性界定、减持额度的阶梯式测算逻辑，并重点探究在2024年最新颁布的《上市公司股东减持股份管理暂行办法》这一严监管语境下，反向挂钩机制的豁免有效性。同时，报告将详尽梳理在资产管理业务综合报送平台（AMBERS系统）中的政策申请全流程，并为拟通过该政策实现平稳退出的上市公司股东系统性梳理政策原件，提供极具实战价值的专家级操作指南。</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二、 政策演进的内在逻辑与2020年修订的破局意义</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要深刻理解当前减持特别规定的适用边界，必须回溯该项政策的演进脉络。早在2016年9月，国务院发布《关于促进创业投资持续健康发展的若干意见》（被业界称为“创投国十条”），首次在国家战略层面明确要求相关部门研究建立创业投资企业所投资企业上市解禁期与上市前投资期限长短反向挂钩的制度安排 。随后，证监会于2018年3月出台了第一版《上市公司创业投资基金股东减持股份的特别规定》（证监会公告〔2018〕4号）。</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2018年版本的规定在实际运行中暴露出认定标准过于严苛、实操摩擦成本高昂等问题。大量专注于长期价值投资的私募股权基金由于无法满足整体投资盘子中必须有50%以上资金投向早期中小企业和高新技术企业的刚性要求，从而被排除在政策红利之外 。随着一级市场募资冬天的到来，行业内对于松绑退出政策、提升资金周转率的诉求日益强烈。</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正是在此背景下，2020年的修订版应运而生。此次修订被业界广泛评价为“突出尊重市场、突出简化标准、突出扩大范围、突出时间价值”的务实之举 。它彻底摒弃了以基金整体投资组合为考核对象的“一刀切”模式，转而采取“穿透至单一被投项目”的认定逻辑，极大地拓宽了政策的受惠面，使得反向挂钩机制真正成为了激发资本市场活力的有效催化剂 。</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三、 《特别规定（2020修订）》核心适用条件深度解析</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一家上市公司股东若拟在基金业协会成功申请适用《特别规定（2020修订）》，必须在三个核心维度上经受严格的合规穿透与资质校验：即主体资格的适格性、底层投资标的的属性契合度，以及法定投资期限的精准测算。</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主体资格的适格性与扩容界定</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根据《特别规定（2020修订）》第二条及第五条的明文规定，适用该减持特别规定的主体已经从狭义的“创业投资基金”拓展至更为广阔的私募股权投资生态体系。首先，最为基础的适格主体必须是依法在中国证券投资基金业协会完成备案的创业投资基金产品 。这意味着，基金的组织形式、备案类型必须在AMBERS系统中清晰界定，且在存续期间保持规范运作，按时完成各项信息披露与季度更新义务。</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其次，也是2020年修订中最具里程碑意义的突破，即监管层在第五条中明确，在基金业协会备案的“私募股权投资基金”，同样可以参照本规定执行反向挂钩政策 。在商业实践中，大量登记为私募股权投资基金的机构，其底层资产的投资策略同样涵盖了早期项目与高科技企业，若将其强行排除在优惠政策之外，显然有悖于鼓励长期资本形成的政策初衷。因此，这一参照适用条款实质上抹平了不同备案类型基金在退出端的不平等待遇，使得只要“投得对、投得早”的资本，均能享受同等的流动性奖励。</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需要特别警惕的是间接投资所带来的合规盲区。根据中基协发布的配套操作指南与实务反馈，反向挂钩政策的政策红利通常严格限定于基金与被投上市公司之间存在直接股权关系的架构。若基金系通过特殊目的载体（SPV）、合伙企业嵌套等方式间接持有上市公司IPO前发行的股份，这种结构往往会被监管层认定为不符合直接投资的穿透原则，从而无法适用此项减持优惠 。这一防线旨在防范资本通过复杂的层级架构进行监管套利，确保优惠政策精准滴灌至真正承担直接投资风险的管理人。</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底层投资标的的“三选一”属性界定标准</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解决了主体的适格性问题后，审查的焦点将下沉至底层的投资标的。根据《特别规定（2020修订）》第三条，基金所投资的企业只需在特定的历史节点满足“早期企业”、“中小企业”或“高新技术企业”这三大属性中的任意一项，即可触发反向挂钩的减持优惠 。相较于2018年旧规要求必须同时满足“早期”与“中小”双重条件的严苛设定，2020年新规的“三选一”逻辑无疑为投资机构释放了巨大的操作弹性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一条路径为认定“早期企业”。其时间锚点为“创业投资基金首次接受投资时”，即基金资金实际注入或股权完成工商变更的时点。认定标准极为明确且具备强客观性：该企业自成立之日起至基金首次投资之日，存续时间不满60个月 。这一标准直接奖励了那些敢于在企业生命周期最脆弱、死亡率最高的初创阶段提供“过冬弹药”的风险投资机构。</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二条路径为认定“中小企业”。同样以“首次接受投资时”为时间锚点，其认定依赖于三项并行的定量指标。首先，企业职工人数不得超过500人。值得注意的是，2020年的修订极为务实地删除了原规定中要求“经企业所在地县级以上劳动和社会保障部门或社会保险基金管理单位核定”的繁琐前置审批条件 。这一行政减负措施大幅降低了基金在数年后回溯举证的难度，避免了因地方行政部门不配合出具证明而导致的合规死局。其次，根据具备证券期货从业资格的会计师事务所出具的年度合并审计报告，该企业在接受投资时的年销售额不得超过2亿元人民币。最后，同样基于该审计报告，企业的资产总额亦不得超过2亿元人民币 。在实务申报中，这意味着基金管理人必须妥善保存投资当年及上一年度的企业完整财务审计档案，这是通过中基协系统校验的铁证。</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第三条路径为认定“高新技术企业”。与前两项在投资时点进行静态切片的逻辑不同，高新技术企业的认定节点被动态延后至“截至发行申请材料受理日” 。这意味着，即便基金在投资时该企业规模已经庞大、成立时间已经较长（不符合早期和中小标准），但只要在企业向中国证监会或证券交易所正式提交IPO申报材料并获得受理的这一法定关键节点之前，该企业依据《高新技术企业认定管理办法》（国科发火〔2016〕32号）成功取得了国家高新技术企业证书，投资该企业的基金依然能够搭上减持优惠的末班车。这一极具包容性的条款，为投资于成长后期但具有极强硬科技属性和研发投入的成长期资本提供了极佳的退出通道。</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投资期限的精准测算与起止点重构</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反向挂钩机制的灵魂在于“时间”。如何计算投资期限的长短，直接决定了减持限制的宽严程度。根据《特别规定（2020修订）》第二条及中基协的系统操作规程，投资期限的起止点被赋予了极度精确的数理定义，且相较于历史版本，该定义在最大程度上向市场化投资机构的利益倾斜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关于投资期限的起点，政策设定了双重触发机制。投资期限自创业投资基金或私募股权投资基金对该首次公开发行企业的投资金额累计达到300万元人民币之日，或者投资金额累计达到投资该企业总投资额50%之日起开始计算，以孰早者为准 。在复杂的交易架构中，若基金早期是通过可转换债券进行投资，随后实施债转股的，起算日应当按照正式转股日计算；对于涉及企业重组、并购整合后整体上市的复杂案例，则严格按照基金对标的企业初始投资的日期进行溯源计算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关于投资期限的终点，2020年的修订完成了一次极具前瞻性的优化，将其由原先的“发行申请材料受理日”大幅度向后平移，修改为“发行人首次公开发行上市日” 。中国A股市场的IPO审核历程，无论是核准制时代还是全面注册制时代，从正式递交申报材料获得受理，到经历多轮问询、上市委审议、证监会注册，再到最终敲钟上市，期间往往伴随着一年半至两年甚至更长的不确定性时间消耗 。在旧规下，这段漫长的IPO排队期是不被计入投资期限的，这显然是对基金时间成本的剥夺。新规将截止点延伸至挂牌上市日，意味着在排队期间，基金的“投资期限”这座时钟仍在持续滴答走动并不断累加。这种更为合理的连续计算方式，使得绝大多数早期投资项目能够凭借自然时间的推移，轻松跨越48个月甚至60个月的高阶豁免门槛，从而最大化地锁定政策红利 。</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四、 减持额度与时间节奏的阶梯式数理模型</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在精准测算出截至IPO上市日的累计投资期限后，基金即可按照证券交易所出台的实施细则，在二级市场上匹配对应的减持节奏。根据《深圳证券交易所上市公司创业投资基金股东减持股份实施细则（2020年修订）》及上海证券交易所同名文件的规定，减持通道被清晰地划分为“集中竞价交易”与“大宗交易”两类，并根据投资期限的阶梯，构筑了递进式的豁免模型 。</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集中竞价交易环境下的减持阶梯测算</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集中竞价交易直接对接二级市场的广大散户与流动性盘口，其抛压对股价的即时冲击最为猛烈。因此，监管机构对集中竞价减持设定的阶梯最为细腻，体现了缓释市场压力的审慎考量。各投资期限对应的减持时间窗口及绝对比例限制呈现出严密的对应关系。</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当截至首次公开发行上市日的投资期限不满36个月时，政策不提供任何特殊优待。基金在每90个连续自然日内，通过集中竞价减持的股份总数不得超过公司股份总数的1% 。这一区间实际上与《上市公司股东、董监高减持股份的若干规定》中的普适性基础限制完全一致，主要针对的是在IPO前夕突击入股、试图短期套利的资本。</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随着投资期限的拉长，反向挂钩的红利开始逐步显现。当投资期限满36个月但不满48个月时，减持1%公司股份的时间窗口被大幅压缩了三分之一，即在每60个连续自然日内即可减持不超过1% 。这显著提升了资金的回笼效率。</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进一步地，当投资期限满48个月但不满60个月时，时间窗口进一步极致压缩至一个月。基金可以在每30个连续自然日内减持不超过公司总股本的1% 。在这一阶梯，流动性已得到极大的释放，体现了对中长期资本的明确奖励。</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最为核心的终极豁免出现在投资期限达到或超过60个月（即5年）的项目上。对于这类穿越了经济周期、长期陪跑实体企业的耐心资本，政策给予了“解除枷锁”式的彻底豁免：减持股份总数将完全不再受时间窗口和特定比例的限制 。这意味着锁定期一旦届满，基金可以根据自身的资金诉求和对市场价格的专业判断，自由决定清仓的速度与规模。这种彻底的市场化定价机制，极大地鼓励了创投基金将资金沉淀在研发周期长、商业化进程缓慢的硬科技企业中，而不必为后续退出的拥堵而焦虑。</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大宗交易通道下的扩容额度与受让方豁免机制</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相较于集中竞价，大宗交易由于其交易双方通常为具备风险定价能力的机构投资者或高净值大户，其交易过程对二级市场公开竞价系统的即时价格冲击相对温和。因此，监管层在大宗交易方式下，将基础的减持比例额度相较于集中竞价提升了一倍。</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具体的阶梯模型为：投资期限不满36个月的，每90个连续自然日内减持不超过2%；满36个月不满48个月的，每60个连续自然日内减持不超过2%；满48个月不满60个月的，每30个连续自然日内减持不超过2%；满60个月及以上的，同样享受不受比例限制的终极豁免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在大宗交易的相关规定中，最为震撼且极具实操价值的创新，并非额度的翻倍，而是针对股份受让方的“特别解锁机制”。在A股常规的大宗交易减持规则生态中，为了防止大股东通过大宗交易过桥给第三方进而迅速在二级市场抛售套现，受让方在受让股份后必须遵守一道刚性约束——“六个月内不得转让其受让的股份”。这一长达半年的锁定期，直接导致了受让方在承接股份时必须要求极高的风险补偿，表现为大宗交易价格相较于二级市场市价的大幅折价。</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但是，根据深交所及上交所《实施细则（2020年修订）》第四条的革命性规定，创业投资基金通过大宗交易方式减持其持有的首次公开发行前发行的股份，符合条件的股份受让方在受让后，</w:t>
      </w:r>
      <w:r w:rsidDel="00000000" w:rsidR="00000000" w:rsidRPr="00000000">
        <w:rPr>
          <w:rFonts w:ascii="Arial Unicode MS" w:cs="Arial Unicode MS" w:eastAsia="Arial Unicode MS" w:hAnsi="Arial Unicode MS"/>
          <w:b w:val="1"/>
          <w:bCs w:val="1"/>
          <w:rtl w:val="0"/>
        </w:rPr>
        <w:t xml:space="preserve">明确豁免并完全不受“六个月内不得转让其受让股份”的限制</w:t>
      </w:r>
      <w:r w:rsidDel="00000000" w:rsidR="00000000" w:rsidRPr="00000000">
        <w:rPr>
          <w:rFonts w:ascii="Arial Unicode MS" w:cs="Arial Unicode MS" w:eastAsia="Arial Unicode MS" w:hAnsi="Arial Unicode MS"/>
          <w:rtl w:val="0"/>
        </w:rPr>
        <w:t xml:space="preserve"> 。这一极其重要的条款彻底激活了大宗交易的买方接盘意愿，消除了因为流动性锁定而产生的折价惩罚。对于基金而言，这意味着可以以极其贴近二级市场实时市价的价格，在极短的时间内大体量地实现资金安全落袋。</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五、 2024年减持新规语境下的政策衔接与豁免有效性检验</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随着中国资本市场的进一步成熟与监管逻辑的深化，2024年5月24日，为严厉打击违规减持套现、规范大股东及董监高行为、维护中小投资者合法权益，中国证监会正式出台了《上市公司股东减持股份管理暂行办法》（中国证券监督管理委员会令第224号，以下简称“《减持管理办法》”）。在整体减持监管环境呈现全面收紧、补漏补缺的大背景下，创业投资基金此前享有的特殊豁免地位是否受到冲击甚至被废止，成为了全行业高度关切的生死命题。</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“另有规定从其规定”的优先适用法则</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深入研读2024年《减持管理办法》的法理逻辑可知，新规虽然对“大股东”（即持有5%以上股份的股东、实际控制人）以及“特定股东”（持有公司首次公开发行前发行的股份的股东）进行了更为严苛的重新定义 ，并全面封堵了融券卖出、转融通出借、开展衍生品交易等各类利用金融工具规避减持的通道 ，但针对创投基金却留出了明确且坚固的制度“防火墙”。</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《减持管理办法》第二十六条以白纸黑字的最高效力位阶明确确立了“专门规定优先原则”：“中国证监会、证券交易所对</w:t>
      </w:r>
      <w:r w:rsidDel="00000000" w:rsidR="00000000" w:rsidRPr="00000000">
        <w:rPr>
          <w:rFonts w:ascii="Arial Unicode MS" w:cs="Arial Unicode MS" w:eastAsia="Arial Unicode MS" w:hAnsi="Arial Unicode MS"/>
          <w:b w:val="1"/>
          <w:bCs w:val="1"/>
          <w:rtl w:val="0"/>
        </w:rPr>
        <w:t xml:space="preserve">创业投资基金</w:t>
      </w:r>
      <w:r w:rsidDel="00000000" w:rsidR="00000000" w:rsidRPr="00000000">
        <w:rPr>
          <w:rFonts w:ascii="Arial Unicode MS" w:cs="Arial Unicode MS" w:eastAsia="Arial Unicode MS" w:hAnsi="Arial Unicode MS"/>
          <w:rtl w:val="0"/>
        </w:rPr>
        <w:t xml:space="preserve">、私募股权投资基金等减持股份另有规定的，从其规定。”</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这一例外条款犹如一根定海神针，从法理根基上确认了《上市公司创业投资基金股东减持股份的特别规定（2020修订）》及其衍生的反向挂钩机制、大宗交易受让方豁免机制，在2024年及未来的严监管框架下</w:t>
      </w:r>
      <w:r w:rsidDel="00000000" w:rsidR="00000000" w:rsidRPr="00000000">
        <w:rPr>
          <w:rFonts w:ascii="Arial Unicode MS" w:cs="Arial Unicode MS" w:eastAsia="Arial Unicode MS" w:hAnsi="Arial Unicode MS"/>
          <w:b w:val="1"/>
          <w:bCs w:val="1"/>
          <w:rtl w:val="0"/>
        </w:rPr>
        <w:t xml:space="preserve">依然持续有效，并未被新规废止、覆盖或同化</w:t>
      </w:r>
      <w:r w:rsidDel="00000000" w:rsidR="00000000" w:rsidRPr="00000000">
        <w:rPr>
          <w:rFonts w:ascii="Arial Unicode MS" w:cs="Arial Unicode MS" w:eastAsia="Arial Unicode MS" w:hAnsi="Arial Unicode MS"/>
          <w:rtl w:val="0"/>
        </w:rPr>
        <w:t xml:space="preserve"> 。只要投资机构满足基协的前置备案条件并在AMBERS系统成功获批，其在IPO前取得的股份，依然能够跨越2024年新规设立的众多普适性路障，从容行驶在定制化的快车道上。</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破发、破净、分红不达标等极端限制的交互影响</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减持管理办法》中引发市场最广泛震动、且最为严厉的底线条款之一，便是当上市公司出现“破发”（股价跌破发行价）、“破净”（股价跌破每股净资产）或“分红不达标”时，上市公司的控股股东及实际控制人将面临绝对的禁止性约束，不得通过集中竞价或大宗交易方式减持任何股份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那么，这种基于上市公司整体质量恶化而触发的底线禁令，是否会封锁创投基金的反向挂钩特权？根据相关立法说明与监管实务的动态研判，这里的法理博弈主要取决于创投基金在上市公司中的股东身份定性。</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如果创投基金自身仅仅是持有5%以上股份的非控股大股东，或者是持有5%以下股份的特定原始股东，其行使反向挂钩的减持权利原则上</w:t>
      </w:r>
      <w:r w:rsidDel="00000000" w:rsidR="00000000" w:rsidRPr="00000000">
        <w:rPr>
          <w:rFonts w:ascii="Arial Unicode MS" w:cs="Arial Unicode MS" w:eastAsia="Arial Unicode MS" w:hAnsi="Arial Unicode MS"/>
          <w:b w:val="1"/>
          <w:bCs w:val="1"/>
          <w:rtl w:val="0"/>
        </w:rPr>
        <w:t xml:space="preserve">不受</w:t>
      </w:r>
      <w:r w:rsidDel="00000000" w:rsidR="00000000" w:rsidRPr="00000000">
        <w:rPr>
          <w:rFonts w:ascii="Arial Unicode MS" w:cs="Arial Unicode MS" w:eastAsia="Arial Unicode MS" w:hAnsi="Arial Unicode MS"/>
          <w:rtl w:val="0"/>
        </w:rPr>
        <w:t xml:space="preserve">破发、破净及分红不达标条款的直接封锁，依然可以按照批复的阶梯节奏进行减持。然而，在极其罕见的极端案例中，若某只孵化型创投基金一直作为上市公司的绝对控股股东或实际控制人存续至上市后，此时，基于维护市场公平与实控人责任兜底的考量，破发破净的禁令将具有强制的优先穿透效力，此时该基金将不得强行主张适用《特别规定》进行减持 。简而言之，反向挂钩豁免的是“比例天花板与时间沙漏”，而非豁免因标的质量恶化而引发的实控人底线责任限制。</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严禁工具化“绕道减持”的合规铁律</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值得高度警惕的是，尽管2024年新规给予了创投基金额度层面的宽容，但在交易工具的合规使用上，绝不容忍任何的“暗度陈仓”。根据《减持管理办法》第17条和第18条的刚性规定，即便是已经成功适用《特别规定》并获得基协标识赋码的创投基金，也绝对禁止利用信息优势或工具优势进行变相减持。具体而言，严禁基金将处于限制转让期或计划减持的股份，通过转融通系统出借给做空机构；严禁基金融券卖出本公司股票进行锁定期内的套利对冲；严禁开展以本公司股票为底层合约标的物的衍生品交易以提前锁定利润 。此外，若基金试图通过参与认购或申购交易型开放式指数基金（ETF）来变相置换出持有的单一公司股份进行减持，亦必须严格参照集中竞价交易方式的合规披露与比例规则执行，任何游离于穿透式监管视野之外的金融创新都将被视为严重违规 。</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六、 资产管理业务综合报送平台（AMBERS系统）实操申报指南</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知晓了全部的宏观政策与合规边界后，如何将这些纸面上的政策红利转化为实实在在的交易权限，考验着基金管理人的系统实操能力。根据《特别规定》的制度安排，所有的政策申请必须通过中国证券投资基金业协会的资产管理业务综合报送平台（简称AMBERS系统）进行线上无纸化申报与严密的逻辑比对校验。中基协为此专门编制了详尽的《系统操作指南》，为基金管理人的合规与中后台运营团队规划了标准化的作业路径 。</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（一） 系统操作的底层前置合规要求</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正式发起反向挂钩政策申请之前，基金管理人必须完成一项至关重要的基础动作：确保该私募股权或创投产品已经在AMBERS系统中如实、准确地完成了最近一期的产品季度信息更新。AMBERS系统内部嵌有极度敏锐的数据交叉逻辑校验引擎，若系统判定在最近一期的季度更新中，管理人未能准确录入该底层项目的投资金额、投资时点等基本盘情况，或者填报的数据格式、位数与历史登记数据存疑，系统将在点击提交的瞬间自动拦截申请并弹窗提示错误，阻断流程 。如确系前期填报存在历史遗留错误，管理人必须首先启动“重报”功能，修正历史底层数据，方可开启后续的专项政策申请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此外，操作指南明确规定了“一事一报”的颗粒度原则。若同一只基金在其投资组合中持有多个皆符合反向挂钩条件的上市企业标的，切忌贪图便捷进行打包合并申报。管理人必须针对每一个不同的上市公司标的，分别独立发起全套的申请流程，以生成独立的合规标识 。</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（二） 全流程填报步骤深度拆解</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整个AMBERS系统的申请流程可拆解为六个高度标准化的步骤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操作阶段</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具体动作指令与合规要点解析</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第一步：入口定位</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管理人使用数字证书或经授权的账户密码登录AMBERS系统主控制台（网址：[span_32](start_span)[span_32](end_span)https://ambers.amac.org.cn）。在海量的功能模块中，精准锁定并点击“政策申请”主菜单，随后在子菜单中选中专属的“《上市公司创业投资基金股东减持股份的特别规定》”按钮，正式进入填报沙盘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第二步：标的基金绑定</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页面右侧操作栏点击“新增”指令。系统将通过底层数据库抓取并弹出该管理人名下已备案存续的所有私募基金产品列表。合规人员需在此列表中审慎核对备案编码，精确点选拟申请适用优惠政策的目标基金主体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第三步：系统核心信息填报</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此环节为风控核查的关键腹地。首先，准确录入“拟减持标的企业名称”及其对应的六位数“证券代码”；其次，在企业性质选项中，根据实际情况勾选“早期企业”、“中小企业”或“高新技术企业”。若选择“高新技术企业”，系统页面会动态展开，强制要求填写《高新技术企业证书》的确切发证时间，以便与后续提供的招股书受理日进行时间轴比对 ；再次，详细填写基金持有该减持标的证券所对应的确切“股票账户”号码，这一数据将通过接口推送至中登公司与交易所，作为后续白名单放行的唯一识别码；最后，依据底层法律文件严谨填报“股东身份确权日期”与“首次公开发行上市日期”。如有历史沿革复杂、架构重组等非标准特殊情况，必须在“管理人认为需要说明的其他问题”文本框内进行详尽的备忘录式补充说明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第四步：法证附件的规范化提交</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这一步要求上传四项构筑证据链闭环的核心证明文件： 1. </w:t>
            </w:r>
            <w:r w:rsidDel="00000000" w:rsidR="00000000" w:rsidRPr="00000000">
              <w:rPr>
                <w:rFonts w:ascii="Arial Unicode MS" w:cs="Arial Unicode MS" w:eastAsia="Arial Unicode MS" w:hAnsi="Arial Unicode MS"/>
                <w:b w:val="1"/>
                <w:bCs w:val="1"/>
                <w:rtl w:val="0"/>
              </w:rPr>
              <w:t xml:space="preserve">《政策申请承诺函》</w:t>
            </w:r>
            <w:r w:rsidDel="00000000" w:rsidR="00000000" w:rsidRPr="00000000">
              <w:rPr>
                <w:rFonts w:ascii="Arial Unicode MS" w:cs="Arial Unicode MS" w:eastAsia="Arial Unicode MS" w:hAnsi="Arial Unicode MS"/>
                <w:rtl w:val="0"/>
              </w:rPr>
              <w:t xml:space="preserve">：严禁自拟，必须下载系统中提供的标准Word模板。承诺内容涵盖信息真实性，并宣誓该基金仅对首发前股份适用此政策。文件经机构法定代表人签字并加盖机构公章后，上传高清彩色扫描件 。 2. </w:t>
            </w:r>
            <w:r w:rsidDel="00000000" w:rsidR="00000000" w:rsidRPr="00000000">
              <w:rPr>
                <w:rFonts w:ascii="Arial Unicode MS" w:cs="Arial Unicode MS" w:eastAsia="Arial Unicode MS" w:hAnsi="Arial Unicode MS"/>
                <w:b w:val="1"/>
                <w:bCs w:val="1"/>
                <w:rtl w:val="0"/>
              </w:rPr>
              <w:t xml:space="preserve">上市验证文件</w:t>
            </w:r>
            <w:r w:rsidDel="00000000" w:rsidR="00000000" w:rsidRPr="00000000">
              <w:rPr>
                <w:rFonts w:ascii="Arial Unicode MS" w:cs="Arial Unicode MS" w:eastAsia="Arial Unicode MS" w:hAnsi="Arial Unicode MS"/>
                <w:rtl w:val="0"/>
              </w:rPr>
              <w:t xml:space="preserve">：为辅证填报的“确权日期”和“上市日期”无误，必须原样上传该标的企业的《首次公开发行股票上市公告书》以及完整的《招股说明书》电子版 。 3. </w:t>
            </w:r>
            <w:r w:rsidDel="00000000" w:rsidR="00000000" w:rsidRPr="00000000">
              <w:rPr>
                <w:rFonts w:ascii="Arial Unicode MS" w:cs="Arial Unicode MS" w:eastAsia="Arial Unicode MS" w:hAnsi="Arial Unicode MS"/>
                <w:b w:val="1"/>
                <w:bCs w:val="1"/>
                <w:rtl w:val="0"/>
              </w:rPr>
              <w:t xml:space="preserve">证券账户变动明细权威截图</w:t>
            </w:r>
            <w:r w:rsidDel="00000000" w:rsidR="00000000" w:rsidRPr="00000000">
              <w:rPr>
                <w:rFonts w:ascii="Arial Unicode MS" w:cs="Arial Unicode MS" w:eastAsia="Arial Unicode MS" w:hAnsi="Arial Unicode MS"/>
                <w:rtl w:val="0"/>
              </w:rPr>
              <w:t xml:space="preserve">：该材料旨在确认账户内确实为IPO前原始股份，且基金未在二级市场存在违规买卖该股票的记录。具体路径为：登录中国证券登记结算有限责任公司官网（www.chinaclear.cn），依次点击“登录注册” \rightarrow “投资者” \rightarrow 完成一码通绑定激活 \rightarrow 进入“证券持有变更”功能模块 。</w:t>
            </w:r>
            <w:r w:rsidDel="00000000" w:rsidR="00000000" w:rsidRPr="00000000">
              <w:rPr>
                <w:rFonts w:ascii="Arial Unicode MS" w:cs="Arial Unicode MS" w:eastAsia="Arial Unicode MS" w:hAnsi="Arial Unicode MS"/>
                <w:b w:val="1"/>
                <w:bCs w:val="1"/>
                <w:rtl w:val="0"/>
              </w:rPr>
              <w:t xml:space="preserve">必须特别注意，查询的时间段选择必须严格设定为“选取申请日前整整一年”</w:t>
            </w:r>
            <w:r w:rsidDel="00000000" w:rsidR="00000000" w:rsidRPr="00000000">
              <w:rPr>
                <w:rFonts w:ascii="Arial Unicode MS" w:cs="Arial Unicode MS" w:eastAsia="Arial Unicode MS" w:hAnsi="Arial Unicode MS"/>
                <w:rtl w:val="0"/>
              </w:rPr>
              <w:t xml:space="preserve">。将带有中登公司官方水印的查询结果完整截图上传。若遇系统故障无法线上获取，管理人需持营业执照前往券商指定营业部柜台或中登公司各地分公司办理纸质版证券账户变动查询单，扫描上传 。&lt;br&gt;4. </w:t>
            </w:r>
            <w:r w:rsidDel="00000000" w:rsidR="00000000" w:rsidRPr="00000000">
              <w:rPr>
                <w:rFonts w:ascii="Arial Unicode MS" w:cs="Arial Unicode MS" w:eastAsia="Arial Unicode MS" w:hAnsi="Arial Unicode MS"/>
                <w:b w:val="1"/>
                <w:bCs w:val="1"/>
                <w:rtl w:val="0"/>
              </w:rPr>
              <w:t xml:space="preserve">企业性质证明材料</w:t>
            </w:r>
            <w:r w:rsidDel="00000000" w:rsidR="00000000" w:rsidRPr="00000000">
              <w:rPr>
                <w:rFonts w:ascii="Arial Unicode MS" w:cs="Arial Unicode MS" w:eastAsia="Arial Unicode MS" w:hAnsi="Arial Unicode MS"/>
                <w:rtl w:val="0"/>
              </w:rPr>
              <w:t xml:space="preserve">：若申报“中小企业”，需上传包含接受首次投资当年及上一年度的年度合并审计报告正文及附注（重点框选员工人数、不超2亿的营收及总资产数据）；若申报“高企”，需上传有效证书复印件；若申报“早期企业”，上传工商设立档案及营业执照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第五步：逻辑校验与退回补正机制</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信息与附件齐备后点击“提交”。AMBERS系统将先行触发机审逻辑引擎，核对各字段规范度及季度更新状态。若顺利通过机审，则正式排队进入协会人工复核池。人工核查若发现PDF模糊、数据逻辑矛盾等瑕疵，将出具明确指导意见并做退回处理。管理人需认真消化退回意见，修改无误后重启提交流程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第六步：审核办结与结果公示赋码</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中基协在操作指南中向市场作出了效率承诺：在申请材料完全齐备且合规之日起的 </w:t>
            </w:r>
            <w:r w:rsidDel="00000000" w:rsidR="00000000" w:rsidRPr="00000000">
              <w:rPr>
                <w:rFonts w:ascii="Arial Unicode MS" w:cs="Arial Unicode MS" w:eastAsia="Arial Unicode MS" w:hAnsi="Arial Unicode MS"/>
                <w:b w:val="1"/>
                <w:bCs w:val="1"/>
                <w:rtl w:val="0"/>
              </w:rPr>
              <w:t xml:space="preserve">10 个工作日内</w:t>
            </w:r>
            <w:r w:rsidDel="00000000" w:rsidR="00000000" w:rsidRPr="00000000">
              <w:rPr>
                <w:rFonts w:ascii="Arial Unicode MS" w:cs="Arial Unicode MS" w:eastAsia="Arial Unicode MS" w:hAnsi="Arial Unicode MS"/>
                <w:rtl w:val="0"/>
              </w:rPr>
              <w:t xml:space="preserve"> 必定完成全部审核流程 。一旦审核顺利通过，系统将在符合条件的私募投资基金对外公示信息页面上，以醒目的方式添加反向挂钩减持特权的“标识”（电子水印或特殊标签）。管理人可在后台查询并截图留存“办理通过日期”。自此，当该拟减持标的在交易所层面的法定锁定期宣告届满后，该只基金便可名正言顺地依托《特别规定》设定的优待节奏，在二级市场从容出清 。</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七、 监管底线与行政法律责任的红线防守</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中国资本市场的监管哲学始终坚持“放管结合、宽严相济”。在通过反向挂钩机制赋予创投基金巨额流动性溢价与时间红利的同时，配套的惩戒机制也犹如高悬的达摩克利斯之剑。</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根据《特别规定（2020修订）》第六条的明文严厉规定，对于底层标的根本不符合“投早、投小、投科技”的实质要件，却企图通过伪造篡改审计报告数据、倒签修改投资协议日期、虚构拼凑高企证书等各种弄虚作假手段骗取、窃取减持政策优待的基金管理人及其核心高管，中国证监会将采取零容忍态度，直接依照有关法律法规采取严厉的“行政监管措施” 。这些措施包括但不限于公开出具警示函、责令限期改正、计入资本市场诚信档案等，这将直接导致该管理人未来发行新基金产品的备案通道被冻结，甚至面临私募牌照被吊销的顶格风险。</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交易执行环节，除了证监会层面的宏观行政监管，沪深交易所作为捍卫市场交易秩序的一线阵地，对异常交易实施毫秒级的大数据异动监测。依据沪深交易所各自颁布的《实施细则（2020年修订）》，若创投基金及私募股权基金在实际抛售操作中，因为风控缺失突破了前述算定的百分比上限，发生实质性的违规减持行为，进而导致标的股票价格在短期内出现断崖式的异常波动、严重干扰市场正常的供需匹配秩序、或者实质性损害了广大中小投资者的合法权益，交易所将无视任何辩解，直接启动“从重处分”程序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具体的交易所纪律处分手段涵盖了全市场通报批评、公开谴责，直至采取限制相关证券账户交易资格（封停账户）的极端熔断措施。若违规行为的金额巨大、情节极端恶劣，涉嫌违反更深层次的《证券法》等法律法规的，交易所不具备行政处罚权，但将第一时间把犯罪线索与交易流水固化上报中国证监会，交由稽查部门立案查处 。因此，获得减持批文绝非万事大吉，基金管理人在执行庞大的减持计划时，务必联合专业券商的PB（主经纪商）合规团队，利用智能算法程序在交易终端死锁每日的减持绝对额度，从物理层面杜绝任何因“胖手指”或人工算数失误而导致的超比例违规卖出。</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八、 政策文件及官方指南PDF原件索引汇编</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为便于上市公司股东的投资决策委员会、基金管理人中后台以及专业的合规法务团队能够随时查阅原始的监管渊源，确保对所有条款细则解读的原汁原味，不产生任何信息衰减或偏差，本报告依据最新的监管动态，特将涉及本次反向挂钩减持政策的核心法规文件、交易所实施细则及中基协操作指南进行系统性梳理与电子档案汇编。所有相关政策的PDF原件及官方权威发布的文本链接整理如下：</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文件层级与类型</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政策文件标准全称及施行日期</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核心指导意义与文件获取官方直达链接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顶层法律依据与核心规范</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《上市公司创业投资基金股东减持股份的特别规定（2020年修订）》（中国证券监督管理委员会公告〔2020〕17号，2020年3月31日施行）</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奠定了反向挂钩的法理基础，明确了“三选一”的企业认定标准与投资期限起止点的重构。 链接: https://www.sse.com.cn/lawandrules/regulations/csrcannoun/c/10117263/files/1fa85a2eeb89409fa2020dab417c12fd.pdf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上交所执行细则</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《上海证券交易所上市公司创业投资基金股东减持股份实施细则（2020年修订）》</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详细规定了上交所主板及科创板适用基金在集中竞价与大宗交易下的具体比例限制与罚则。 链接: http://www.sse.com.cn/lawandrules/sselawsrules2025/stocks/mainipo/c/10779157/files/f23ce29dc1ff4c13a32db4023a72c3e3.docx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深交所执行细则</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《深圳证券交易所上市公司创业投资基金股东减持股份实施细则（2020年修订）》</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详细规定了深交所主板及创业板适用基金的具体交易通道限制及大宗交易受让方的豁免红利。 链接: https://docs.static.szse.cn/www/lawrules/rule/allrules/bussiness/W020200306774434072300.pdf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实操申报最高指南</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《&lt;上市公司创业投资基金股东减持股份的特别规定 (2020年修订)&gt; 系统操作指南》（中国证券投资基金业协会编制）</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剥离晦涩法条，手把手教导基金管理人在AMBERS系统中完成六步申报法的图文并茂的实战宝典。 链接: https://www.amac.org.cn/fwdt/wyb/jgdjhcpbeian/smjjglrdjhcpba/fwzn/202206/P020231129562610807908.pdf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法证材料固定模板</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《私募投资基金反向挂钩政策申请承诺函》官方模板</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申报必备要件，具备法定约束力的承诺函Word格式文档。 链接: https://www.amac.org.cn/fwdt/wyb/jgdjhcpbeian/smjjglrdjhcpba/fwzn/202206/P020231129562610008494.doc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2024最新减持法典</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《上市公司股东减持股份管理暂行办法》（2024年中国证监会令第224号，2024年5月24日施行）</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统摄当前A股全面从严减持体系的最严新规，极其关键的第二十六条确立了创投基金的优先适用豁免权。 链接: https://www.ssf.gov.cn/portal/rootfiles/2024/06/07/1719442631756800-1719442631810667.pdf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证监会立法释义</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《&lt;上市公司创业投资基金股东减持股份的特别规定&gt; 修订说明》</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中国证监会官方出具的立法解释文件，深刻阐述了从2018版演进至2020版背后的监管理念变迁与宏观考量。 链接: http://www.csrc.gov.cn/csrc/c101950/c1048013/1048013/files/%E9%99%84%E4%BB%B62%EF%BC%9A%E3%80%8A%E4%B8%8A%E5%B8%82%E5%85%AC%E5%8F%B8%E5%88%9B%E4%B8%9A%E6%8A%95%E8%B5%84%E5%9F%BA%E9%87%91%E8%82%A1%E4%B8%9C%E5%87%8F%E6%8C%81%E8%82%A1%E4%BB%BD%E7%9A%84%E7%89%B9%E5%88%AB%E8%A7%84%E5%AE%9A%E3%80%8B%E4%BF%AE%E8%AE%A2%E8%AF%B4%E6%98%8E.pdf</w:t>
            </w:r>
          </w:p>
        </w:tc>
      </w:tr>
    </w:tbl>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九、 总结研判与实战策略应对建议</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通过对上述宏观政策脉络、微观认定标准及底层实操指南的抽丝剥茧，可以得出极其明确的结论：《上市公司创业投资基金股东减持股份的特别规定（2020修订）》所确立并不断完善的反向挂钩机制，绝非中国资本市场减持制度中一次简单的局部技术性微调。它在本质上，是国家为了重塑私募股权行业生态、引导全社会金融资源向硬科技与早期创新领域战略性转移所构筑的核心底层建筑。</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研究表明，通过果断废除2018年旧规中“全基金50%必须投早投小”的僵化桎梏，并开创性地允许海量符合条件的私募股权投资基金（PE）参照适用，监管层成功地将政策红利的惠及面呈指数级扩大。而将投资期限的计算终点由充满不确定性的“申报受理日”果断延伸至“首次挂牌上市日”，则从根本上化解了私募机构因A股漫长的排队审核周期而蒙受的流动性折损惩罚，极大地修复了投资人的预期收益率曲线。更为令业界振奋的是，在2024年《减持管理办法》祭出史上最严减持铁律、全市场谈减持色变的宏观高压周期下，监管层通过该办法第26条“另有规定从其规定”的精妙设计，对创投基金展现出了极度克制与精准定向保护的政治智慧。这一豁免通道在惊涛骇浪中的坚挺存续，深刻且无可辩驳地证明了国家宏观战略中对于“长期耐心资本”的极度渴求与呵护。</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对于目前持有IPO前取得股份、拟向中基协正式申请该项政策的上市公司股东（特别是私募股权基金与创投基金管理人），在后续的实务操作中，必须确立以下三大战略维度的应对准则：</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其一，将合规鉴定与证据底稿留存的工作无限前置。</w:t>
      </w:r>
      <w:r w:rsidDel="00000000" w:rsidR="00000000" w:rsidRPr="00000000">
        <w:rPr>
          <w:rFonts w:ascii="Arial Unicode MS" w:cs="Arial Unicode MS" w:eastAsia="Arial Unicode MS" w:hAnsi="Arial Unicode MS"/>
          <w:rtl w:val="0"/>
        </w:rPr>
        <w:t xml:space="preserve"> 申请反向挂钩减持优惠的最终成败，往往并非取决于解禁那一刻的公关能力，而是早在基金向企业首次注入资金的交割日便已注定。投资机构的法务与投后管理团队必须将减持申报的材料逻辑深植于投前尽调之中。例如，在决意投资中小企业以图未来享受政策的当年，在增资协议的先决条件中，必须刚性敦促标的企业聘请具备证券资格的会计师事务所，出具完全符合标准格式的年度合并审计报告，以在第一时间将“员工人数少于500、营收及资产不超2亿”的核心财务证据作为历史铁案固化下来。如果抱有侥幸心理，等待企业上市后数年再去倒推索要早年数据，不仅企业财务系统的配合度极低，且极易面临原始底稿遗失、人员流失导致的致命合规风险，最终痛失减持特权。</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其二，以毫厘之差的心态精细化管理投资期限的起算节点。</w:t>
      </w:r>
      <w:r w:rsidDel="00000000" w:rsidR="00000000" w:rsidRPr="00000000">
        <w:rPr>
          <w:rFonts w:ascii="Arial Unicode MS" w:cs="Arial Unicode MS" w:eastAsia="Arial Unicode MS" w:hAnsi="Arial Unicode MS"/>
          <w:rtl w:val="0"/>
        </w:rPr>
        <w:t xml:space="preserve"> 在现代一级市场复杂的投融资实践中，往往伴随着可转债过桥转股、基于估值对赌的多轮追加投资、以及通过搭建红筹架构拆除或SPV重组上市等极其复杂的非标准交易。在此种局面下，法务合规部门不能满足于粗线条的预估，必须以300万元人民币绝对金额或50%相对股权占比为锋利的解剖刀，运用穿透核查法，拨开重重交易架构的迷雾，精准锁定那个不可辩驳的“法定投资起点日”。必须清醒地认识到，在反向挂钩的数理模型中，投资起点日期的毫厘之差，可能直接导致基金被系统划归至低一档的减持阶梯。在A股庞大的市值基数下，几个百分点的时间窗口错位，进而可能引发千万级别乃至上亿级别的流动性折损与巨额的资金时间成本差异。</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b w:val="1"/>
          <w:bCs w:val="1"/>
          <w:rtl w:val="0"/>
        </w:rPr>
        <w:t xml:space="preserve">其三，深度挖掘并善用大宗交易“买方免锁”条款，实现基金退出价值的最大化极限。</w:t>
      </w:r>
      <w:r w:rsidDel="00000000" w:rsidR="00000000" w:rsidRPr="00000000">
        <w:rPr>
          <w:rFonts w:ascii="Arial Unicode MS" w:cs="Arial Unicode MS" w:eastAsia="Arial Unicode MS" w:hAnsi="Arial Unicode MS"/>
          <w:rtl w:val="0"/>
        </w:rPr>
        <w:t xml:space="preserve"> 面对手中持股比例较大、一旦直接在二级市场集中竞价系统抛售极易引发市场踩踏崩盘，或者受限于集中竞价单日限额而久拖不决的巨无霸项目，基金管理人的策略重心应当坚决而果断地向大宗交易通道倾斜。政策在此处为创投基金开了一扇极其宽广的后门：凭借《特别规定》赋予受让方“完全免受六个月锁定期限制”的法定护身符，基金在寻找接盘方与承接资金时，将拥有极其罕见的压倒性谈判筹码。这一特权使得受让方在接盘后次日即可在二级市场抛售套现，彻底清除了流动性风险溢价。因此，基金管理人应当据理力争，显著降低大宗交易相较于二级市场实时收盘价的折扣率，在确保不触碰监管合规底线的前提下，以最为完美的姿态完成资本的华丽谢幕，实现基金出资人（LP）利益的极致兑现与圆满闭环。</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引用的文献</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创投基金反向挂钩减持迎“松绑” 创投资本良性循环有望加速 - 中共武汉市委金融委员会办公室, https://jrj.wuhan.gov.cn/ztzl_57/xyrd/bxy/202004/t20200421_1043405.shtml 2. 上市公司创业投资基金股东减持股份的特别规定（2020 年修订） - 上海证券交易所, https://www.sse.com.cn/lawandrules/regulations/csrcannoun/c/10117263/files/1fa85a2eeb89409fa2020dab417c12fd.pdf 3. （2020年）上市公司创业投资基金股东减持股份的特别规定 - 合肥律师, https://m.055110.com/law/1/16560.html 4. 深圳证券交易所上市公司创业投资基金股东减持股份实施细则（2020 年修订）, https://docs.static.szse.cn/www/lawrules/rule/allrules/bussiness/W020200306774434072300.pdf 5. 创业投资基金减持新规简析 - 上海市锦天城律师事务所, https://www.allbrightlaw.com/SH/CN/10475/35268c1682414584.aspx 6. 《上市公司创业投资基金股东减持股份的特别规定》 修订说明 - 中国证监会, http://www.csrc.gov.cn/csrc/c101950/c1048013/1048013/files/%E9%99%84%E4%BB%B62%EF%BC%9A%E3%80%8A%E4%B8%8A%E5%B8%82%E5%85%AC%E5%8F%B8%E5%88%9B%E4%B8%9A%E6%8A%95%E8%B5%84%E5%9F%BA%E9%87%91%E8%82%A1%E4%B8%9C%E5%87%8F%E6%8C%81%E8%82%A1%E4%BB%BD%E7%9A%84%E7%89%B9%E5%88%AB%E8%A7%84%E5%AE%9A%E3%80%8B%E4%BF%AE%E8%AE%A2%E8%AF%B4%E6%98%8E.pdf 7. 证监会就《上市公司创业投资基金股东减持股份特别规定》答问 - 国务院新闻办公室, http://www.scio.gov.cn/xwfb/bwxwfb/gbwfbh/zjh/202207/t20220715_206282.html 8. 《上市公司创业投资基金股东减持股份的特别规定(2020 年修订)》系统操作指南, https://www.amac.org.cn/fwdt/wyb/jgdjhcpbeian/smjjglrdjhcpba/fwzn/202206/P020231129562610807908.pdf 9. 上市公司创业投资基金股东减持股份的特别规定 - 上海证券交易所, https://www.sse.com.cn/lawandrules/regulations/csrcannoun/c/10117411/files/32090c0f3fdd4852bc76fd60eef01980.pdf 10. 一文厘清创投基金版“减持新规” 2020-03-09 - 环球律师事务所, https://www.glo.com.cn/Content/2020/03-09/1431340604.html 11. 66f4439f64254d48aaa7c692929... - 上海证券交易所, https://www.sse.com.cn/lawandrules/sselawsrules/repeal/rules/c/10118993/files/66f4439f64254d48aaa7c6929290faa9.docx 12. 私募投资基金反向挂钩政策申请业务办理, https://www.amac.org.cn/fwdt/wyb/jgdjhcpbeian/smjjglrdjhcpba/fwzn/202206/t20220624_19644.html 13. 中国证监会修订《上市公司创业投资基金股东减持股份的特别规定, https://www.hankunlaw.com/upload/newsAndInsights/cdf049ff9245f44faedc78f3313fe10d.pdf 14. 上市公司股东减持股份管理暂行办法, https://www.ssf.gov.cn/portal/rootfiles/2024/06/07/1719442631756800-1719442631810667.pdf 15. 2024减持新规解读 - 立方律师事务所, https://www.lifanglaw.com/cn/cnzqyzbscs/1899.html 16. A股上市公司股东减持股份制度再升级 - 君合, https://www.junhe.com/legal-updates/2448 17. 《上市公司股东减持股份管理暂行办法》 立法说明, http://www.csrc.gov.cn/csrc/c101953/c7483190/7483190/files/%E9%99%84%E4%BB%B62%EF%BC%9A%E3%80%8A%E4%B8%8A%E5%B8%82%E5%85%AC%E5%8F%B8%E8%82%A1%E4%B8%9C%E5%87%8F%E6%8C%81%E8%82%A1%E4%BB%BD%E7%AE%A1%E7%90%86%E6%9A%82%E8%A1%8C%E5%8A%9E%E6%B3%95%E3%80%8B%E7%AB%8B%E6%B3%95%E8%AF%B4%E6%98%8E.pdf 18. 《上市公司创业投资基金股东减持股份的特别规定(2020年修订)》系统操作指南, https://www.amac.org.cn/fwdt/wyb/jgdjhcpbeian/zcglcpba/fwzn/202010/t20201015_19835.html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