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09773C">
      <w:pPr>
        <w:spacing w:after="320"/>
        <w:jc w:val="center"/>
      </w:pPr>
      <w:r>
        <w:rPr>
          <w:rFonts w:ascii="黑体" w:hAnsi="黑体" w:eastAsia="黑体"/>
          <w:b/>
          <w:sz w:val="36"/>
        </w:rPr>
        <w:t>Agent后门攻击七大创新方向整理</w:t>
      </w:r>
    </w:p>
    <w:p w14:paraId="28E88792">
      <w:pPr>
        <w:spacing w:before="360" w:after="120"/>
      </w:pPr>
      <w:r>
        <w:rPr>
          <w:rFonts w:ascii="黑体" w:hAnsi="黑体" w:eastAsia="黑体"/>
          <w:b/>
          <w:sz w:val="28"/>
        </w:rPr>
        <w:t>第一个方向.工具结果的多表示消费</w:t>
      </w:r>
    </w:p>
    <w:p w14:paraId="2728D135">
      <w:pPr>
        <w:spacing w:line="360" w:lineRule="auto"/>
        <w:ind w:firstLine="432"/>
      </w:pPr>
      <w:r>
        <w:rPr>
          <w:rFonts w:ascii="宋体" w:hAnsi="宋体" w:eastAsia="宋体"/>
          <w:b w:val="0"/>
          <w:sz w:val="24"/>
        </w:rPr>
        <w:t>背景与现状：工具攻击已覆盖返回内容注入（InjecAgent、AgentDojo）和注册元数据投毒（MCPTox、MCP-ITP），GhostSplice 已研究工具调用管线中的跨通道隐式信任，ShieldMCP 已提出工具层运行时防御框架。本方向只研究“同一次工具返回被不同组件（审核器、推理器、记忆写入器）解释成不同内容”时，安全检查与持久状态之间的不一致，不重复单通道注入或通用工具过滤。</w:t>
      </w:r>
    </w:p>
    <w:p w14:paraId="3DCD6188">
      <w:pPr>
        <w:spacing w:before="160" w:after="40"/>
        <w:ind w:left="216"/>
      </w:pPr>
      <w:r>
        <w:rPr>
          <w:rFonts w:ascii="黑体" w:hAnsi="黑体" w:eastAsia="黑体"/>
          <w:b/>
          <w:sz w:val="24"/>
        </w:rPr>
        <w:t>1. 双表示结果的持久后门——审核器检查一个视图、记忆组件保存另一个视图时，持久偏移是否绕过本来有效的防护？在正常摘要允许不同于原始结构的前提下，如何定义最小一致性条件？</w:t>
      </w:r>
    </w:p>
    <w:p w14:paraId="002CB56C">
      <w:pPr>
        <w:spacing w:line="360" w:lineRule="auto"/>
        <w:ind w:left="576"/>
      </w:pPr>
      <w:r>
        <w:rPr>
          <w:rFonts w:ascii="宋体" w:hAnsi="宋体" w:eastAsia="宋体"/>
          <w:b w:val="0"/>
          <w:sz w:val="24"/>
        </w:rPr>
        <w:t>1.1 攻击侧：在什么条件下，content（文本视图）与 structuredContent（结构化视图）的语义矛盾能绕过审核、进入长期记忆，并在后续干净会话中定向触发错误动作？</w:t>
      </w:r>
    </w:p>
    <w:p w14:paraId="6BB8B864">
      <w:pPr>
        <w:spacing w:line="360" w:lineRule="auto"/>
        <w:ind w:left="576"/>
      </w:pPr>
      <w:r>
        <w:rPr>
          <w:rFonts w:ascii="宋体" w:hAnsi="宋体" w:eastAsia="宋体"/>
          <w:b w:val="0"/>
          <w:sz w:val="24"/>
        </w:rPr>
        <w:t>1.2 防御侧：怎么在不过度要求两视图字节相等（会误杀合法摘要差异）的前提下，只阻断“决策相关事实”在两视图间的矛盾？</w:t>
      </w:r>
    </w:p>
    <w:p w14:paraId="54E4E993">
      <w:pPr>
        <w:spacing w:before="160" w:after="40"/>
        <w:ind w:left="216"/>
        <w:rPr>
          <w:rFonts w:hint="default" w:eastAsia="黑体"/>
          <w:b w:val="0"/>
          <w:bCs/>
          <w:highlight w:val="red"/>
          <w:lang w:val="en-US" w:eastAsia="zh-CN"/>
        </w:rPr>
      </w:pPr>
      <w:r>
        <w:rPr>
          <w:rFonts w:ascii="黑体" w:hAnsi="黑体" w:eastAsia="黑体"/>
          <w:b/>
          <w:sz w:val="24"/>
        </w:rPr>
        <w:t>2. 消费者策略切换后的休眠触发——一次工具返回在旧消费路径下未造成偏移但被完整归档，合法维护切换记忆抽取器到另一字段后，归档中的条件性经验是否开始影响后续任务？</w:t>
      </w:r>
      <w:r>
        <w:rPr>
          <w:rFonts w:hint="eastAsia" w:ascii="黑体" w:hAnsi="黑体" w:eastAsia="黑体"/>
          <w:b w:val="0"/>
          <w:bCs/>
          <w:sz w:val="24"/>
          <w:highlight w:val="red"/>
          <w:lang w:val="en-US" w:eastAsia="zh-CN"/>
        </w:rPr>
        <w:t>(不知道什么时候系统会升级，也不知道升级后会不会读取你投毒的字段)</w:t>
      </w:r>
    </w:p>
    <w:p w14:paraId="0042ED94">
      <w:pPr>
        <w:spacing w:line="360" w:lineRule="auto"/>
        <w:ind w:left="576"/>
      </w:pPr>
      <w:r>
        <w:rPr>
          <w:rFonts w:ascii="宋体" w:hAnsi="宋体" w:eastAsia="宋体"/>
          <w:b w:val="0"/>
          <w:sz w:val="24"/>
        </w:rPr>
        <w:t>2.1 攻击侧：在什么条件下，此前未被使用的结果视图会因消费策略升级而被激活，形成“休眠后触发”的持久偏移？</w:t>
      </w:r>
    </w:p>
    <w:p w14:paraId="08D9FD83">
      <w:pPr>
        <w:spacing w:line="360" w:lineRule="auto"/>
        <w:ind w:left="576"/>
      </w:pPr>
      <w:r>
        <w:rPr>
          <w:rFonts w:ascii="宋体" w:hAnsi="宋体" w:eastAsia="宋体"/>
          <w:b w:val="0"/>
          <w:sz w:val="24"/>
        </w:rPr>
        <w:t>2.2 防御侧：怎么在消费策略切换时，对归档内容做选择性重检，而不是全量重新审核或直接丢弃历史归档？</w:t>
      </w:r>
    </w:p>
    <w:p w14:paraId="405AE448">
      <w:pPr>
        <w:spacing w:before="360" w:after="120"/>
      </w:pPr>
      <w:r>
        <w:rPr>
          <w:rFonts w:ascii="黑体" w:hAnsi="黑体" w:eastAsia="黑体"/>
          <w:b/>
          <w:sz w:val="28"/>
        </w:rPr>
        <w:t>第二个方向.撤销/修复之后污染又从边界外回来了</w:t>
      </w:r>
    </w:p>
    <w:p w14:paraId="3390A980">
      <w:pPr>
        <w:spacing w:line="360" w:lineRule="auto"/>
        <w:ind w:firstLine="432"/>
      </w:pPr>
      <w:r>
        <w:rPr>
          <w:rFonts w:ascii="宋体" w:hAnsi="宋体" w:eastAsia="宋体"/>
          <w:b w:val="0"/>
          <w:sz w:val="24"/>
        </w:rPr>
        <w:t xml:space="preserve">背景与现状：MemTX </w:t>
      </w:r>
      <w:r>
        <w:rPr>
          <w:rFonts w:hint="eastAsia"/>
          <w:b w:val="0"/>
          <w:sz w:val="24"/>
          <w:lang w:val="en-US" w:eastAsia="zh-CN"/>
        </w:rPr>
        <w:t xml:space="preserve"> </w:t>
      </w:r>
      <w:r>
        <w:rPr>
          <w:rFonts w:ascii="宋体" w:hAnsi="宋体" w:eastAsia="宋体"/>
          <w:b w:val="0"/>
          <w:sz w:val="24"/>
        </w:rPr>
        <w:t>已研究事务式提交并承认跨事务重试等边界；一般的拒绝旧写入与幂等机制不是创新。本方向只研究被撤销内容以新的逻辑写入身份再次进入时，原有拒绝依据为何失效。</w:t>
      </w:r>
    </w:p>
    <w:p w14:paraId="68D8B454">
      <w:pPr>
        <w:spacing w:before="160" w:after="40"/>
        <w:ind w:left="216"/>
      </w:pPr>
      <w:r>
        <w:rPr>
          <w:rFonts w:ascii="黑体" w:hAnsi="黑体" w:eastAsia="黑体"/>
          <w:b/>
          <w:sz w:val="24"/>
        </w:rPr>
        <w:t>1. 跨事务重试再植入——当一条污染记忆被撤销后，基于同一污染源的重试任务重新生成了内容不同、ID 不同的新记录时，原有撤销依据为什么失效？如何在不维护完整来源谱系的前提下，让撤销约束能跨“重新生成步骤”继承？</w:t>
      </w:r>
    </w:p>
    <w:p w14:paraId="5D6709C6">
      <w:pPr>
        <w:spacing w:line="360" w:lineRule="auto"/>
        <w:ind w:left="576"/>
      </w:pPr>
      <w:r>
        <w:rPr>
          <w:rFonts w:ascii="宋体" w:hAnsi="宋体" w:eastAsia="宋体"/>
          <w:b w:val="0"/>
          <w:sz w:val="24"/>
        </w:rPr>
        <w:t>1.1 攻击侧：在什么条件下，重试生成的新记录能稳定绕过现有撤销机制？</w:t>
      </w:r>
    </w:p>
    <w:p w14:paraId="0025E160">
      <w:pPr>
        <w:spacing w:line="360" w:lineRule="auto"/>
        <w:ind w:left="576"/>
      </w:pPr>
      <w:r>
        <w:rPr>
          <w:rFonts w:ascii="宋体" w:hAnsi="宋体" w:eastAsia="宋体"/>
          <w:b w:val="0"/>
          <w:sz w:val="24"/>
        </w:rPr>
        <w:t>1.2 防御侧：怎么低成本地让系统知道“这条新记录其实来自已经被撤销的污染源”？</w:t>
      </w:r>
    </w:p>
    <w:p w14:paraId="551CDD10">
      <w:pPr>
        <w:spacing w:before="160" w:after="40"/>
        <w:ind w:left="216"/>
      </w:pPr>
      <w:r>
        <w:rPr>
          <w:rFonts w:ascii="黑体" w:hAnsi="黑体" w:eastAsia="黑体"/>
          <w:b/>
          <w:sz w:val="24"/>
        </w:rPr>
        <w:t>2. 多agent的污染修复再植入——当一个 Agent 完成本地记忆修复后，它如何判断一条来自协作伙伴的“新消息”其实继承了已经被撤销 / 修复的污染源？在双方不共享完整内部记忆的条件下，如何进行有界的跨边界再接纳检查？</w:t>
      </w:r>
    </w:p>
    <w:p w14:paraId="6F1175C5">
      <w:pPr>
        <w:spacing w:line="360" w:lineRule="auto"/>
        <w:ind w:left="576"/>
      </w:pPr>
      <w:r>
        <w:rPr>
          <w:rFonts w:ascii="宋体" w:hAnsi="宋体" w:eastAsia="宋体"/>
          <w:b w:val="0"/>
          <w:sz w:val="24"/>
        </w:rPr>
        <w:t>2.1 攻击侧：在什么条件下，局部修复后的 Agent 会通过正常协作被重新污染？</w:t>
      </w:r>
    </w:p>
    <w:p w14:paraId="5E614569">
      <w:pPr>
        <w:spacing w:line="360" w:lineRule="auto"/>
        <w:ind w:left="576"/>
      </w:pPr>
      <w:r>
        <w:rPr>
          <w:rFonts w:ascii="宋体" w:hAnsi="宋体" w:eastAsia="宋体"/>
          <w:b w:val="0"/>
          <w:sz w:val="24"/>
        </w:rPr>
        <w:t>2.2 防御侧：怎么用有限的元数据（不是完整记忆共享）识别“新消息里的旧污染”？</w:t>
      </w:r>
    </w:p>
    <w:p w14:paraId="4F38688F">
      <w:pPr>
        <w:spacing w:before="360" w:after="120"/>
      </w:pPr>
      <w:r>
        <w:rPr>
          <w:rFonts w:ascii="黑体" w:hAnsi="黑体" w:eastAsia="黑体"/>
          <w:b/>
          <w:sz w:val="28"/>
        </w:rPr>
        <w:t>第三个方向.证据支持关系的动态变化</w:t>
      </w:r>
    </w:p>
    <w:p w14:paraId="06163669">
      <w:pPr>
        <w:spacing w:line="360" w:lineRule="auto"/>
        <w:ind w:firstLine="432"/>
      </w:pPr>
      <w:r>
        <w:rPr>
          <w:rFonts w:ascii="宋体" w:hAnsi="宋体" w:eastAsia="宋体"/>
          <w:b w:val="0"/>
          <w:sz w:val="24"/>
        </w:rPr>
        <w:t>背景与现状：TMA-NM 已要求可信独立佐证并在行动时检查权威性，CPB 已研究共享记忆中相关证据被误当独立来源，撤销研究已关注失效标记的执行，Selective Revalidation 已研究证据变化后的选择性复核。本方向只研究“一条规则曾因满足佐证条件被接纳，其中一条佐证后来被撤销或更正，它是否仍可凭历史权威影响动作”，不重复静态证据去重或普通依赖重检。</w:t>
      </w:r>
    </w:p>
    <w:p w14:paraId="44552D11">
      <w:pPr>
        <w:spacing w:before="160" w:after="40"/>
        <w:ind w:left="216"/>
      </w:pPr>
      <w:r>
        <w:rPr>
          <w:rFonts w:ascii="黑体" w:hAnsi="黑体" w:eastAsia="黑体"/>
          <w:b/>
          <w:sz w:val="24"/>
        </w:rPr>
        <w:t>1. 佐证撤销后权威降级——已接纳记忆的支持集发生成员变化后，其行动权限是否应动态重算？如何区分真正失去支持的记忆与仍有足够独立证据的正常记忆？</w:t>
      </w:r>
    </w:p>
    <w:p w14:paraId="048C14F7">
      <w:pPr>
        <w:spacing w:line="360" w:lineRule="auto"/>
        <w:ind w:left="576"/>
      </w:pPr>
      <w:r>
        <w:rPr>
          <w:rFonts w:ascii="宋体" w:hAnsi="宋体" w:eastAsia="宋体"/>
          <w:b w:val="0"/>
          <w:sz w:val="24"/>
        </w:rPr>
        <w:t>1.1 攻击侧：在什么条件下，一条低信任种子记忆经多来源佐证提升权限后，部分佐证被撤销，它仍能保留行动资格并在后续任务中触发错误动作？</w:t>
      </w:r>
    </w:p>
    <w:p w14:paraId="08B76673">
      <w:pPr>
        <w:spacing w:line="360" w:lineRule="auto"/>
        <w:ind w:left="576"/>
      </w:pPr>
      <w:r>
        <w:rPr>
          <w:rFonts w:ascii="宋体" w:hAnsi="宋体" w:eastAsia="宋体"/>
          <w:b w:val="0"/>
          <w:sz w:val="24"/>
        </w:rPr>
        <w:t>1.2 防御侧：怎么低成本地在行动前重算证据集合的有效性，而不是每次都做完整支持图遍历或全量降级？</w:t>
      </w:r>
    </w:p>
    <w:p w14:paraId="2C3383F3">
      <w:pPr>
        <w:spacing w:before="160" w:after="40"/>
        <w:ind w:left="216"/>
      </w:pPr>
      <w:r>
        <w:rPr>
          <w:rFonts w:ascii="黑体" w:hAnsi="黑体" w:eastAsia="黑体"/>
          <w:b/>
          <w:sz w:val="24"/>
        </w:rPr>
        <w:t>2. 被误合并来源的拆分修复——两份资料最初被误认作同源（或同一转载被当作独立来源），身份纠正后已接纳结论如何重估？</w:t>
      </w:r>
    </w:p>
    <w:p w14:paraId="79DF4D91">
      <w:pPr>
        <w:spacing w:line="360" w:lineRule="auto"/>
        <w:ind w:left="576"/>
      </w:pPr>
      <w:r>
        <w:rPr>
          <w:rFonts w:ascii="宋体" w:hAnsi="宋体" w:eastAsia="宋体"/>
          <w:b w:val="0"/>
          <w:sz w:val="24"/>
        </w:rPr>
        <w:t>2.1 攻击侧：在什么条件下，攻击者可通过影响来源识别声明，使相关来源被误当作独立佐证，从而提升记忆权限，且纠正后已接纳规则不自动失效？</w:t>
      </w:r>
    </w:p>
    <w:p w14:paraId="216FB06B">
      <w:pPr>
        <w:spacing w:line="360" w:lineRule="auto"/>
        <w:ind w:left="576"/>
      </w:pPr>
      <w:r>
        <w:rPr>
          <w:rFonts w:ascii="宋体" w:hAnsi="宋体" w:eastAsia="宋体"/>
          <w:b w:val="0"/>
          <w:sz w:val="24"/>
        </w:rPr>
        <w:t>2.2 防御侧：怎么在来源身份不确定时做置信区间式接纳，并在身份更正后最小化回溯恢复的代价？</w:t>
      </w:r>
    </w:p>
    <w:p w14:paraId="2A02B7F9">
      <w:pPr>
        <w:spacing w:before="360" w:after="120"/>
      </w:pPr>
      <w:r>
        <w:rPr>
          <w:rFonts w:ascii="黑体" w:hAnsi="黑体" w:eastAsia="黑体"/>
          <w:b/>
          <w:sz w:val="28"/>
        </w:rPr>
        <w:t>第四个方向.经验适用范围的组合与迁移</w:t>
      </w:r>
    </w:p>
    <w:p w14:paraId="3CC38B55">
      <w:pPr>
        <w:spacing w:line="360" w:lineRule="auto"/>
        <w:ind w:firstLine="432"/>
      </w:pPr>
      <w:r>
        <w:rPr>
          <w:rFonts w:ascii="宋体" w:hAnsi="宋体" w:eastAsia="宋体"/>
          <w:b w:val="0"/>
          <w:sz w:val="24"/>
        </w:rPr>
        <w:t>背景与现状：OEP 已证明局部正确但不可迁移的经验可诱导错误泛化，MemMorph 已研究记忆偏置工具选择，MemSecBench 已包含有效期丢失问题，MemoRepair 涵盖接口迁移失效。本方向只研究“任何单条经验单独看均不形成目标偏移，而指定组合或边界迁移后形成稳定条件规则”，不重复单条经验投毒或普通旧经验过期。</w:t>
      </w:r>
    </w:p>
    <w:p w14:paraId="5CDD6CE6">
      <w:pPr>
        <w:spacing w:before="160" w:after="40"/>
        <w:ind w:left="216"/>
      </w:pPr>
      <w:r>
        <w:rPr>
          <w:rFonts w:ascii="黑体" w:hAnsi="黑体" w:eastAsia="黑体"/>
          <w:b/>
          <w:sz w:val="24"/>
        </w:rPr>
        <w:t>1. 多条局部正确经验的组合触发——单条均无害的经验在系统合并摘要后丢失各自适用条件，是否形成非加性的组合性错误规则？</w:t>
      </w:r>
    </w:p>
    <w:p w14:paraId="0247F0E2">
      <w:pPr>
        <w:spacing w:line="360" w:lineRule="auto"/>
        <w:ind w:left="576"/>
      </w:pPr>
      <w:r>
        <w:rPr>
          <w:rFonts w:ascii="宋体" w:hAnsi="宋体" w:eastAsia="宋体"/>
          <w:b w:val="0"/>
          <w:sz w:val="24"/>
        </w:rPr>
        <w:t>1.1 攻击侧：在什么条件下，两条以上各自适用范围不同的正常经验，被合并摘要后丢失条件边界，组合成一条攻击者期望的错误规则，并在后续任务中稳定触发？</w:t>
      </w:r>
    </w:p>
    <w:p w14:paraId="0B8D156A">
      <w:pPr>
        <w:spacing w:line="360" w:lineRule="auto"/>
        <w:ind w:left="576"/>
      </w:pPr>
      <w:r>
        <w:rPr>
          <w:rFonts w:ascii="宋体" w:hAnsi="宋体" w:eastAsia="宋体"/>
          <w:b w:val="0"/>
          <w:sz w:val="24"/>
        </w:rPr>
        <w:t>1.2 防御侧：怎么在经验合并时保留各自的适用范围标签，并检测组合后的规则是否超出了任何单条经验的合法适用域？</w:t>
      </w:r>
    </w:p>
    <w:p w14:paraId="3BBE040F">
      <w:pPr>
        <w:spacing w:before="160" w:after="40"/>
        <w:ind w:left="216"/>
      </w:pPr>
      <w:r>
        <w:rPr>
          <w:rFonts w:ascii="黑体" w:hAnsi="黑体" w:eastAsia="黑体"/>
          <w:b/>
          <w:sz w:val="24"/>
        </w:rPr>
        <w:t>2. 任务边界迁移后的错误泛化——经验内容本身没有错，但适用任务的权限或对象范围发生变化后，系统是否继续把它用于同名任务？</w:t>
      </w:r>
    </w:p>
    <w:p w14:paraId="3432AAC6">
      <w:pPr>
        <w:spacing w:line="360" w:lineRule="auto"/>
        <w:ind w:left="576"/>
      </w:pPr>
      <w:r>
        <w:rPr>
          <w:rFonts w:ascii="宋体" w:hAnsi="宋体" w:eastAsia="宋体"/>
          <w:b w:val="0"/>
          <w:sz w:val="24"/>
        </w:rPr>
        <w:t>2.1 攻击侧：在什么条件下，攻击者在测试/低权限阶段植入的正常经验，在任务边界切换为高权限/生产环境后，仍被系统沿用并导致越权动作？</w:t>
      </w:r>
    </w:p>
    <w:p w14:paraId="5E3B7FEA">
      <w:pPr>
        <w:spacing w:line="360" w:lineRule="auto"/>
        <w:ind w:left="576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>2.2 防御侧：怎么给经验打上“适用任务范围”标签，并在任务契约变更时自动校验经验适用性，而不是全量失效旧经验？</w:t>
      </w:r>
    </w:p>
    <w:p w14:paraId="4C82C634">
      <w:pPr>
        <w:spacing w:line="360" w:lineRule="auto"/>
        <w:ind w:left="576"/>
        <w:rPr>
          <w:rFonts w:ascii="宋体" w:hAnsi="宋体" w:eastAsia="宋体"/>
          <w:b/>
          <w:bCs/>
          <w:sz w:val="24"/>
        </w:rPr>
      </w:pPr>
      <w:r>
        <w:rPr>
          <w:rFonts w:hint="eastAsia" w:cs="宋体"/>
          <w:b/>
          <w:bCs/>
          <w:sz w:val="24"/>
          <w:szCs w:val="24"/>
          <w:lang w:val="en-US" w:eastAsia="zh-CN"/>
        </w:rPr>
        <w:t>1.</w:t>
      </w:r>
      <w:r>
        <w:rPr>
          <w:rFonts w:ascii="宋体" w:hAnsi="宋体" w:eastAsia="宋体" w:cs="宋体"/>
          <w:b/>
          <w:bCs/>
          <w:sz w:val="24"/>
          <w:szCs w:val="24"/>
        </w:rPr>
        <w:t>两条各自正确的经验被系统合并时丢了前提条件，组合出了一条谁都没说过的错误规则；</w:t>
      </w:r>
      <w:r>
        <w:rPr>
          <w:rFonts w:hint="eastAsia" w:cs="宋体"/>
          <w:b/>
          <w:bCs/>
          <w:sz w:val="24"/>
          <w:szCs w:val="24"/>
          <w:lang w:val="en-US" w:eastAsia="zh-CN"/>
        </w:rPr>
        <w:t>2.</w:t>
      </w:r>
      <w:r>
        <w:rPr>
          <w:rFonts w:ascii="宋体" w:hAnsi="宋体" w:eastAsia="宋体" w:cs="宋体"/>
          <w:b/>
          <w:bCs/>
          <w:sz w:val="24"/>
          <w:szCs w:val="24"/>
        </w:rPr>
        <w:t>一条在测试环境合理的经验，被系统照搬到生产环境用，出了大事。两条的共同点是 —— 经验本身都没被投毒，是系统自己的处理机制把好经验变成了坏规则。</w:t>
      </w:r>
    </w:p>
    <w:p w14:paraId="6C1858AA">
      <w:pPr>
        <w:spacing w:before="360" w:after="120"/>
      </w:pPr>
      <w:r>
        <w:rPr>
          <w:rFonts w:ascii="黑体" w:hAnsi="黑体" w:eastAsia="黑体"/>
          <w:b/>
          <w:sz w:val="28"/>
        </w:rPr>
        <w:t>第五个方向.不完整来源下的修复</w:t>
      </w:r>
    </w:p>
    <w:p w14:paraId="5AB9601C">
      <w:pPr>
        <w:spacing w:line="360" w:lineRule="auto"/>
        <w:ind w:firstLine="432"/>
      </w:pPr>
      <w:r>
        <w:rPr>
          <w:rFonts w:ascii="宋体" w:hAnsi="宋体" w:eastAsia="宋体"/>
          <w:b w:val="0"/>
          <w:sz w:val="24"/>
        </w:rPr>
        <w:t>背景与现状：MemoRepair 已研究级联修复，MemTX 已提出事务式提交与派生修复，TMA-NM 已实现来源绑定与权威检查。本方向限定为“来源信息不完整或结构化经验内部混合来源”的修复场景，不重复完整谱系下的级联删除或通用来源追踪。</w:t>
      </w:r>
    </w:p>
    <w:p w14:paraId="35A2FCFF">
      <w:pPr>
        <w:spacing w:before="160" w:after="40"/>
        <w:ind w:left="216"/>
      </w:pPr>
      <w:r>
        <w:rPr>
          <w:rFonts w:ascii="黑体" w:hAnsi="黑体" w:eastAsia="黑体"/>
          <w:b/>
          <w:sz w:val="24"/>
        </w:rPr>
        <w:t>1. 混合来源结构化经验的字段级选择性修复——一条结构化经验内既含可靠字段又含受污染的派生参数，整条删除损失可用信息、保留整条留下触发条件时，如何只修复受影响部分？</w:t>
      </w:r>
    </w:p>
    <w:p w14:paraId="00187333">
      <w:pPr>
        <w:spacing w:line="360" w:lineRule="auto"/>
        <w:ind w:left="576"/>
      </w:pPr>
      <w:r>
        <w:rPr>
          <w:rFonts w:ascii="宋体" w:hAnsi="宋体" w:eastAsia="宋体"/>
          <w:b w:val="0"/>
          <w:sz w:val="24"/>
        </w:rPr>
        <w:t>1.1 问题侧（攻击场景）：在什么条件下，攻击者只污染结构化经验中的一个派生字段（如路由、账户、权限参数），而其他字段来自可信来源，使得记录级修复要么误删正常信息、要么因字段耦合而残留触发条件？</w:t>
      </w:r>
    </w:p>
    <w:p w14:paraId="6A9AA799">
      <w:pPr>
        <w:spacing w:line="360" w:lineRule="auto"/>
        <w:ind w:left="576"/>
      </w:pPr>
      <w:r>
        <w:rPr>
          <w:rFonts w:ascii="宋体" w:hAnsi="宋体" w:eastAsia="宋体"/>
          <w:b w:val="0"/>
          <w:sz w:val="24"/>
        </w:rPr>
        <w:t>1.2 防御侧：怎么为固定模式的结构化经验建立字段依赖图，实现可验证的字段级闭包修复——只重建受污染字段，保留未受影响的可靠字段？</w:t>
      </w:r>
    </w:p>
    <w:p w14:paraId="0A282EB0">
      <w:pPr>
        <w:spacing w:before="160" w:after="40"/>
        <w:ind w:left="216"/>
      </w:pPr>
      <w:r>
        <w:rPr>
          <w:rFonts w:ascii="黑体" w:hAnsi="黑体" w:eastAsia="黑体"/>
          <w:b/>
          <w:sz w:val="24"/>
        </w:rPr>
        <w:t>2. 父来源未声明时的保守修复与恢复——摘要只保留结论而不保留完整引用，污染源被发现后无法确定哪些摘要依赖它时，如何在不全清库的条件下做有界恢复？</w:t>
      </w:r>
    </w:p>
    <w:p w14:paraId="4B782027">
      <w:pPr>
        <w:spacing w:line="360" w:lineRule="auto"/>
        <w:ind w:left="576"/>
      </w:pPr>
      <w:r>
        <w:rPr>
          <w:rFonts w:ascii="宋体" w:hAnsi="宋体" w:eastAsia="宋体"/>
          <w:b w:val="0"/>
          <w:sz w:val="24"/>
        </w:rPr>
        <w:t>2.1 问题侧（攻击场景）：在什么条件下，攻击者利用“摘要不保留完整来源”的特性，使污染被多个摘要吸收后，即使原始来源被撤销，系统也无法定位所有受影响摘要，只能全清或放任残留？</w:t>
      </w:r>
    </w:p>
    <w:p w14:paraId="1BCFBEBF">
      <w:pPr>
        <w:spacing w:line="360" w:lineRule="auto"/>
        <w:ind w:left="576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>2.2 防御侧：怎么在有限预算内（不训练来源追踪器）标记疑似受影响范围、按动作风险排序重检，并给出“残余风险 vs 正常内容损失”的联合权衡曲线？</w:t>
      </w:r>
    </w:p>
    <w:p w14:paraId="044472DE">
      <w:pPr>
        <w:spacing w:line="360" w:lineRule="auto"/>
        <w:ind w:left="576"/>
      </w:pPr>
      <w:r>
        <w:rPr>
          <w:rFonts w:hint="eastAsia" w:cs="宋体"/>
          <w:b/>
          <w:bCs/>
          <w:sz w:val="24"/>
          <w:szCs w:val="24"/>
          <w:lang w:val="en-US" w:eastAsia="zh-CN"/>
        </w:rPr>
        <w:t>1.</w:t>
      </w:r>
      <w:r>
        <w:rPr>
          <w:rFonts w:ascii="宋体" w:hAnsi="宋体" w:eastAsia="宋体" w:cs="宋体"/>
          <w:b/>
          <w:bCs/>
          <w:sz w:val="24"/>
          <w:szCs w:val="24"/>
        </w:rPr>
        <w:t>一条客户记录里只有 "退款账户" 字段被污染了，其他字段都是好的，不能整条删，要只改那个字段，但字段之间有依赖关系，得沿着依赖图把受牵连的都修了；</w:t>
      </w:r>
      <w:r>
        <w:rPr>
          <w:rFonts w:hint="eastAsia" w:cs="宋体"/>
          <w:b/>
          <w:bCs/>
          <w:sz w:val="24"/>
          <w:szCs w:val="24"/>
          <w:lang w:val="en-US" w:eastAsia="zh-CN"/>
        </w:rPr>
        <w:t>2.</w:t>
      </w:r>
      <w:r>
        <w:rPr>
          <w:rFonts w:ascii="宋体" w:hAnsi="宋体" w:eastAsia="宋体" w:cs="宋体"/>
          <w:b/>
          <w:bCs/>
          <w:sz w:val="24"/>
          <w:szCs w:val="24"/>
        </w:rPr>
        <w:t>发现一个文档是假的，但记忆里的摘要都没存 "基于哪个文档"，不知道哪些摘要该修，不能全删也不能不管，得圈出疑似范围、按风险排队修，同时告诉用户还剩多少残余风险。两个的共同点是 —— 修复时来源信息不够，得在 "修不干净" 和 "删太多" 之间找平衡。</w:t>
      </w:r>
    </w:p>
    <w:p w14:paraId="34E35E15">
      <w:pPr>
        <w:spacing w:line="360" w:lineRule="auto"/>
        <w:ind w:left="576"/>
        <w:rPr>
          <w:rFonts w:ascii="宋体" w:hAnsi="宋体" w:eastAsia="宋体"/>
          <w:b w:val="0"/>
          <w:sz w:val="24"/>
        </w:rPr>
      </w:pPr>
    </w:p>
    <w:p w14:paraId="73190CC0">
      <w:pPr>
        <w:spacing w:before="360" w:after="120"/>
      </w:pPr>
      <w:r>
        <w:rPr>
          <w:rFonts w:ascii="黑体" w:hAnsi="黑体" w:eastAsia="黑体"/>
          <w:b/>
          <w:sz w:val="28"/>
        </w:rPr>
        <w:t>第六个方向.非原子工具事件的经验污染</w:t>
      </w:r>
    </w:p>
    <w:p w14:paraId="5E163B15">
      <w:pPr>
        <w:spacing w:line="360" w:lineRule="auto"/>
        <w:ind w:firstLine="432"/>
      </w:pPr>
      <w:r>
        <w:rPr>
          <w:rFonts w:ascii="宋体" w:hAnsi="宋体" w:eastAsia="宋体"/>
          <w:b w:val="0"/>
          <w:sz w:val="24"/>
        </w:rPr>
        <w:t>背景与现状：可靠性研究（Verified Tool Calls）已区分超时、部分执行和重复动作，并提供后置条件验证、重试前核实和幂等键机制。本方向研究更后的步骤：执行层面的异常已被恢复处理，但反思与经验写入环节是否仍把错误解释保存成未来策略，不重复工具返回注入或单次重试错误处理。</w:t>
      </w:r>
    </w:p>
    <w:p w14:paraId="67D5308B">
      <w:pPr>
        <w:spacing w:before="160" w:after="40"/>
        <w:ind w:left="216"/>
      </w:pPr>
      <w:r>
        <w:rPr>
          <w:rFonts w:ascii="黑体" w:hAnsi="黑体" w:eastAsia="黑体"/>
          <w:b/>
          <w:sz w:val="24"/>
        </w:rPr>
        <w:t>1. 执行状态误读导致错误成功经验——工具部分完成、返回可重试错误或状态歧义，系统经偶然恢复后，是否会把这次恢复总结成“遇到此类状态就走特定流程”的成功经验并持久化？</w:t>
      </w:r>
    </w:p>
    <w:p w14:paraId="17198778">
      <w:pPr>
        <w:spacing w:line="360" w:lineRule="auto"/>
        <w:ind w:left="576"/>
      </w:pPr>
      <w:r>
        <w:rPr>
          <w:rFonts w:ascii="宋体" w:hAnsi="宋体" w:eastAsia="宋体"/>
          <w:b w:val="0"/>
          <w:sz w:val="24"/>
        </w:rPr>
        <w:t>1.1 攻击侧：在什么条件下，攻击者控制一个低信任工具返回的“可重试错误说明”，能诱导系统将一次偶然恢复总结为可复用的错误处理规则，并在后续正常任务中稳定选择错误流程？</w:t>
      </w:r>
    </w:p>
    <w:p w14:paraId="02EB4260">
      <w:pPr>
        <w:spacing w:line="360" w:lineRule="auto"/>
        <w:ind w:left="576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>1.2 防御侧：怎么将“操作正确性”与“经验正确性”分离——基于可核验的执行结果（而非工具返回的文本说明）来决定是否将一次处理写入经验库？</w:t>
      </w:r>
    </w:p>
    <w:p w14:paraId="682CDCF0">
      <w:pPr>
        <w:spacing w:line="360" w:lineRule="auto"/>
        <w:ind w:left="576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工具调用出了异常（超时、部分执行），通过重试或恢复最终搞定了，但 Agent 在复盘时把 "这次瞎猫碰上死耗子的恢复过程" 当成了通用经验存下来，下次还这么干就出事了。攻击者可以主动设计这种异常场景，诱导 Agent 总结出 "跳过校验"" 直接重试 " 之类的错误策略，一次植入长期生效。Verified Tool Calls 只管执行对不对，管不了复盘总结得对不对 —— 这就是本方向要补的漏洞。</w:t>
      </w:r>
    </w:p>
    <w:p w14:paraId="25FFD818">
      <w:pPr>
        <w:spacing w:before="360" w:after="120"/>
      </w:pPr>
      <w:r>
        <w:rPr>
          <w:rFonts w:ascii="黑体" w:hAnsi="黑体" w:eastAsia="黑体"/>
          <w:b/>
          <w:sz w:val="28"/>
        </w:rPr>
        <w:t>第七个方向.持久后门的因果判定</w:t>
      </w:r>
      <w:bookmarkStart w:id="0" w:name="_GoBack"/>
      <w:bookmarkEnd w:id="0"/>
    </w:p>
    <w:p w14:paraId="1A766A5C">
      <w:pPr>
        <w:spacing w:line="360" w:lineRule="auto"/>
        <w:ind w:firstLine="432"/>
      </w:pPr>
      <w:r>
        <w:rPr>
          <w:rFonts w:ascii="宋体" w:hAnsi="宋体" w:eastAsia="宋体"/>
          <w:b w:val="0"/>
          <w:sz w:val="24"/>
        </w:rPr>
        <w:t>背景与现状：MemSecBench 已贯通植入、保留、执行与遗忘的持久性评测，BackdoorAgent 已提供工作流级后门风险统一框架。本方向不新增几个指标，而是检验现有攻击结论是否因多个状态同时残留（上下文、记忆、计划、工具缓存）而被混淆，应先成为所有课题的实验质量模块，只有发现稳定误判时才独立成篇。</w:t>
      </w:r>
    </w:p>
    <w:p w14:paraId="56869D30">
      <w:pPr>
        <w:spacing w:before="160" w:after="40"/>
        <w:ind w:left="216"/>
      </w:pPr>
      <w:r>
        <w:rPr>
          <w:rFonts w:ascii="黑体" w:hAnsi="黑体" w:eastAsia="黑体"/>
          <w:b/>
          <w:sz w:val="24"/>
        </w:rPr>
        <w:t>1. 记忆效应与上下文残留的配对干预评测——表面上删除恶意文档后攻击仍成功，如何通过受控状态干预区分“向量记忆是中介”与“原文仍在会话摘要/计划缓存中”等其他残留通道？</w:t>
      </w:r>
    </w:p>
    <w:p w14:paraId="31AD6770">
      <w:pPr>
        <w:spacing w:line="360" w:lineRule="auto"/>
        <w:ind w:left="576"/>
      </w:pPr>
      <w:r>
        <w:rPr>
          <w:rFonts w:ascii="宋体" w:hAnsi="宋体" w:eastAsia="宋体"/>
          <w:b w:val="0"/>
          <w:sz w:val="24"/>
        </w:rPr>
        <w:t>1.1 问题侧（评测挑战）：在什么条件下，现有持久后门论文报告的“跨会话 ASR”其实是由当前上下文残留、计划快照或工具缓存导致的，而非真正的长期记忆中介？</w:t>
      </w:r>
    </w:p>
    <w:p w14:paraId="7F2CF0D9">
      <w:pPr>
        <w:spacing w:line="360" w:lineRule="auto"/>
        <w:ind w:left="576"/>
      </w:pPr>
      <w:r>
        <w:rPr>
          <w:rFonts w:ascii="宋体" w:hAnsi="宋体" w:eastAsia="宋体"/>
          <w:b w:val="0"/>
          <w:sz w:val="24"/>
        </w:rPr>
        <w:t>1.2 方法侧（防御/评测）：怎么设计可复用的配对状态干预协议（分别清除短期上下文、持久记忆、计划与工具缓存，并做 sham 操作对照），对持久后门效应做因果归因，而不是仅靠最终 ASR 推断？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CA77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qFormat/>
    <w:uiPriority w:val="99"/>
  </w:style>
  <w:style w:type="character" w:customStyle="1" w:styleId="146">
    <w:name w:val="Body Text 2 Char"/>
    <w:basedOn w:val="133"/>
    <w:link w:val="28"/>
    <w:qFormat/>
    <w:uiPriority w:val="99"/>
  </w:style>
  <w:style w:type="character" w:customStyle="1" w:styleId="147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3339</Words>
  <Characters>3604</Characters>
  <Lines>0</Lines>
  <Paragraphs>0</Paragraphs>
  <TotalTime>338</TotalTime>
  <ScaleCrop>false</ScaleCrop>
  <LinksUpToDate>false</LinksUpToDate>
  <CharactersWithSpaces>3673</CharactersWithSpaces>
  <Application>WPS Office_12.1.0.28599_F1E327BC-269C-435d-A152-05C5408002CA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x</cp:lastModifiedBy>
  <dcterms:modified xsi:type="dcterms:W3CDTF">2026-09-30T14:42:37Z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eyJoZGlkIjoiMDc4NDFmNWVkMWMxNzM0YjViNWEzNWQ2YjI0M2ZhOGUiLCJ1c2VySWQiOiIxMTM3MDg0NDIwIn0=</vt:lpwstr>
  </property>
  <property fmtid="{D5CDD505-2E9C-101B-9397-08002B2CF9AE}" pid="3" name="KSOProductBuildVer">
    <vt:lpwstr>2052-12.1.0.28599</vt:lpwstr>
  </property>
  <property fmtid="{D5CDD505-2E9C-101B-9397-08002B2CF9AE}" pid="4" name="ICV">
    <vt:lpwstr>371F966B0DE94742A04D0C012E2E94D6_12</vt:lpwstr>
  </property>
</Properties>
</file>