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BF243">
      <w:pPr>
        <w:pStyle w:val="4"/>
      </w:pPr>
      <w:r>
        <w:t>Agent 后门攻击七大方向、十二子方向：文献脉络与攻防问题整合稿</w:t>
      </w:r>
    </w:p>
    <w:p w14:paraId="575AA78D">
      <w:r>
        <w:t>依据两份方向整理文档及方向二补充说明整合</w:t>
      </w:r>
    </w:p>
    <w:p w14:paraId="77AF0DA9">
      <w:r>
        <w:t>整理日期：2026 年 10 月 7 日</w:t>
      </w:r>
    </w:p>
    <w:p w14:paraId="6A628FA6">
      <w:pPr>
        <w:pStyle w:val="2"/>
      </w:pPr>
      <w:r>
        <w:br w:type="page"/>
      </w:r>
      <w:r>
        <w:t>一、材料说明与阅读方式</w:t>
      </w:r>
    </w:p>
    <w:p w14:paraId="08DA0741">
      <w:r>
        <w:t>本稿将《Agent后门攻击_七大方向核心必读论文_按时间排序》与《Agent后门攻击_七类候选研究方向整理_提问式格式_修订版_2026-09-30》中的全部七个方向、十二个子方向，统一整理为“已有论文做了什么—具体机制—攻击侧—防御侧—实验需要证明什么”。方向二采用本次补充的详细表述作为展开范式，其余方向按相同深度说明。原文档中的第一方向截图也已纳入，但其中关于流程必然发生、攻击者完全可控的说法改为有条件的研究假设。</w:t>
      </w:r>
    </w:p>
    <w:p w14:paraId="31FBD68B">
      <w:r>
        <w:t>文献背景沿用已有调研及本地保存的论文，并核对相关原文；这次工作是材料整合与论证校准，不代表已经重新完成截至 2026 年 10 月 7 日的全面查新。文献编号沿用原报告，以便与必读清单及本地 PDF 对照。以下“待研究问题”是候选问题，不能据此断言全球无人研究。</w:t>
      </w:r>
    </w:p>
    <w:p w14:paraId="4870B1C3">
      <w:r>
        <w:t>所有拟开展研究均限定为推理时攻击与防御，不训练或微调大模型。“具体机制”中的情形是拟验证场景，尚未得到实验结果。这里的后门应具备：攻击者植入、影响被状态保留、后续指定条件下触发、产生攻击目标。一次提示影响、普通数据错误或没有攻击者定向操纵的泛化失败，不能直接算作后门。</w:t>
      </w:r>
    </w:p>
    <w:p w14:paraId="609DC1D0">
      <w:r>
        <w:t>十二个子方向的编号保持连续。S2 优先作为 S1 的扩展或消融，S12 优先作为所有课题共用的评测模块；其余方向也需经过最近邻比较和预实验，再决定是否独立成篇。</w:t>
      </w:r>
    </w:p>
    <w:tbl>
      <w:tblPr>
        <w:tblStyle w:val="5"/>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90" w:type="dxa"/>
          <w:left w:w="90" w:type="dxa"/>
          <w:bottom w:w="90" w:type="dxa"/>
          <w:right w:w="90" w:type="dxa"/>
        </w:tblCellMar>
      </w:tblPr>
      <w:tblGrid>
        <w:gridCol w:w="3000"/>
        <w:gridCol w:w="3000"/>
        <w:gridCol w:w="3000"/>
      </w:tblGrid>
      <w:tr w14:paraId="6BBE394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blHeader/>
        </w:trPr>
        <w:tc>
          <w:tcPr>
            <w:tcW w:w="3000" w:type="dxa"/>
            <w:shd w:val="clear" w:color="auto" w:fill="DCE6F1"/>
          </w:tcPr>
          <w:p w14:paraId="31A8C32F">
            <w:pPr>
              <w:pStyle w:val="7"/>
            </w:pPr>
            <w:r>
              <w:rPr>
                <w:b/>
              </w:rPr>
              <w:t>大方向</w:t>
            </w:r>
          </w:p>
        </w:tc>
        <w:tc>
          <w:tcPr>
            <w:tcW w:w="3000" w:type="dxa"/>
            <w:shd w:val="clear" w:color="auto" w:fill="DCE6F1"/>
          </w:tcPr>
          <w:p w14:paraId="1F2BB25E">
            <w:pPr>
              <w:pStyle w:val="7"/>
            </w:pPr>
            <w:r>
              <w:rPr>
                <w:b/>
              </w:rPr>
              <w:t>子方向</w:t>
            </w:r>
          </w:p>
        </w:tc>
        <w:tc>
          <w:tcPr>
            <w:tcW w:w="3000" w:type="dxa"/>
            <w:shd w:val="clear" w:color="auto" w:fill="DCE6F1"/>
          </w:tcPr>
          <w:p w14:paraId="026DEB91">
            <w:pPr>
              <w:pStyle w:val="7"/>
            </w:pPr>
            <w:r>
              <w:rPr>
                <w:b/>
              </w:rPr>
              <w:t>核心研究对象</w:t>
            </w:r>
          </w:p>
        </w:tc>
      </w:tr>
      <w:tr w14:paraId="4DDA2D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162D810A">
            <w:pPr>
              <w:pStyle w:val="7"/>
            </w:pPr>
            <w:r>
              <w:t>方向一：工具结果的多表示消费</w:t>
            </w:r>
          </w:p>
        </w:tc>
        <w:tc>
          <w:tcPr>
            <w:tcW w:w="3000" w:type="dxa"/>
          </w:tcPr>
          <w:p w14:paraId="1DEB013A">
            <w:pPr>
              <w:pStyle w:val="7"/>
            </w:pPr>
            <w:r>
              <w:t>S1 双表示消费错配；S2 消费策略切换</w:t>
            </w:r>
          </w:p>
        </w:tc>
        <w:tc>
          <w:tcPr>
            <w:tcW w:w="3000" w:type="dxa"/>
          </w:tcPr>
          <w:p w14:paraId="4FD0BAA8">
            <w:pPr>
              <w:pStyle w:val="7"/>
            </w:pPr>
            <w:r>
              <w:t>同一工具结果在不同组件、不同阶段如何被读取</w:t>
            </w:r>
          </w:p>
        </w:tc>
      </w:tr>
      <w:tr w14:paraId="201003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6A1B84CD">
            <w:pPr>
              <w:pStyle w:val="7"/>
            </w:pPr>
            <w:r>
              <w:t>方向二：撤销或修复后的再进入</w:t>
            </w:r>
          </w:p>
        </w:tc>
        <w:tc>
          <w:tcPr>
            <w:tcW w:w="3000" w:type="dxa"/>
          </w:tcPr>
          <w:p w14:paraId="4FD0B206">
            <w:pPr>
              <w:pStyle w:val="7"/>
            </w:pPr>
            <w:r>
              <w:t>S3 跨事务重试；S4 跨 Agent 再导入</w:t>
            </w:r>
          </w:p>
        </w:tc>
        <w:tc>
          <w:tcPr>
            <w:tcW w:w="3000" w:type="dxa"/>
          </w:tcPr>
          <w:p w14:paraId="36C48222">
            <w:pPr>
              <w:pStyle w:val="7"/>
            </w:pPr>
            <w:r>
              <w:t>已失效污染如何重新获得被接纳的机会</w:t>
            </w:r>
          </w:p>
        </w:tc>
      </w:tr>
      <w:tr w14:paraId="2524E82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34AC05CC">
            <w:pPr>
              <w:pStyle w:val="7"/>
            </w:pPr>
            <w:r>
              <w:t>方向三：证据支持关系动态变化</w:t>
            </w:r>
          </w:p>
        </w:tc>
        <w:tc>
          <w:tcPr>
            <w:tcW w:w="3000" w:type="dxa"/>
          </w:tcPr>
          <w:p w14:paraId="58514553">
            <w:pPr>
              <w:pStyle w:val="7"/>
            </w:pPr>
            <w:r>
              <w:t>S5 佐证撤销；S6 来源身份更正</w:t>
            </w:r>
          </w:p>
        </w:tc>
        <w:tc>
          <w:tcPr>
            <w:tcW w:w="3000" w:type="dxa"/>
          </w:tcPr>
          <w:p w14:paraId="3ABEC8CB">
            <w:pPr>
              <w:pStyle w:val="7"/>
            </w:pPr>
            <w:r>
              <w:t>已接纳规则的证据资格如何更新</w:t>
            </w:r>
          </w:p>
        </w:tc>
      </w:tr>
      <w:tr w14:paraId="692795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3C82DB41">
            <w:pPr>
              <w:pStyle w:val="7"/>
            </w:pPr>
            <w:r>
              <w:t>方向四：经验适用范围的组合与迁移</w:t>
            </w:r>
          </w:p>
        </w:tc>
        <w:tc>
          <w:tcPr>
            <w:tcW w:w="3000" w:type="dxa"/>
          </w:tcPr>
          <w:p w14:paraId="4237B2D5">
            <w:pPr>
              <w:pStyle w:val="7"/>
            </w:pPr>
            <w:r>
              <w:t>S7 多经验组合；S8 任务边界变化</w:t>
            </w:r>
          </w:p>
        </w:tc>
        <w:tc>
          <w:tcPr>
            <w:tcW w:w="3000" w:type="dxa"/>
          </w:tcPr>
          <w:p w14:paraId="7F79DE97">
            <w:pPr>
              <w:pStyle w:val="7"/>
            </w:pPr>
            <w:r>
              <w:t>局部正确经验如何形成越界规则</w:t>
            </w:r>
          </w:p>
        </w:tc>
      </w:tr>
      <w:tr w14:paraId="59B1A0F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796A3BEE">
            <w:pPr>
              <w:pStyle w:val="7"/>
            </w:pPr>
            <w:r>
              <w:t>方向五：选择性修复</w:t>
            </w:r>
          </w:p>
        </w:tc>
        <w:tc>
          <w:tcPr>
            <w:tcW w:w="3000" w:type="dxa"/>
          </w:tcPr>
          <w:p w14:paraId="60EEAC16">
            <w:pPr>
              <w:pStyle w:val="7"/>
            </w:pPr>
            <w:r>
              <w:t>S9 混合来源字段修复；S10 来源缺失修复</w:t>
            </w:r>
          </w:p>
        </w:tc>
        <w:tc>
          <w:tcPr>
            <w:tcW w:w="3000" w:type="dxa"/>
          </w:tcPr>
          <w:p w14:paraId="117B17AB">
            <w:pPr>
              <w:pStyle w:val="7"/>
            </w:pPr>
            <w:r>
              <w:t>怎样减少漏修与正常信息损失</w:t>
            </w:r>
          </w:p>
        </w:tc>
      </w:tr>
      <w:tr w14:paraId="0DBA1B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2D55676D">
            <w:pPr>
              <w:pStyle w:val="7"/>
            </w:pPr>
            <w:r>
              <w:t>方向六：非原子工具事件的经验污染</w:t>
            </w:r>
          </w:p>
        </w:tc>
        <w:tc>
          <w:tcPr>
            <w:tcW w:w="3000" w:type="dxa"/>
          </w:tcPr>
          <w:p w14:paraId="369FDCB5">
            <w:pPr>
              <w:pStyle w:val="7"/>
            </w:pPr>
            <w:r>
              <w:t>S11 执行状态误读</w:t>
            </w:r>
          </w:p>
        </w:tc>
        <w:tc>
          <w:tcPr>
            <w:tcW w:w="3000" w:type="dxa"/>
          </w:tcPr>
          <w:p w14:paraId="491989DE">
            <w:pPr>
              <w:pStyle w:val="7"/>
            </w:pPr>
            <w:r>
              <w:t>怎样避免把异常恢复写成错误通用经验</w:t>
            </w:r>
          </w:p>
        </w:tc>
      </w:tr>
      <w:tr w14:paraId="4A17B6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4D692471">
            <w:pPr>
              <w:pStyle w:val="7"/>
            </w:pPr>
            <w:r>
              <w:t>方向七：持久后门的因果判定</w:t>
            </w:r>
          </w:p>
        </w:tc>
        <w:tc>
          <w:tcPr>
            <w:tcW w:w="3000" w:type="dxa"/>
          </w:tcPr>
          <w:p w14:paraId="69F09DFF">
            <w:pPr>
              <w:pStyle w:val="7"/>
            </w:pPr>
            <w:r>
              <w:t>S12 配对状态干预</w:t>
            </w:r>
          </w:p>
        </w:tc>
        <w:tc>
          <w:tcPr>
            <w:tcW w:w="3000" w:type="dxa"/>
          </w:tcPr>
          <w:p w14:paraId="1B615DFD">
            <w:pPr>
              <w:pStyle w:val="7"/>
            </w:pPr>
            <w:r>
              <w:t>攻击效应究竟由哪类保留状态介导</w:t>
            </w:r>
          </w:p>
        </w:tc>
      </w:tr>
    </w:tbl>
    <w:p w14:paraId="69924D91">
      <w:pPr>
        <w:pStyle w:val="2"/>
      </w:pPr>
      <w:r>
        <w:t>二、方向一：工具结果的多表示消费</w:t>
      </w:r>
    </w:p>
    <w:p w14:paraId="002B8CEE">
      <w:pPr>
        <w:pStyle w:val="3"/>
      </w:pPr>
      <w:r>
        <w:t>2.1 已有论文做了什么</w:t>
      </w:r>
    </w:p>
    <w:p w14:paraId="28F6343E">
      <w:r>
        <w:t>（1）InjecAgent 将工具返回中的间接提示注入做成评测任务，研究 Agent 是否把外部工具内容当作指令。它为本方向提供返回值攻击基线，但其评测方式不能直接替代“植入后跨会话触发”的持久性验证。[32]</w:t>
      </w:r>
    </w:p>
    <w:p w14:paraId="69B4FD8C">
      <w:r>
        <w:t>（2）AgentDojo 提供动态任务环境，使攻击与防御可以在实际工具交互流程中评测。与仅检查一次返回后的响应相比，它更适合观察攻击是否影响任务执行及后续工具调用。[33]</w:t>
      </w:r>
    </w:p>
    <w:p w14:paraId="5412FD73">
      <w:r>
        <w:t>（3）MCPTox 重点研究 MCP 工具注册元数据中的投毒，MCP-ITP 进一步研究隐式工具投毒：恶意工具元数据可能影响对其他合法工具的使用。因此，“工具描述注入”以及“恶意工具没有被调用也能影响合法工具”已经属于相关工作的覆盖范围，不能直接作为本方向的新贡献。[34][35]</w:t>
      </w:r>
    </w:p>
    <w:p w14:paraId="31005913">
      <w:r>
        <w:t>（4）与 GhostSplice 公开披露对应的论文研究工具调用管线中多个协议通道的隐式信任；ShieldMCP 研究工具层威胁分类与运行时防御。GhostSplice 是相关公开攻击披露名称，并非论文题名。它们提醒本方向必须与跨通道注入、运行时检查明确区分，不能把“有多个读取位置”本身当作创新。[36][38]</w:t>
      </w:r>
    </w:p>
    <w:p w14:paraId="3C8284EC">
      <w:r>
        <w:t>这些论文与本方向的关系是：已有研究覆盖了工具内容、元数据和多个通道的攻击；拟进一步验证的对象，是同一次返回的不同表示分别被审核与写入持久状态时，审核是否真正覆盖了后续被使用的信息。</w:t>
      </w:r>
    </w:p>
    <w:p w14:paraId="383ED156">
      <w:pPr>
        <w:pStyle w:val="3"/>
      </w:pPr>
      <w:r>
        <w:t>2.2 S1：双表示结果的持久后门</w:t>
      </w:r>
    </w:p>
    <w:p w14:paraId="5C67D3F4">
      <w:r>
        <w:rPr>
          <w:b/>
        </w:rPr>
        <w:t>具体机制。</w:t>
      </w:r>
      <w:r>
        <w:t>一次工具返回同时包含 content 中的文本块和 structuredContent 中的结构化结果。审核器检查其中一个视图，而记忆写入器读取另一个视图。如果两者存在关键事实冲突，或者审核视图没有呈现会进入记忆的关键内容，就可能出现“这次返回已经审核”却“实际保存的信息没有审核”的错配。content 可以包含不同类型的内容块，不能将 content 整体等同于纯文本。</w:t>
      </w:r>
    </w:p>
    <w:p w14:paraId="7EC4916A">
      <w:r>
        <w:rPr>
          <w:b/>
        </w:rPr>
        <w:t>攻击者做什么。</w:t>
      </w:r>
      <w:r>
        <w:t>攻击者只控制最初一次低信任工具返回，在不同表示中安排关键内容差异，试图让未被检查的信息进入长期记忆。之后不继续提供恶意输入，观察后续指定任务是否因为检索这条记忆而发生错误动作。</w:t>
      </w:r>
    </w:p>
    <w:p w14:paraId="630FF31A">
      <w:r>
        <w:rPr>
          <w:b/>
        </w:rPr>
        <w:t>利用的系统薄弱点。</w:t>
      </w:r>
      <w:r>
        <w:t>审核结论被附着到整条返回，实际审核范围却小于后续消费者读取的范围；系统将“检查过一个视图”误当作“所有会影响决策的内容均已检查”。预期攻击效果是一次输入被保存，后续干净会话在指定条件下偏移；如果影响只发生在当次响应，就还没有证明持久后门。</w:t>
      </w:r>
    </w:p>
    <w:p w14:paraId="35D6AE5B">
      <w:r>
        <w:t>攻击侧需要回答：①哪些真实消费路径存在这种错配，而不是实验中临时人为制造？②差异是事实冲突、关键内容漏审，还是正常摘要省略？③进入记忆后，后续指定任务能否复现攻击目标？④将审核器改为检查实际写入视图后，攻击是否明显减弱，以证明机制确实与错配有关？</w:t>
      </w:r>
    </w:p>
    <w:p w14:paraId="633FE074">
      <w:r>
        <w:rPr>
          <w:b/>
        </w:rPr>
        <w:t>能力边界。</w:t>
      </w:r>
      <w:r>
        <w:t>攻击者不能修改审核器、记忆写入代码或审核日志，也不能控制后续任务；若实验需要额外控制这些组件，应单独列为更强威胁模型。需先确认工具返回确实被这些组件读取，并记录字段到记忆的实际路径。</w:t>
      </w:r>
    </w:p>
    <w:p w14:paraId="23E69E67">
      <w:r>
        <w:rPr>
          <w:b/>
        </w:rPr>
        <w:t>防御侧做什么。</w:t>
      </w:r>
      <w:r>
        <w:t>在写入前记录审核覆盖的字段或内容范围，让记忆写入器只能消费已审核的信息；对关键事实冲突及关键内容漏审进行重检。不能要求两种表示逐字相同，因为摘要与结构化表达允许合法差异。还要保留来源约束及内容检查：两个视图一致，也可能一起包含恶意内容。</w:t>
      </w:r>
    </w:p>
    <w:p w14:paraId="56752030">
      <w:r>
        <w:t>防御侧需要回答：①如何表示审核覆盖范围，保证它绑定实际数据版本？②哪些差异必须重检，哪些合法省略可以接受？③检查两种表示的成本是否低于全量重审？④对齐视图后仍成功的攻击，是否已经转化为普通内容投毒，而不再属于消费错配？</w:t>
      </w:r>
    </w:p>
    <w:p w14:paraId="34D4A8D7">
      <w:r>
        <w:rPr>
          <w:b/>
        </w:rPr>
        <w:t>实验需要证明。</w:t>
      </w:r>
      <w:r>
        <w:t>对比一致且干净、一致且投毒、存在关键冲突、存在关键漏审四类返回；固定后续任务和记忆写入流程，观察审核、写入、检索、触发各阶段。既测攻击成功率，也测正常任务表现和误拒绝，避免把拒绝所有双表示返回当成有效解决方案。</w:t>
      </w:r>
    </w:p>
    <w:p w14:paraId="0EB43FF3">
      <w:pPr>
        <w:pStyle w:val="3"/>
      </w:pPr>
      <w:r>
        <w:t>2.3 S2：消费者策略切换后的休眠触发</w:t>
      </w:r>
    </w:p>
    <w:p w14:paraId="6633E9BF">
      <w:r>
        <w:rPr>
          <w:b/>
        </w:rPr>
        <w:t>具体机制。</w:t>
      </w:r>
      <w:r>
        <w:t>攻击者最初投放的完整工具返回被归档，旧消费者仅使用其中一部分，未出现攻击效果。之后合法流程改变读取策略，重新处理归档中的另一部分信息，污染才进入记忆或决策。本方向所说的“休眠”，指污染材料先存在，后来因消费路径变化才生效；不能仅凭延迟发生就认定其机制成立。</w:t>
      </w:r>
    </w:p>
    <w:p w14:paraId="33068876">
      <w:r>
        <w:rPr>
          <w:b/>
        </w:rPr>
        <w:t>可纳入的三个场景。</w:t>
      </w:r>
      <w:r>
        <w:t>第一，维护时更换消费者，并重新处理历史归档。第二，长会话管理把完整结果归档、保留摘要，后续重载归档；只有重载确实采用不同字段选择时，才构成本问题。第三，当次推理使用一个视图，会话结束后的独立记忆提取器使用另一个视图。第三种主要是 S1 的异步消费实例，不宜再次包装成独立创新。上下文变长或会话结束，都不能自动证明字段策略会改变。</w:t>
      </w:r>
    </w:p>
    <w:p w14:paraId="32E639D4">
      <w:r>
        <w:rPr>
          <w:b/>
        </w:rPr>
        <w:t>攻击者做什么。</w:t>
      </w:r>
      <w:r>
        <w:t>只预先控制一次返回，不强制升级、归档重载或会话结束后的处理策略，也不能在切换时再投放新内容。利用的是旧审核结论被直接复用于新消费范围，新增读取的信息没有得到相应检查。</w:t>
      </w:r>
    </w:p>
    <w:p w14:paraId="28F8FDC3">
      <w:r>
        <w:t>攻击侧需要回答：①哪些正常维护或运行流程真实地扩大、改变了消费范围？②在不发生切换时，污染是否保持未生效；切换后是否才出现持久偏移？③效果来自新增字段被读取，还是普通延迟检索？④攻击对外部事件的依赖有多大？“事件发生时的成功率”与“事件在环境中发生的频率”应分开报告。</w:t>
      </w:r>
    </w:p>
    <w:p w14:paraId="42355C2D">
      <w:r>
        <w:t>防御侧需要回答：①切换时能否识别新旧消费范围的差集？②能否只重审新增使用的内容，而无需重审全部归档？③历史审核结果是否包含足够的字段范围与版本信息？④与全量重审、不复用归档相比，选择性重检能否保留任务效用并降低成本？</w:t>
      </w:r>
    </w:p>
    <w:p w14:paraId="672001D0">
      <w:r>
        <w:rPr>
          <w:b/>
        </w:rPr>
        <w:t>实验定位。</w:t>
      </w:r>
      <w:r>
        <w:t>设置固定使用 content、固定使用 structuredContent、content 切到 structuredContent、structuredContent 切到 content 的对照，记录审核范围与实际消费范围。系统流程的切换由实验环境安排，不应声称是攻击者控制。攻击成功率是否提高是待测结果。优先把 S2 作为 S1 的扩展或消融；只有机制和贡献可以清楚分离，才考虑独立成篇。</w:t>
      </w:r>
    </w:p>
    <w:p w14:paraId="77D66B8B">
      <w:pPr>
        <w:pStyle w:val="2"/>
      </w:pPr>
      <w:r>
        <w:t>三、方向二：撤销或修复之后，污染从边界之外再进入</w:t>
      </w:r>
    </w:p>
    <w:p w14:paraId="57413F39">
      <w:pPr>
        <w:pStyle w:val="3"/>
      </w:pPr>
      <w:r>
        <w:t>3.1 已有论文做了什么</w:t>
      </w:r>
    </w:p>
    <w:p w14:paraId="7DECEBAD">
      <w:r>
        <w:t>（1）Prompt Infection 研究多 Agent 之间的提示注入传播，说明一个 Agent 接受的恶意影响可能沿协作消息传到另一个 Agent。它为“污染不只存在于本地”提供相关背景，但传播本身不等于“本地修复完成后又被旧污染重新感染”。[28]</w:t>
      </w:r>
    </w:p>
    <w:p w14:paraId="743822AD">
      <w:r>
        <w:t>（2）MemoRepair 研究先阻断失效记忆继续被使用，再对受影响的派生记忆进行级联修复。其保证依赖声明的影响来源关系；来源边不完整时不能照搬完整图条件下的保证。因此，“级联修复”已经有人做过，拟研究的问题应落在修复边界之外的重新接纳。原论文还包含神经技能的参数修复分支，本项目仅借鉴存储级撤回、重建与验证思路，不采用参数更新分支。[22]</w:t>
      </w:r>
    </w:p>
    <w:p w14:paraId="13D5E890">
      <w:r>
        <w:t>（3）MemTX 将记忆接纳设计为事务式提交，并提供类型化派生修复。它也讨论跨事务重试等边界，所以不能把“新记录 ID”“重试”“撤回后的级联处理”本身当作未研究的新发现。本方向必须验证已有事务、幂等与修复措施启用后，重新生成的记忆实例是否仍可能绕过失效约束。[24]</w:t>
      </w:r>
    </w:p>
    <w:p w14:paraId="31AEA051">
      <w:r>
        <w:t>（4）Forgetting Without Restarting 关注仅删除记忆仍不足以消除执行状态中的影响，通过来源依赖与选择性重放重建受影响状态。它不是简单地“删除污染记忆，再把所有后面的记忆重试生成”；适用性取决于可重放状态等条件，也不能被理解为对外部已经发生的动作自动回滚。[27]</w:t>
      </w:r>
    </w:p>
    <w:p w14:paraId="36631CAC">
      <w:r>
        <w:t>（5）Revoked but Still Authoritative 在所评测的 Agent 记忆系统和设置中发现，写下撤销状态不一定意味着读取或使用路径会执行撤销。它支持“撤销标记与撤销执行可能脱节”的判断，不足以证明所有 Agent 系统普遍如此。还必须注意，它的附录 C 已测试旧决定写回为新的当前记录，以及共享记忆中的多 Agent 传播：只过滤原撤销记录，未必消除已经写成新记录的派生影响。该扩展主要在其指定的 Graphiti 流程中评测，不能外推为所有系统结论。[26]</w:t>
      </w:r>
    </w:p>
    <w:p w14:paraId="39AF99A0">
      <w:r>
        <w:t>本方向要分清三件事：原污染根本没有清除；清除后被旧派生物重新导入；攻击者重新发动一次新攻击。只有第二类是这里重点研究的“从处理边界之外再进入”。</w:t>
      </w:r>
    </w:p>
    <w:p w14:paraId="12683E37">
      <w:pPr>
        <w:pStyle w:val="3"/>
      </w:pPr>
      <w:r>
        <w:t>3.2 S3：跨事务重试再植入</w:t>
      </w:r>
    </w:p>
    <w:p w14:paraId="27B2B865">
      <w:r>
        <w:rPr>
          <w:b/>
        </w:rPr>
        <w:t>具体机制。</w:t>
      </w:r>
      <w:r>
        <w:t>一条污染记忆被发现并撤销。基于同一份污染源的任务，由于正常网络超时、系统抖动或 Agent 自动重试重新执行，生成新的记忆实例。新实例可能措辞不同、记录 ID 不同，来源只关联当前重试任务，未保留与原污染源的可信关联。如果接纳检查仅认原记录 ID，或依赖的来源链在此处断裂，就可能把它作为新的合法记忆接纳。</w:t>
      </w:r>
    </w:p>
    <w:p w14:paraId="35B65D48">
      <w:r>
        <w:t>这并非每次重试必然发生。有的系统会复用请求标识、继承父来源、阻止重复提交，或者重新核查已失效依据。在这些系统中攻击可能失败。必须分别测试“同一次写请求重复提交”与“同一污染源重新生成经验”，不能因为新 ID 出现就认定撤销绕过。</w:t>
      </w:r>
    </w:p>
    <w:p w14:paraId="5B6A4B7D">
      <w:r>
        <w:rPr>
          <w:b/>
        </w:rPr>
        <w:t>攻击者做什么。</w:t>
      </w:r>
      <w:r>
        <w:t>只控制最初一份低信任资料，例如一篇被污染的文档或一次被篡改的工具返回。不能修改撤销日志，不能控制系统重试，也不能在撤销后添加新污染。攻击者期待系统自身的正常恢复流程将旧依据重新包装为可接受的新记录。</w:t>
      </w:r>
    </w:p>
    <w:p w14:paraId="744FC58F">
      <w:r>
        <w:rPr>
          <w:b/>
        </w:rPr>
        <w:t>利用的系统薄弱点。</w:t>
      </w:r>
      <w:r>
        <w:t>失效约束只绑定原记录或当前事务，没有随着“再次基于同一失效依据生成新记忆”继承。攻击效果分两步：旧依据重新获得记忆接纳；该记忆在后续指定任务中恢复攻击目标。只有第一步不够，需证明第二步。</w:t>
      </w:r>
    </w:p>
    <w:p w14:paraId="031EC064">
      <w:r>
        <w:t>攻击侧需要回答：①正常重试在何种来源记录与提交策略下会重新接纳已失效内容？②启用幂等、事务修复和读取撤销检查后，是否仍能成立？③同源重新生成和无关的正常新经验，接纳行为有何差别？④恢复攻击效果是否确由重试后新记录介导，而非旧记录残留？</w:t>
      </w:r>
    </w:p>
    <w:p w14:paraId="2771E870">
      <w:r>
        <w:rPr>
          <w:b/>
        </w:rPr>
        <w:t>防御侧做什么。</w:t>
      </w:r>
      <w:r>
        <w:t>研究哪些最小可信信息足以让撤销约束跨生成步骤继承，例如污染源的稳定标识、生成任务及其父任务关联、接纳时的撤销版本。它们应由系统记录并与实际输入绑定，不能仅相信记忆正文自称的来源。最小集合是否足够要按明确威胁模型验证，不能只列三个字段就声称已经充分。</w:t>
      </w:r>
    </w:p>
    <w:p w14:paraId="2B12EE75">
      <w:r>
        <w:t>防御侧需要回答：①哪些元数据缺一项就出现绕过，哪些是冗余信息？②失效来源产生的新实例应拒绝、隔离还是重新取得独立有效依据？③来源完全缺失时，应如何暂停复用、重新取证或限制用于高风险动作？④保守处理的漏检、误报与正常任务损失如何权衡？缺乏区分信息时无法同时保证零漏检与不损失可用性；“宁可误报”应落实为可测的策略，而非保证绝不漏检。</w:t>
      </w:r>
    </w:p>
    <w:p w14:paraId="645F0F6B">
      <w:r>
        <w:rPr>
          <w:b/>
        </w:rPr>
        <w:t>实验需要证明。</w:t>
      </w:r>
      <w:r>
        <w:t>固定初次污染与撤销流程，在可重试任务中安排环境故障；攻击者不参与故障安排。对比无重试、同写入重复提交、同源重新生成、来源关联完整、来源关联部分缺失。保持撤销日志不变，检查新记录的依据、接纳时间与后续动作，排除新投放和本地残留。</w:t>
      </w:r>
    </w:p>
    <w:p w14:paraId="6B58DD5A">
      <w:r>
        <w:t>与已有工作的分界。MemTX 已指出跨事务重试的范围问题，Revoked 已展示派生决定写成新记录后仍可存活。因此，论文不能只用“新 ID 绕过旧记录撤销”作为贡献；应具体证明正常重试重新生成这一过程与已有写回场景的区别，并评估跨生成步骤继承失效约束的防御。如果机制完全相同，应将重点转向明确条件下的防御增量。[24][26]</w:t>
      </w:r>
    </w:p>
    <w:p w14:paraId="3B0B9AB2">
      <w:pPr>
        <w:pStyle w:val="3"/>
      </w:pPr>
      <w:r>
        <w:t>3.3 S4：跨 Agent 的修复后再导入</w:t>
      </w:r>
    </w:p>
    <w:p w14:paraId="1242B7B9">
      <w:r>
        <w:rPr>
          <w:b/>
        </w:rPr>
        <w:t>具体机制。</w:t>
      </w:r>
      <w:r>
        <w:t>A 曾被污染，之后删除污染记录、级联修复派生物，甚至选择性重放，本地检查表明它在定义的状态范围内已干净。协作伙伴 B 仍保留同源污染派生内容，或者修复后有残留。A 与 B 正常交流时，B 回答问题、发送消息或共享任务结果，A 将这条新消息视作来自伙伴的新信息并写入记忆。旧污染由协作边界之外重新进入 A。</w:t>
      </w:r>
    </w:p>
    <w:p w14:paraId="031F952B">
      <w:r>
        <w:rPr>
          <w:b/>
        </w:rPr>
        <w:t>攻击者做什么。</w:t>
      </w:r>
      <w:r>
        <w:t>仅实施最初一次污染，修复后不再投放新内容，也不篡改 A 的修复记录。正常协作由任务流程产生。攻击者期待“消息由伙伴重新表达”使旧依据重新获得可信外观。</w:t>
      </w:r>
    </w:p>
    <w:p w14:paraId="244AE616">
      <w:r>
        <w:rPr>
          <w:b/>
        </w:rPr>
        <w:t>利用的系统薄弱点。</w:t>
      </w:r>
      <w:r>
        <w:t>A 的本地修复覆盖自身状态，却没有确保后续消息的接纳检查识别其对失效依据的依赖；系统可能把伙伴身份与消息依据有效性混为一谈。攻击效果应是 A 从已修复状态重新形成污染记忆，并在指定任务中再次偏移。仅观察到 B 仍被污染，不足以证明 A 再感染。</w:t>
      </w:r>
    </w:p>
    <w:p w14:paraId="29A11C39">
      <w:r>
        <w:t>攻击侧需要回答：①在无修复后新投放时，普通协作是否足以让 A 再接纳旧污染？②A 的修复边界包含哪些记忆、摘要、计划和缓存，是否真的清干净？③阻断 B→A 消息或清理 B 后，复发是否消失？④将 B 的同一回复替换为独立干净依据后，A 是否仍偏移？这些对照用来区分本地残留、正常再导入与普通二次攻击。</w:t>
      </w:r>
    </w:p>
    <w:p w14:paraId="52656D09">
      <w:r>
        <w:rPr>
          <w:b/>
        </w:rPr>
        <w:t>防御侧做什么。</w:t>
      </w:r>
      <w:r>
        <w:t>在不共享双方完整内部记忆的隐私约束下，通过有限可信元数据传递来源标识、相关失效状态及必要派生依赖。在接纳伙伴消息时检查依据是否仍有效，而非仅检查消息是否来自已认证伙伴。发送者正文自行声明“来源安全”，不能代替系统绑定的来源记录。</w:t>
      </w:r>
    </w:p>
    <w:p w14:paraId="0003476A">
      <w:r>
        <w:t>防御侧需要回答：①不暴露原始私有内容时，最少共享什么才可以判断依赖已撤销来源？②发送方不知道撤销、接收方知道撤销时，如何执行接纳检查？③派生链被摘要压缩后，哪些来源关系仍必须保留？④来源信息不完整时，隔离或要求独立验证会损失多少正常协作能力？与完整来源共享、本地修复后不做入站检查、禁止伙伴写入三类基线比较。</w:t>
      </w:r>
    </w:p>
    <w:p w14:paraId="53D24CD2">
      <w:r>
        <w:rPr>
          <w:b/>
        </w:rPr>
        <w:t>实验需要证明。</w:t>
      </w:r>
      <w:r>
        <w:t>先让同源污染影响 A 与 B，再仅修复 A，验证 A 的干净任务表现及状态清理情况；之后运行正常协作。设置双方都修复、仅 A 修复、关闭协作、清理 B、启用有限元数据检查等对照。核心指标是修复后再次接纳率、再次攻击成功率、协作任务成功率及共享元数据量。</w:t>
      </w:r>
    </w:p>
    <w:p w14:paraId="6B639C8A">
      <w:r>
        <w:t>与已有工作的分界。Prompt Infection 已研究协作传播，Revoked 已研究多个角色读取同一共享记忆及写回影响。本子方向应锁定“A 已在明确状态边界内完成修复，B 在边界外保留旧派生物，之后通过正常消息再次输入 A”的时序与接纳问题。共享一个未清理的库、A 重新读到原污染，并不足以证明这个区别；必要时采用分开的本地存储来验证，防御则限定有限可信元数据而非完整共享内部记忆。[28][26]</w:t>
      </w:r>
    </w:p>
    <w:p w14:paraId="47FAA6CD">
      <w:pPr>
        <w:pStyle w:val="2"/>
      </w:pPr>
      <w:r>
        <w:t>四、方向三：证据支持关系的动态变化</w:t>
      </w:r>
    </w:p>
    <w:p w14:paraId="3176F3F7">
      <w:pPr>
        <w:pStyle w:val="3"/>
      </w:pPr>
      <w:r>
        <w:t>4.1 已有论文做了什么</w:t>
      </w:r>
    </w:p>
    <w:p w14:paraId="50DED843">
      <w:r>
        <w:t>（1）TMA-NM 研究与真实来源绑定、不能通过改写等方式随意提升的记忆权威，并用可信、独立的佐证约束提升。它已经覆盖来源绑定、低信任内容洗白和行动前检查，所以“给记忆加来源标签”“要求多源佐证”不是本方向的新贡献。其保证还依赖可信监控及独立佐证等条件，并允许与具体动作绑定的新用户授权路径。保证主要针对重要动作的来源权威门控，不等同于所有回答都事实正确；论文明确把跨 Agent 共享记忆列为范围之外，因此也不能当作已有跨 Agent 消息协议的直接保证。[23]</w:t>
      </w:r>
    </w:p>
    <w:p w14:paraId="3A873549">
      <w:r>
        <w:t>（2）CPB 研究共享 Agent 记忆中的证据接纳，诊断相关证据被误当作独立支持的问题。因此，同一内容被多次转述而看起来“很多人都这么说”，本身已经有直接相关研究。[41]</w:t>
      </w:r>
    </w:p>
    <w:p w14:paraId="015A035C">
      <w:r>
        <w:t>（3）Selective Revalidation 研究长时间运行的 Agent 在证据版本或决策依据变化后如何选择性复核，Revoked 研究撤销是否在实际使用路径执行。因此，“来源变了就重新检查”也不能笼统地称为研究空白。[54][26]</w:t>
      </w:r>
    </w:p>
    <w:p w14:paraId="249EE723">
      <w:r>
        <w:t>拟研究的细化对象是：已经接纳的规则，其支持集合或来源独立关系发生变化后，如何更新证据资格，并控制受影响的后续使用。它与方向二不同：方向二研究旧污染重新作为新内容进入；这里研究原已接纳规则仍在库中，但支持它的依据已经改变。</w:t>
      </w:r>
    </w:p>
    <w:p w14:paraId="37A24F85">
      <w:r>
        <w:t>证据资格与动作权限必须分开。足够可信的证据可以支持某项判断，不等于获得执行某工具动作的权限。这里拟更新的是“能否继续作为决策依据”，具体动作仍要满足用户和系统授权。</w:t>
      </w:r>
    </w:p>
    <w:p w14:paraId="3C917E7A">
      <w:pPr>
        <w:pStyle w:val="3"/>
      </w:pPr>
      <w:r>
        <w:t>4.2 S5：佐证撤销后的决策依据重评</w:t>
      </w:r>
    </w:p>
    <w:p w14:paraId="28D37B9B">
      <w:r>
        <w:rPr>
          <w:b/>
        </w:rPr>
        <w:t>具体机制。</w:t>
      </w:r>
      <w:r>
        <w:t>一条受攻击者影响的种子记忆被接纳时，系统记录它有足够佐证。后来部分佐证被撤销或更正，但该记忆仍保留原来的“证据充分”状态。后续任务继续使用它，可能出现“当时满足接纳条件，现在不满足，却仍按旧资格使用”的问题。</w:t>
      </w:r>
    </w:p>
    <w:p w14:paraId="451B1E83">
      <w:r>
        <w:rPr>
          <w:b/>
        </w:rPr>
        <w:t>攻击者做什么。</w:t>
      </w:r>
      <w:r>
        <w:t>影响早期低信任内容，希望其被保存为规则，并在支持条件变化后仍被复用。攻击者不能修改可信撤销记录，也不能伪造系统认证来源。佐证如何产生必须具体交代：是系统错误地将转述计为独立支持，还是原有支持后来被确认失效；不能预设错误规则会自然得到真正可靠的支持。若严格独立佐证已经阻止初始接纳，应如实认定攻击在该条件下不成立。</w:t>
      </w:r>
    </w:p>
    <w:p w14:paraId="64B7D27F">
      <w:r>
        <w:rPr>
          <w:b/>
        </w:rPr>
        <w:t>利用的系统薄弱点。</w:t>
      </w:r>
      <w:r>
        <w:t>接纳资格只在写入时计算，未与当前有效支持集合绑定；规则内容仍可被检索，但它满足证据要求的理由已经失效。预期效果是支持不足的污染规则仍在指定任务中诱发错误动作，而非只在库中留下一个过期标签。</w:t>
      </w:r>
    </w:p>
    <w:p w14:paraId="23D8A254">
      <w:r>
        <w:t>攻击侧需要回答：①初始接纳怎样发生，攻击者实际控制了哪些输入？②撤销一部分支持后，规则是否确实跌破明确的证据门槛？③系统为什么没有发现变化：缺少关联、状态未更新，还是行动前不检查？④原规则仍有足够独立有效支持时，是否可以正常保留，避免把任何撤销事件都误判为攻击成功？</w:t>
      </w:r>
    </w:p>
    <w:p w14:paraId="22E59F74">
      <w:r>
        <w:rPr>
          <w:b/>
        </w:rPr>
        <w:t>防御侧做什么。</w:t>
      </w:r>
      <w:r>
        <w:t>维护规则与支持来源之间的有效性关联，在来源撤销或更正时局部更新受影响规则，必要时暂停用于相关决策；在使用前核对当前证据资格与版本。不是见到一个来源失效就一律删除规则，而是判断剩余支持是否充分。</w:t>
      </w:r>
    </w:p>
    <w:p w14:paraId="66825541">
      <w:r>
        <w:t>防御侧需要回答：①哪些支持变化会影响哪些规则与动作？②局部更新能否达到完整重算的结果，同时减少复核成本？③接纳后资格变化与实际行动之间，怎样防止使用旧版本判定？④静态门控、完整支持图重算和全量降级分别会产生多少残余攻击与正常任务损失？</w:t>
      </w:r>
    </w:p>
    <w:p w14:paraId="3224EE22">
      <w:r>
        <w:rPr>
          <w:b/>
        </w:rPr>
        <w:t>实验需要证明。</w:t>
      </w:r>
      <w:r>
        <w:t>构造真实支持不足、仍有充分支持、无关来源撤销三类变化；分别比较资格不更新、全部重算、局部更新和全量停用。固定初始污染，记录撤销后规则使用率、攻击成功率、误降级率及复核成本。创新若存在，应落在动态更新机制和明确条件下的成本或效用优势，而非“发现撤销有用”。</w:t>
      </w:r>
    </w:p>
    <w:p w14:paraId="199AC231">
      <w:pPr>
        <w:pStyle w:val="3"/>
      </w:pPr>
      <w:r>
        <w:t>4.3 S6：来源身份误判更正后的记忆重评</w:t>
      </w:r>
    </w:p>
    <w:p w14:paraId="363B5C01">
      <w:r>
        <w:rPr>
          <w:b/>
        </w:rPr>
        <w:t>具体机制。</w:t>
      </w:r>
      <w:r>
        <w:t>系统可能把同一来源的转载、转述当作几个独立来源，从而多算支持；也可能把实际上独立的来源误合并，从而少算支持。后续发现并纠正身份关系后，原来的接纳或拒绝决定是否随之更新，是这里的核心问题。</w:t>
      </w:r>
    </w:p>
    <w:p w14:paraId="3278AD88">
      <w:r>
        <w:rPr>
          <w:b/>
        </w:rPr>
        <w:t>攻击者做什么。</w:t>
      </w:r>
      <w:r>
        <w:t>在低信任资料中的来源声明、转述关系或表述差异上做安排，试图让同源内容看起来像独立佐证。不能伪造系统认证身份；如果可信系统准确掌握来源关系，单靠文本自称“另一个来源”不应成功。初始内容被保存后，研究身份关系纠正能否消除已经产生的错误资格及派生使用。</w:t>
      </w:r>
    </w:p>
    <w:p w14:paraId="6FC25E0E">
      <w:r>
        <w:rPr>
          <w:b/>
        </w:rPr>
        <w:t>利用的系统薄弱点。</w:t>
      </w:r>
      <w:r>
        <w:t>接纳规则把来源独立性当作固定事实，而身份关系尚不确定，或更正后没有回溯。预期攻击效果是同源支持被重复计数，错误规则获得资格并持续影响指定任务。独立来源误合并主要用于测量防御的可用性损失，不应自动称为攻击者的后门成功。</w:t>
      </w:r>
    </w:p>
    <w:p w14:paraId="7C45CF12">
      <w:r>
        <w:t>攻击侧需要回答：①在不伪造可信身份时，哪些声明型来源信息会被系统误信？②同源拆成多源是否真的改变接纳决定，而非只是增加相似文本数量？③可信身份更正后，错误资格与派生记忆是否还被使用？④即使攻击被阻断，正常独立来源误合并是否造成较多误拒绝？</w:t>
      </w:r>
    </w:p>
    <w:p w14:paraId="7F631E68">
      <w:r>
        <w:rPr>
          <w:b/>
        </w:rPr>
        <w:t>防御侧做什么。</w:t>
      </w:r>
      <w:r>
        <w:t>将来源独立性与其验证状态一起记录，限制未验证来源声明直接提升证据资格；身份关系更正后，重新评估受影响的支持集合、记忆及决策。可先使用可审计的确定性规则，不预设必须建立复杂统计模型。</w:t>
      </w:r>
    </w:p>
    <w:p w14:paraId="1A2781BD">
      <w:r>
        <w:t>防御侧需要回答：①哪些身份信息可信，哪些仅为内容自述？②未知关系是暂缓计为独立支持，还是允许有限用途？③更正后如何定位受影响决定，避免全库重算？④分别如何恢复错误拒绝的正常记忆、撤回错误接纳的污染记忆？</w:t>
      </w:r>
    </w:p>
    <w:p w14:paraId="585D2CB9">
      <w:r>
        <w:rPr>
          <w:b/>
        </w:rPr>
        <w:t>实验需要证明。</w:t>
      </w:r>
      <w:r>
        <w:t>使用受控真实来源标注，分别制造同源误拆、独立来源误合并和身份未确定，再由可信机制给出更正事件。测错误接纳、错误拒绝、更正后残余偏移及恢复成本。与 CPB 的独立性诊断、TMA-NM 的可信独立佐证和选择性复核工作比较，避免将已有来源洗白机制重新命名为创新。</w:t>
      </w:r>
    </w:p>
    <w:p w14:paraId="20B9E730">
      <w:pPr>
        <w:pStyle w:val="2"/>
      </w:pPr>
      <w:r>
        <w:t>五、方向四：经验适用范围的组合与迁移</w:t>
      </w:r>
    </w:p>
    <w:p w14:paraId="3D9AB6C2">
      <w:pPr>
        <w:pStyle w:val="3"/>
      </w:pPr>
      <w:r>
        <w:t>5.1 已有论文做了什么</w:t>
      </w:r>
    </w:p>
    <w:p w14:paraId="0E0F91FC">
      <w:r>
        <w:t>（1）AgentPoison 研究对记忆或知识库投毒，使后续检索到的内容在目标条件下影响 Agent 行为。它说明记忆检索可以成为后门路径，但其攻击者权限与拟研究的“系统自行总结局部经验”并不完全相同。[16]</w:t>
      </w:r>
    </w:p>
    <w:p w14:paraId="2EFDC9B1">
      <w:r>
        <w:t>（2）MemoryGraft 通过污染可检索经验形成持续影响，体现经验被当作成功范例复用的风险。MemMorph 研究通过记忆投毒劫持工具选择，说明看似技术信息或规则的记忆也能引导工具行为。[19][20]</w:t>
      </w:r>
    </w:p>
    <w:p w14:paraId="7A7A308E">
      <w:r>
        <w:t>（3）OEP 直接研究局部正确但不可迁移的经验如何使自演化 Agent 形成错误泛化，其实验也包含精心安排的案例序列与批次反思。因此，“不写明显恶意指令，利用正确经验诱导错误规则”以及“投放多条经验一起反思”已经有相关覆盖，不能直接宣称是新机制。[21]</w:t>
      </w:r>
    </w:p>
    <w:p w14:paraId="600D6830">
      <w:r>
        <w:t>（4）MemSecBench 将记忆污染从保留到后果和修复进行评测，其中包含适用信息丢失等问题；MemoRepair 也涵盖迁移导致依据失效的修复场景。因此，有效期丢失和迁移失效均有相关基础。[25][22]</w:t>
      </w:r>
    </w:p>
    <w:p w14:paraId="1C67B2F2">
      <w:r>
        <w:t>拟进一步区分两个问题：几条经验合并时是否出现单条不产生的条件性偏移；一条经验没有改写，但任务条件改变后是否仍被不当复用。两者均有撞题风险，必须对照 OEP 等工作检查是否存在可独立验证的增量。</w:t>
      </w:r>
    </w:p>
    <w:p w14:paraId="24BD780B">
      <w:pPr>
        <w:pStyle w:val="3"/>
      </w:pPr>
      <w:r>
        <w:t>5.2 S7：多条局部正确经验的组合触发</w:t>
      </w:r>
    </w:p>
    <w:p w14:paraId="776CD38B">
      <w:r>
        <w:rPr>
          <w:b/>
        </w:rPr>
        <w:t>具体机制。</w:t>
      </w:r>
      <w:r>
        <w:t>攻击者有意选择并投放两条以上经验，它们各自在原适用范围内成立。Agent 合并摘要或归纳规则时，若删除了必要前提，就可能得到比原证据支持范围更广的规则。后续指定任务恰好不满足被删除的前提，规则却被执行，产生攻击者期望的错误结果。</w:t>
      </w:r>
    </w:p>
    <w:p w14:paraId="4034E8C4">
      <w:r>
        <w:rPr>
          <w:b/>
        </w:rPr>
        <w:t>攻击者做什么。</w:t>
      </w:r>
      <w:r>
        <w:t>控制低信任经验的选择与投放，不直接改记忆中的最终规则，也不修改系统政策。每条经验局部正确，并不表示没有投毒；定向选材、排列组合和投放本身可以是攻击行为。如果没有攻击者的目标与操纵，只是自然出现错误泛化，应归类为可靠性问题。</w:t>
      </w:r>
    </w:p>
    <w:p w14:paraId="5535BB12">
      <w:r>
        <w:rPr>
          <w:b/>
        </w:rPr>
        <w:t>利用的系统薄弱点。</w:t>
      </w:r>
      <w:r>
        <w:t>经验合并只保存共同结论，未保留支撑结论的必要条件，且后续规则使用未检查这些条件。预期效果是指定组合被保存为错误通用规则，并在特定任务上触发；单条样本的影响应显著较弱，或者机制与组合不同，这要由实验判断。</w:t>
      </w:r>
    </w:p>
    <w:p w14:paraId="5E4B4702">
      <w:r>
        <w:t>攻击侧需要回答：①单条、指定组合、无关组合分别有什么影响？②所谓组合效应是否只是样本更多、重复更多或总输入更长？③保留完整适用条件后攻击是否减弱？④组合产生的偏移是否由合并后的规则介导，而非原始经验直接被检索后的普通注入？</w:t>
      </w:r>
    </w:p>
    <w:p w14:paraId="49C48CB7">
      <w:r>
        <w:rPr>
          <w:b/>
        </w:rPr>
        <w:t>防御侧做什么。</w:t>
      </w:r>
      <w:r>
        <w:t>在合并经验时保留必要条件与其依据，检查新规则是否有足够支持，尤其检查条件删除和范围扩张。不能禁止所有“超过单条经验的结论”，因为合法组合也可以支持新的结论；需要区分有依据的联合推理与无依据的泛化。</w:t>
      </w:r>
    </w:p>
    <w:p w14:paraId="3078C8A6">
      <w:r>
        <w:t>防御侧需要回答：①如何表示经验适用条件，避免全部原文永久堆积？②哪些条件不能在摘要时删除？③无法证明新范围有效时，规则是否只允许在已验证范围使用？④与不合并、保存全部条件、普通内容检测及 OEP 相关方法相比，能否降低攻击且保留正常组合收益？</w:t>
      </w:r>
    </w:p>
    <w:p w14:paraId="61C0F1AE">
      <w:r>
        <w:rPr>
          <w:b/>
        </w:rPr>
        <w:t>实验需要证明。</w:t>
      </w:r>
      <w:r>
        <w:t>控制经验条数、长度、重复程度和原任务条件；比较单条、目标组合、无关组合、相同组合但保留条件。记录生成规则的范围变化及后续任务触发。不能只报告“两个样本的成功率比一个高”就声称发现组合机制。还应与 OEP 已有的序列与批次设置比较；只有明确识别具体组合导致的条件丢失及其防御增量，才可能形成区别，否则应并入已有经验投毒问题。[21]</w:t>
      </w:r>
    </w:p>
    <w:p w14:paraId="1D0AA0B1">
      <w:pPr>
        <w:pStyle w:val="3"/>
      </w:pPr>
      <w:r>
        <w:t>5.3 S8：任务边界变化后的错误泛化</w:t>
      </w:r>
    </w:p>
    <w:p w14:paraId="51EAEDE9">
      <w:r>
        <w:rPr>
          <w:b/>
        </w:rPr>
        <w:t>具体机制。</w:t>
      </w:r>
      <w:r>
        <w:t>早期任务允许自动处理，Agent 保存了相应成功经验；后续任务的对象范围、适用政策或确认要求改变，例如要求逐项确认。虽然任务名称或表面环境相似，旧经验的前提已经不成立。如果系统继续直接复用旧规则，就可能在新边界下产生定向违规。</w:t>
      </w:r>
    </w:p>
    <w:p w14:paraId="7EB3664F">
      <w:r>
        <w:rPr>
          <w:b/>
        </w:rPr>
        <w:t>攻击者做什么。</w:t>
      </w:r>
      <w:r>
        <w:t>只在早期阶段提供局部正确经验，不能强制后续政策或边界改变，也不能修改新规则。研究攻击者能否利用正常发生的任务条件变化，让先前保存的经验在不适用时仍被采用。实验安排边界变化不等于攻击者拥有修改边界的能力。</w:t>
      </w:r>
    </w:p>
    <w:p w14:paraId="6676551A">
      <w:r>
        <w:rPr>
          <w:b/>
        </w:rPr>
        <w:t>利用的系统薄弱点。</w:t>
      </w:r>
      <w:r>
        <w:t>经验的任务条件没有被绑定保存，或使用时只按任务相似度检索，没有检查当前契约。效果应是旧经验在改变后的指定任务上诱发错误动作。测试环境不必然权限低，生产环境不必然权限高；变化必须落到实际政策、对象或确认规则。</w:t>
      </w:r>
    </w:p>
    <w:p w14:paraId="1CD870C2">
      <w:r>
        <w:t>攻击侧需要回答：①具体哪条前提发生变化？②保持其他条件不变时，旧经验是否仍被沿用？③新政策的授权门是否已经阻止动作，如果是，攻击就不能算成功？④清除旧经验、保留正确条件或不改变边界后，偏移是否消失？</w:t>
      </w:r>
    </w:p>
    <w:p w14:paraId="75342C23">
      <w:r>
        <w:rPr>
          <w:b/>
        </w:rPr>
        <w:t>防御侧做什么。</w:t>
      </w:r>
      <w:r>
        <w:t>把经验依赖的条件与有效版本一起记录，在当前任务契约变化时选择性复核；不满足前提时限制复用或要求重新验证。动作授权仍由独立机制执行，不能让记忆规则覆盖明确的新政策。</w:t>
      </w:r>
    </w:p>
    <w:p w14:paraId="64C8353B">
      <w:r>
        <w:t>防御侧需要回答：①哪些变化足以使经验失效，哪些只是无关表述变化？②能否只复核受影响的经验？③经验条件检查在现有授权门已经工作的情况下还增加什么收益？④与经验过期、MemoRepair 迁移修复和普通条件检查相比，有无机制或效果上的增量？</w:t>
      </w:r>
    </w:p>
    <w:p w14:paraId="6CB08C53">
      <w:r>
        <w:rPr>
          <w:b/>
        </w:rPr>
        <w:t>实验需要证明。</w:t>
      </w:r>
      <w:r>
        <w:t>使用原文所描述的“原先可自动处理、后来要求逐项确认”等任务条件变化，设置无变化、相关变化和无关变化对照。先启用现有授权及条件检查，再观察残余风险。若已有措施完全阻断，或与 OEP 的范围误用完全相同，应合并研究或放弃独立创新主张。</w:t>
      </w:r>
    </w:p>
    <w:p w14:paraId="6B8E4251">
      <w:pPr>
        <w:pStyle w:val="2"/>
      </w:pPr>
      <w:r>
        <w:t>六、方向五：混合来源与来源缺失条件下的选择性修复</w:t>
      </w:r>
    </w:p>
    <w:p w14:paraId="6145F35A">
      <w:pPr>
        <w:pStyle w:val="3"/>
      </w:pPr>
      <w:r>
        <w:t>6.1 已有论文做了什么</w:t>
      </w:r>
    </w:p>
    <w:p w14:paraId="2B7C412E">
      <w:r>
        <w:t>（1）MemoRepair 研究失效记忆及派生物的级联撤回、修复与验证后发布，已经考虑保留仍有支持的内容，而非只有“整库删除”。所以“少删一些正常记忆”本身不能构成创新。[22]</w:t>
      </w:r>
    </w:p>
    <w:p w14:paraId="44EA840F">
      <w:r>
        <w:t>（2）MemTX 提供来源关联与类型化派生修复，也明确指出未记录的父来源不能被声明式修复覆盖。TMA-NM 研究可信来源绑定与低信任影响的传播，提醒本方向不能把正文自述的引用直接当作可信来源。[24][23]</w:t>
      </w:r>
    </w:p>
    <w:p w14:paraId="6077EF3B">
      <w:r>
        <w:t>拟研究两类不同困难：来源关系可以完整，但一条经验内部粒度太粗；或者粒度并非主要问题，而来源关系不完整。S9 对应前者，S10 对应后者。它们与方向二的区别是：这里重点修复已经保留的混合或不确定状态，方向二重点阻止修复后的再次进入。</w:t>
      </w:r>
    </w:p>
    <w:p w14:paraId="38DDF426">
      <w:pPr>
        <w:pStyle w:val="3"/>
      </w:pPr>
      <w:r>
        <w:t>6.2 S9：混合来源结构化经验的字段级选择性修复</w:t>
      </w:r>
    </w:p>
    <w:p w14:paraId="0183C0EA">
      <w:r>
        <w:rPr>
          <w:b/>
        </w:rPr>
        <w:t>具体机制。</w:t>
      </w:r>
      <w:r>
        <w:t>一条可复用的工单处理模板中，分类字段有可靠依据，路由字段受低信任输入影响。该模板在后续特定工单上被复用，错误路由引发目标偏移。如果只按整条记录修复，可能删除仍有效的分类信息；如果只改路由而不处理依赖它的其他字段，又可能留下残余污染。</w:t>
      </w:r>
    </w:p>
    <w:p w14:paraId="54CEA763">
      <w:r>
        <w:rPr>
          <w:b/>
        </w:rPr>
        <w:t>攻击场景。</w:t>
      </w:r>
      <w:r>
        <w:t>攻击者只影响最初一个低信任输入，使系统自行生成混合来源的结构化经验；不直接修改可信分类依据，不控制后续修复。必须证明模板被复用及条件触发，而非仅演示一次数据库字段篡改。攻击目标用于构造修复需求，本子方向更适合以防御为主。</w:t>
      </w:r>
    </w:p>
    <w:p w14:paraId="6D807A49">
      <w:r>
        <w:rPr>
          <w:b/>
        </w:rPr>
        <w:t>利用的系统薄弱点。</w:t>
      </w:r>
      <w:r>
        <w:t>修复单位是整条记录，而影响单位可能是某个字段及其派生字段；同时，字段语义之间可能存在耦合，不能把结构上分开的字段视为因果上完全独立。</w:t>
      </w:r>
    </w:p>
    <w:p w14:paraId="3724247C">
      <w:r>
        <w:t>攻击／问题侧需要回答：①污染如何进入某个字段，可靠字段的独立依据是否仍在？②哪些字段依赖受污染字段？③删除整条记录造成多少正常信息损失？④只改目标字段是否遗漏派生影响？</w:t>
      </w:r>
    </w:p>
    <w:p w14:paraId="347346F3">
      <w:r>
        <w:rPr>
          <w:b/>
        </w:rPr>
        <w:t>防御侧做什么。</w:t>
      </w:r>
      <w:r>
        <w:t>先限制为固定模式的结构化经验，为字段保存可信依据与必要依赖；撤销污染依据后隔离受影响字段及其依赖，再验证保留字段仍可独立成立。高度耦合或依据不可验证时允许整条隔离、重建，不能承诺永远只改一个字段。</w:t>
      </w:r>
    </w:p>
    <w:p w14:paraId="4226BA02">
      <w:r>
        <w:t>防御侧需要回答：①字段关系可由固定结构和系统日志确定到什么程度？②字段级修复后的整条经验是否仍满足语义一致性？③不依赖污染字段的部分是否确实可以复用？④相较记录级级联修复与整条重建，能否减少正常信息损失，同时不增加残余攻击？</w:t>
      </w:r>
    </w:p>
    <w:p w14:paraId="186B30B3">
      <w:r>
        <w:rPr>
          <w:b/>
        </w:rPr>
        <w:t>实验需要证明。</w:t>
      </w:r>
      <w:r>
        <w:t>构造来源完整但字段混合的模板，分别测试字段可分离、部分依赖及高度耦合情况。比较整条隔离、整条重建、只改目标字段、字段及依赖共同修复。测残余攻击成功率、正常字段保留率、正常任务成功率和验证成本。创新候选是经验证的细粒度修复，而非简单把记录切成若干列。</w:t>
      </w:r>
    </w:p>
    <w:p w14:paraId="6C901D45">
      <w:pPr>
        <w:pStyle w:val="3"/>
      </w:pPr>
      <w:r>
        <w:t>6.3 S10：父来源未声明时的保守修复与恢复</w:t>
      </w:r>
    </w:p>
    <w:p w14:paraId="2BE24C05">
      <w:r>
        <w:rPr>
          <w:b/>
        </w:rPr>
        <w:t>具体机制。</w:t>
      </w:r>
      <w:r>
        <w:t>污染资料被多个摘要或经验吸收，但系统只保留了结论，未保存全部父来源。原始资料被发现并撤销后，来源图只能定位部分派生物。其余污染可能继续被检索，也可能与正常内容一起混在疑似范围中，给修复带来漏修与误删的权衡。</w:t>
      </w:r>
    </w:p>
    <w:p w14:paraId="260113C3">
      <w:r>
        <w:rPr>
          <w:b/>
        </w:rPr>
        <w:t>攻击场景。</w:t>
      </w:r>
      <w:r>
        <w:t>攻击者仅进行最初投放，之后依赖正常摘要与记忆流程；不能删除审计日志或强制系统漏记来源。来源缺失程度由实际实现或受控实验设置产生。攻击者目标是旧派生污染在修复后仍影响指定任务，但缺失关系本身不是攻击成功。</w:t>
      </w:r>
    </w:p>
    <w:p w14:paraId="05609242">
      <w:r>
        <w:rPr>
          <w:b/>
        </w:rPr>
        <w:t>利用的系统薄弱点。</w:t>
      </w:r>
      <w:r>
        <w:t>精确级联依赖记录的来源边，未声明或丢失的边不会自动被纳入修复。MemoRepair 与 MemTX 已说明这一边界，不能把“来源不完整会漏修”再次作为主要发现；应研究约束下的恢复策略及其可测收益。[22][24]</w:t>
      </w:r>
    </w:p>
    <w:p w14:paraId="73831EFD">
      <w:r>
        <w:t>攻击／问题侧需要回答：①哪些来源关系缺失，哪些任务关联与时间日志仍可观察？②污染残余确实来自漏记依赖，还是内容被重新植入？③语义近似定位可以找到多少真派生物，又误标多少正常内容？④在有真实来源标注的受控环境下，能否估计不同缺失模式的风险？</w:t>
      </w:r>
    </w:p>
    <w:p w14:paraId="00508BAA">
      <w:r>
        <w:rPr>
          <w:b/>
        </w:rPr>
        <w:t>防御侧做什么。</w:t>
      </w:r>
      <w:r>
        <w:t>不训练来源追踪器，利用已有任务关联、访问日志、时间关系及内容关联标记疑似影响范围；将近似关系与可信记录分开，按动作风险和预算安排复核。必要时局部隔离，取得独立依据后恢复。不能假设能从任意改写文本准确恢复真实来源，也不能默认只剩“全清”与“放任”两个选项。</w:t>
      </w:r>
    </w:p>
    <w:p w14:paraId="0D939051">
      <w:r>
        <w:t>防御侧需要回答：①在给定日志条件下，哪些范围可以可靠排除，哪些只能标为疑似？②有限预算如何在漏修、误删和高风险动作之间分配？③来源无法恢复时，暂停复用与重新生成分别有什么代价？④保证依赖哪些日志与边界条件，超出条件时应如何报告不确定性？</w:t>
      </w:r>
    </w:p>
    <w:p w14:paraId="63BC5256">
      <w:r>
        <w:rPr>
          <w:b/>
        </w:rPr>
        <w:t>实验需要证明。</w:t>
      </w:r>
      <w:r>
        <w:t>在实验端保留真实来源用于评分，对方法端隐藏部分来源边，采用随机缺失与集中缺失等不同模式；真实图只供评价，不能暗中提供给方法。比较只修已知后代、语义近似定位、任务关联隔离、全量清除及完整图修复。测漏修率、误删率、残余攻击、正常任务表现与修复成本；部署中没有真实图时，不应声称已知全部残余风险。</w:t>
      </w:r>
    </w:p>
    <w:p w14:paraId="4B80F900">
      <w:pPr>
        <w:pStyle w:val="2"/>
      </w:pPr>
      <w:r>
        <w:t>七、方向六：非原子工具事件的经验污染</w:t>
      </w:r>
    </w:p>
    <w:p w14:paraId="11DF0A72">
      <w:pPr>
        <w:pStyle w:val="3"/>
      </w:pPr>
      <w:r>
        <w:t>7.1 已有论文做了什么</w:t>
      </w:r>
    </w:p>
    <w:p w14:paraId="59187518">
      <w:r>
        <w:t>（1）ReAct 将推理与行动交替组织，工具观察会参与后续判断；Reflexion 利用语言反馈与反思经验改进后续尝试。两者为“执行结果如何成为以后使用的经验”提供基础，但它们不是后门攻击论文。[12][13]</w:t>
      </w:r>
    </w:p>
    <w:p w14:paraId="04C20089">
      <w:r>
        <w:t>（2）Verified Tool Calls 研究超时、延迟可见、部分状态更新等非原子失败，提出后置条件验证、重试前核实和幂等键等轻量措施，以减少重复动作等可靠性问题。因此，不能把“工具返回失败但实际已执行”“重试造成重复动作”作为本方向独有的新发现。[45]</w:t>
      </w:r>
    </w:p>
    <w:p w14:paraId="17CC0C5A">
      <w:r>
        <w:t>拟研究的问题是：执行层已采取上述可靠性措施后，Agent 的反思与经验写入是否仍会被低信任解释误导，保存不受证据支持的通用规则。已有执行验证可能同时阻断这种污染；必须先测试，不能预先声称它只管执行、完全管不了记忆。</w:t>
      </w:r>
    </w:p>
    <w:p w14:paraId="323A49D1">
      <w:pPr>
        <w:pStyle w:val="3"/>
      </w:pPr>
      <w:r>
        <w:t>7.2 S11：执行状态误读导致错误成功经验</w:t>
      </w:r>
    </w:p>
    <w:p w14:paraId="0741A7C7">
      <w:r>
        <w:rPr>
          <w:b/>
        </w:rPr>
        <w:t>具体机制。</w:t>
      </w:r>
      <w:r>
        <w:t>工具出现部分完成、可重试错误或状态歧义，正常恢复后任务最终成功。攻击者影响低信任返回中的说明文本，使 Agent 把恢复成功错误归因于某种处理方式，再把它总结为普遍有效的经验。后续指定任务沿用该经验，可能产生错误处理。这里关键不是异常本身，而是“观察到一次成功”被转化为“这条通用处理规则是正确的”。</w:t>
      </w:r>
    </w:p>
    <w:p w14:paraId="2464976F">
      <w:r>
        <w:rPr>
          <w:b/>
        </w:rPr>
        <w:t>攻击者做什么。</w:t>
      </w:r>
      <w:r>
        <w:t>只控制一个低信任返回中的说明文本，不控制真实执行状态、可信后置条件查询或故障注入器。异常来自正常环境，或由实验环境为复现安排。若另行授予制造故障、篡改执行状态的能力，应作为更强威胁模型报告，不能悄悄加入基本假设。</w:t>
      </w:r>
    </w:p>
    <w:p w14:paraId="7E9BA647">
      <w:r>
        <w:rPr>
          <w:b/>
        </w:rPr>
        <w:t>利用的系统薄弱点。</w:t>
      </w:r>
      <w:r>
        <w:t>执行结果核验与经验资格验证没有清楚衔接；任务最终完成被误当作对文字解释及可迁移规则的证明。预期攻击效果是最初解释文本消失后，有害规则仍被保存，在后续指定条件下引发可重复偏移。如果只影响本次异常恢复，尚未形成持久后门。</w:t>
      </w:r>
    </w:p>
    <w:p w14:paraId="17A05437">
      <w:r>
        <w:t>攻击侧需要回答：①被污染的是执行结果、恢复原因解释，还是总结出的规则？②启用后置条件验证、重试前核实和幂等机制后，错误解释能否仍进入经验？③移除说明文本、替换为真实恢复依据后，后续偏移是否消失？④无异常时同一文本能否成功，异常是否确实构成机制条件？</w:t>
      </w:r>
    </w:p>
    <w:p w14:paraId="44522280">
      <w:r>
        <w:rPr>
          <w:b/>
        </w:rPr>
        <w:t>防御侧做什么。</w:t>
      </w:r>
      <w:r>
        <w:t>将可核验的执行事实、恢复过程和适用条件作为经验依据，区分事件记录与可迁移规则。一次操作最终成功可以证明该次结果，却不能独自证明某项处理策略在所有未来任务中正确。对解释缺乏支持的内容可以保留为待验证事件，而不授予普遍规则资格。</w:t>
      </w:r>
    </w:p>
    <w:p w14:paraId="56931FCB">
      <w:r>
        <w:t>防御侧需要回答：①现有执行日志能支持哪些事实，不能支持哪些因果解释？②何时只保存本次事件，何时允许规则进入可复用经验？③低信任说明与可信状态查询冲突时，如何处理总结？④这种经验接纳约束相较已有执行验证，是否确实降低残余攻击而不会明显损害正常恢复学习？</w:t>
      </w:r>
    </w:p>
    <w:p w14:paraId="2FD4A933">
      <w:r>
        <w:rPr>
          <w:b/>
        </w:rPr>
        <w:t>实验需要证明。</w:t>
      </w:r>
      <w:r>
        <w:t>分别设置无异常、异常但干净说明、异常加污染说明；在启用已有可靠性包装器的基础上，比较只验证执行、限制经验范围、执行与经验双重检查。记录当次任务完成、错误规则写入、后续攻击成功及正常经验保留。如果可靠性措施已经完全阻断，就应缩小或放弃独立攻击主张，不能靠撤掉已有措施制造创新。</w:t>
      </w:r>
    </w:p>
    <w:p w14:paraId="178D9122">
      <w:pPr>
        <w:pStyle w:val="2"/>
      </w:pPr>
      <w:r>
        <w:t>八、方向七：持久后门的因果判定</w:t>
      </w:r>
    </w:p>
    <w:p w14:paraId="2672B48B">
      <w:pPr>
        <w:pStyle w:val="3"/>
      </w:pPr>
      <w:r>
        <w:t>8.1 已有论文做了什么</w:t>
      </w:r>
    </w:p>
    <w:p w14:paraId="534B8F03">
      <w:r>
        <w:t>（1）Sleeper Agents 研究通过训练形成、并在安全训练后仍可能保留的条件性行为；SleeperNets 研究强化学习 Agent 的训练阶段后门。二者属于训练型历史背景，不能作为本项目推理时方法的直接实现，也不能用来证明推理时记忆机制存在同样效果。[48][8]</w:t>
      </w:r>
    </w:p>
    <w:p w14:paraId="467E2ECB">
      <w:r>
        <w:t>（2）Hidden in Memory 研究记忆中的休眠式污染，关注跨会话保留与后续触发。MemSecBench 沿写入、执行和遗忘链条评测，BackdoorAgent 从 Agent 工作流不同阶段组织后门风险。它们说明延迟触发、工作流阶段差异和修复评测均已有研究基础。[56][25][37]</w:t>
      </w:r>
    </w:p>
    <w:p w14:paraId="1703FFE0">
      <w:r>
        <w:t>拟研究的不是再次证明“污染可能持续”，而是检验观察到的持续效应究竟由哪些状态介导，以及状态之间是否共同起作用。不能预设已有论文已经误判；若未发现稳定归因问题，本方向就是其他课题共用的实验质量模块。</w:t>
      </w:r>
    </w:p>
    <w:p w14:paraId="7EAB7687">
      <w:pPr>
        <w:pStyle w:val="3"/>
      </w:pPr>
      <w:r>
        <w:t>8.2 S12：不同状态载体的配对干预评测</w:t>
      </w:r>
    </w:p>
    <w:p w14:paraId="0D782A58">
      <w:r>
        <w:rPr>
          <w:b/>
        </w:rPr>
        <w:t>具体机制。</w:t>
      </w:r>
      <w:r>
        <w:t>恶意文档已移除，后续任务仍出现攻击目标。但系统还可能保留向量记忆、会话摘要、计划快照或工具缓存。只清除其中一个部分，未必消除影响；清理后攻击消失，也可能是任务必需的正常信息被一并删除，导致 Agent 无法完成任何相关动作。</w:t>
      </w:r>
    </w:p>
    <w:p w14:paraId="3E78BB6E">
      <w:r>
        <w:t>这里的“攻击／问题侧”是评测挑战，不额外设计强攻击者。沿用其他子方向的一次植入与能力边界，研究它如何经过系统状态保留。摘要与缓存如果被合法跨会话保留，就是真实持久载体；不能因为它不是向量记忆就称其“假持久”。如果实际上继续沿用原对话上下文，报告应说明边界，而不是笼统声称跨会话后门。</w:t>
      </w:r>
    </w:p>
    <w:p w14:paraId="1B2E5E51">
      <w:r>
        <w:t>问题侧需要回答：①哪些状态在植入前后发生变化，并在评测时仍保留？②报告所声称的会话重置或记忆删除具体清理了什么？③移除某类状态后偏移下降，是否同时导致正常任务能力下降？④是否有单一载体足以触发，或者只有多个载体共同保留才触发？</w:t>
      </w:r>
    </w:p>
    <w:p w14:paraId="38CFBCD1">
      <w:r>
        <w:rPr>
          <w:b/>
        </w:rPr>
        <w:t>方法侧做什么。</w:t>
      </w:r>
      <w:r>
        <w:t>保存可配对的系统状态快照，从同一污染后状态出发，分别保留、清除或用干净版本替换短期上下文、持久记忆、计划与缓存。加入不改变关键内容的假操作对照，排除重启、重新序列化等操作本身的影响。对每组干预使用可比较的后续任务，测攻击与干净任务表现。</w:t>
      </w:r>
    </w:p>
    <w:p w14:paraId="428ABB74">
      <w:r>
        <w:t>方法侧需要回答：①能否在保持其他状态尽量可比的情况下改变目标载体？②干净替换如何保留任务需要的正常信息？③多个状态有关联时，单独替换会不会制造不一致，导致结果不能解释？④重复运行与状态组合比较能否支持“该载体参与了攻击”的结论，而不是仅记录相关性？</w:t>
      </w:r>
    </w:p>
    <w:p w14:paraId="09CA1577">
      <w:r>
        <w:rPr>
          <w:b/>
        </w:rPr>
        <w:t>实验需要证明。</w:t>
      </w:r>
      <w:r>
        <w:t>设置完整污染状态、单类载体清除、单类载体干净替换、多类共同替换、假操作和完整干净状态。报告每类干预下的攻击成功率、正常任务成功率及状态一致性检查。可先做有限组合，再针对疑似交互补实验，避免将硕士课题变成穷举所有状态的系统工程。</w:t>
      </w:r>
    </w:p>
    <w:p w14:paraId="3424A37A">
      <w:r>
        <w:rPr>
          <w:b/>
        </w:rPr>
        <w:t>成果定位。</w:t>
      </w:r>
      <w:r>
        <w:t>配对干预是归因协议，不自动等于一项部署防御。若多种攻击、多种环境中反复发现已有评测结论因状态边界而改变，再考虑独立评测论文；否则作为 S1—S11 的公共验证模块，提升攻击机制和防御效果的可信度。</w:t>
      </w:r>
    </w:p>
    <w:p w14:paraId="0D3AE708">
      <w:pPr>
        <w:pStyle w:val="2"/>
      </w:pPr>
      <w:r>
        <w:t>九、十二个子方向的共同边界与讨论要点</w:t>
      </w:r>
    </w:p>
    <w:p w14:paraId="4CF5140C">
      <w:pPr>
        <w:pStyle w:val="3"/>
      </w:pPr>
      <w:r>
        <w:t>9.1 各方向到底在研究哪一步</w:t>
      </w:r>
    </w:p>
    <w:tbl>
      <w:tblPr>
        <w:tblStyle w:val="5"/>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90" w:type="dxa"/>
          <w:left w:w="90" w:type="dxa"/>
          <w:bottom w:w="90" w:type="dxa"/>
          <w:right w:w="90" w:type="dxa"/>
        </w:tblCellMar>
      </w:tblPr>
      <w:tblGrid>
        <w:gridCol w:w="1800"/>
        <w:gridCol w:w="1800"/>
        <w:gridCol w:w="1800"/>
        <w:gridCol w:w="1800"/>
        <w:gridCol w:w="1800"/>
      </w:tblGrid>
      <w:tr w14:paraId="044B54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blHeader/>
        </w:trPr>
        <w:tc>
          <w:tcPr>
            <w:tcW w:w="1800" w:type="dxa"/>
            <w:shd w:val="clear" w:color="auto" w:fill="DCE6F1"/>
          </w:tcPr>
          <w:p w14:paraId="007371C6">
            <w:pPr>
              <w:pStyle w:val="7"/>
            </w:pPr>
            <w:r>
              <w:rPr>
                <w:b/>
              </w:rPr>
              <w:t>子方向</w:t>
            </w:r>
          </w:p>
        </w:tc>
        <w:tc>
          <w:tcPr>
            <w:tcW w:w="1800" w:type="dxa"/>
            <w:shd w:val="clear" w:color="auto" w:fill="DCE6F1"/>
          </w:tcPr>
          <w:p w14:paraId="6F8DB132">
            <w:pPr>
              <w:pStyle w:val="7"/>
            </w:pPr>
            <w:r>
              <w:rPr>
                <w:b/>
              </w:rPr>
              <w:t>污染如何进入或保留</w:t>
            </w:r>
          </w:p>
        </w:tc>
        <w:tc>
          <w:tcPr>
            <w:tcW w:w="1800" w:type="dxa"/>
            <w:shd w:val="clear" w:color="auto" w:fill="DCE6F1"/>
          </w:tcPr>
          <w:p w14:paraId="3DCDD853">
            <w:pPr>
              <w:pStyle w:val="7"/>
            </w:pPr>
            <w:r>
              <w:rPr>
                <w:b/>
              </w:rPr>
              <w:t>主要薄弱点</w:t>
            </w:r>
          </w:p>
        </w:tc>
        <w:tc>
          <w:tcPr>
            <w:tcW w:w="1800" w:type="dxa"/>
            <w:shd w:val="clear" w:color="auto" w:fill="DCE6F1"/>
          </w:tcPr>
          <w:p w14:paraId="776AE67C">
            <w:pPr>
              <w:pStyle w:val="7"/>
            </w:pPr>
            <w:r>
              <w:rPr>
                <w:b/>
              </w:rPr>
              <w:t>要观察的后果</w:t>
            </w:r>
          </w:p>
        </w:tc>
        <w:tc>
          <w:tcPr>
            <w:tcW w:w="1800" w:type="dxa"/>
            <w:shd w:val="clear" w:color="auto" w:fill="DCE6F1"/>
          </w:tcPr>
          <w:p w14:paraId="2A0059F2">
            <w:pPr>
              <w:pStyle w:val="7"/>
            </w:pPr>
            <w:r>
              <w:rPr>
                <w:b/>
              </w:rPr>
              <w:t>优先定位</w:t>
            </w:r>
          </w:p>
        </w:tc>
      </w:tr>
      <w:tr w14:paraId="3471E1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1800" w:type="dxa"/>
          </w:tcPr>
          <w:p w14:paraId="0E76BBF2">
            <w:pPr>
              <w:pStyle w:val="7"/>
            </w:pPr>
            <w:r>
              <w:t>S1</w:t>
            </w:r>
          </w:p>
        </w:tc>
        <w:tc>
          <w:tcPr>
            <w:tcW w:w="1800" w:type="dxa"/>
          </w:tcPr>
          <w:p w14:paraId="11D70951">
            <w:pPr>
              <w:pStyle w:val="7"/>
            </w:pPr>
            <w:r>
              <w:t>一次工具返回的另一个表示被写入</w:t>
            </w:r>
          </w:p>
        </w:tc>
        <w:tc>
          <w:tcPr>
            <w:tcW w:w="1800" w:type="dxa"/>
          </w:tcPr>
          <w:p w14:paraId="3E1DFC1F">
            <w:pPr>
              <w:pStyle w:val="7"/>
            </w:pPr>
            <w:r>
              <w:t>审核范围与消费范围不一致</w:t>
            </w:r>
          </w:p>
        </w:tc>
        <w:tc>
          <w:tcPr>
            <w:tcW w:w="1800" w:type="dxa"/>
          </w:tcPr>
          <w:p w14:paraId="34B1D65B">
            <w:pPr>
              <w:pStyle w:val="7"/>
            </w:pPr>
            <w:r>
              <w:t>后续干净会话定向偏移</w:t>
            </w:r>
          </w:p>
        </w:tc>
        <w:tc>
          <w:tcPr>
            <w:tcW w:w="1800" w:type="dxa"/>
          </w:tcPr>
          <w:p w14:paraId="4E7B844C">
            <w:pPr>
              <w:pStyle w:val="7"/>
            </w:pPr>
            <w:r>
              <w:t>攻防结合</w:t>
            </w:r>
          </w:p>
        </w:tc>
      </w:tr>
      <w:tr w14:paraId="7A2435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1800" w:type="dxa"/>
          </w:tcPr>
          <w:p w14:paraId="2D1108A6">
            <w:pPr>
              <w:pStyle w:val="7"/>
            </w:pPr>
            <w:r>
              <w:t>S2</w:t>
            </w:r>
          </w:p>
        </w:tc>
        <w:tc>
          <w:tcPr>
            <w:tcW w:w="1800" w:type="dxa"/>
          </w:tcPr>
          <w:p w14:paraId="4DFC4BB6">
            <w:pPr>
              <w:pStyle w:val="7"/>
            </w:pPr>
            <w:r>
              <w:t>归档后合法流程改用此前未消费字段</w:t>
            </w:r>
          </w:p>
        </w:tc>
        <w:tc>
          <w:tcPr>
            <w:tcW w:w="1800" w:type="dxa"/>
          </w:tcPr>
          <w:p w14:paraId="3BD4FB04">
            <w:pPr>
              <w:pStyle w:val="7"/>
            </w:pPr>
            <w:r>
              <w:t>旧审核结论覆盖不到新增消费</w:t>
            </w:r>
          </w:p>
        </w:tc>
        <w:tc>
          <w:tcPr>
            <w:tcW w:w="1800" w:type="dxa"/>
          </w:tcPr>
          <w:p w14:paraId="22D21F84">
            <w:pPr>
              <w:pStyle w:val="7"/>
            </w:pPr>
            <w:r>
              <w:t>切换后才形成或使用污染记忆</w:t>
            </w:r>
          </w:p>
        </w:tc>
        <w:tc>
          <w:tcPr>
            <w:tcW w:w="1800" w:type="dxa"/>
          </w:tcPr>
          <w:p w14:paraId="59B89A35">
            <w:pPr>
              <w:pStyle w:val="7"/>
            </w:pPr>
            <w:r>
              <w:t>S1 扩展</w:t>
            </w:r>
          </w:p>
        </w:tc>
      </w:tr>
      <w:tr w14:paraId="0324D3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1800" w:type="dxa"/>
          </w:tcPr>
          <w:p w14:paraId="6ACCA39D">
            <w:pPr>
              <w:pStyle w:val="7"/>
            </w:pPr>
            <w:r>
              <w:t>S3</w:t>
            </w:r>
          </w:p>
        </w:tc>
        <w:tc>
          <w:tcPr>
            <w:tcW w:w="1800" w:type="dxa"/>
          </w:tcPr>
          <w:p w14:paraId="5463BBF8">
            <w:pPr>
              <w:pStyle w:val="7"/>
            </w:pPr>
            <w:r>
              <w:t>同源任务正常重试，重新生成记忆</w:t>
            </w:r>
          </w:p>
        </w:tc>
        <w:tc>
          <w:tcPr>
            <w:tcW w:w="1800" w:type="dxa"/>
          </w:tcPr>
          <w:p w14:paraId="445A396B">
            <w:pPr>
              <w:pStyle w:val="7"/>
            </w:pPr>
            <w:r>
              <w:t>失效约束不随新实例继承</w:t>
            </w:r>
          </w:p>
        </w:tc>
        <w:tc>
          <w:tcPr>
            <w:tcW w:w="1800" w:type="dxa"/>
          </w:tcPr>
          <w:p w14:paraId="531FE002">
            <w:pPr>
              <w:pStyle w:val="7"/>
            </w:pPr>
            <w:r>
              <w:t>撤销后攻击恢复</w:t>
            </w:r>
          </w:p>
        </w:tc>
        <w:tc>
          <w:tcPr>
            <w:tcW w:w="1800" w:type="dxa"/>
          </w:tcPr>
          <w:p w14:paraId="03849680">
            <w:pPr>
              <w:pStyle w:val="7"/>
            </w:pPr>
            <w:r>
              <w:t>攻防结合</w:t>
            </w:r>
          </w:p>
        </w:tc>
      </w:tr>
      <w:tr w14:paraId="3DF04F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1800" w:type="dxa"/>
          </w:tcPr>
          <w:p w14:paraId="6356602D">
            <w:pPr>
              <w:pStyle w:val="7"/>
            </w:pPr>
            <w:r>
              <w:t>S4</w:t>
            </w:r>
          </w:p>
        </w:tc>
        <w:tc>
          <w:tcPr>
            <w:tcW w:w="1800" w:type="dxa"/>
          </w:tcPr>
          <w:p w14:paraId="7AF1A00A">
            <w:pPr>
              <w:pStyle w:val="7"/>
            </w:pPr>
            <w:r>
              <w:t>未修复伙伴经正常协作再发送旧派生物</w:t>
            </w:r>
          </w:p>
        </w:tc>
        <w:tc>
          <w:tcPr>
            <w:tcW w:w="1800" w:type="dxa"/>
          </w:tcPr>
          <w:p w14:paraId="78E9CF9C">
            <w:pPr>
              <w:pStyle w:val="7"/>
            </w:pPr>
            <w:r>
              <w:t>本地修复与入站接纳边界脱节</w:t>
            </w:r>
          </w:p>
        </w:tc>
        <w:tc>
          <w:tcPr>
            <w:tcW w:w="1800" w:type="dxa"/>
          </w:tcPr>
          <w:p w14:paraId="1A4E01E1">
            <w:pPr>
              <w:pStyle w:val="7"/>
            </w:pPr>
            <w:r>
              <w:t>已修复 Agent 再感染</w:t>
            </w:r>
          </w:p>
        </w:tc>
        <w:tc>
          <w:tcPr>
            <w:tcW w:w="1800" w:type="dxa"/>
          </w:tcPr>
          <w:p w14:paraId="3C16FC66">
            <w:pPr>
              <w:pStyle w:val="7"/>
            </w:pPr>
            <w:r>
              <w:t>攻防结合</w:t>
            </w:r>
          </w:p>
        </w:tc>
      </w:tr>
      <w:tr w14:paraId="0F931C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1800" w:type="dxa"/>
          </w:tcPr>
          <w:p w14:paraId="6DED2F77">
            <w:pPr>
              <w:pStyle w:val="7"/>
            </w:pPr>
            <w:r>
              <w:t>S5</w:t>
            </w:r>
          </w:p>
        </w:tc>
        <w:tc>
          <w:tcPr>
            <w:tcW w:w="1800" w:type="dxa"/>
          </w:tcPr>
          <w:p w14:paraId="58EC08FF">
            <w:pPr>
              <w:pStyle w:val="7"/>
            </w:pPr>
            <w:r>
              <w:t>已接纳规则保留，部分佐证失效</w:t>
            </w:r>
          </w:p>
        </w:tc>
        <w:tc>
          <w:tcPr>
            <w:tcW w:w="1800" w:type="dxa"/>
          </w:tcPr>
          <w:p w14:paraId="43BF3F41">
            <w:pPr>
              <w:pStyle w:val="7"/>
            </w:pPr>
            <w:r>
              <w:t>证据资格没有动态更新</w:t>
            </w:r>
          </w:p>
        </w:tc>
        <w:tc>
          <w:tcPr>
            <w:tcW w:w="1800" w:type="dxa"/>
          </w:tcPr>
          <w:p w14:paraId="24310D78">
            <w:pPr>
              <w:pStyle w:val="7"/>
            </w:pPr>
            <w:r>
              <w:t>支持不足规则继续影响行动</w:t>
            </w:r>
          </w:p>
        </w:tc>
        <w:tc>
          <w:tcPr>
            <w:tcW w:w="1800" w:type="dxa"/>
          </w:tcPr>
          <w:p w14:paraId="3E0DC04C">
            <w:pPr>
              <w:pStyle w:val="7"/>
            </w:pPr>
            <w:r>
              <w:t>防御为主</w:t>
            </w:r>
          </w:p>
        </w:tc>
      </w:tr>
      <w:tr w14:paraId="163C64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1800" w:type="dxa"/>
          </w:tcPr>
          <w:p w14:paraId="72BA6E97">
            <w:pPr>
              <w:pStyle w:val="7"/>
            </w:pPr>
            <w:r>
              <w:t>S6</w:t>
            </w:r>
          </w:p>
        </w:tc>
        <w:tc>
          <w:tcPr>
            <w:tcW w:w="1800" w:type="dxa"/>
          </w:tcPr>
          <w:p w14:paraId="07D1AE9F">
            <w:pPr>
              <w:pStyle w:val="7"/>
            </w:pPr>
            <w:r>
              <w:t>同源误拆或独立来源误合并后被更正</w:t>
            </w:r>
          </w:p>
        </w:tc>
        <w:tc>
          <w:tcPr>
            <w:tcW w:w="1800" w:type="dxa"/>
          </w:tcPr>
          <w:p w14:paraId="37205C49">
            <w:pPr>
              <w:pStyle w:val="7"/>
            </w:pPr>
            <w:r>
              <w:t>身份变化没有回溯到接纳决定</w:t>
            </w:r>
          </w:p>
        </w:tc>
        <w:tc>
          <w:tcPr>
            <w:tcW w:w="1800" w:type="dxa"/>
          </w:tcPr>
          <w:p w14:paraId="067C6B86">
            <w:pPr>
              <w:pStyle w:val="7"/>
            </w:pPr>
            <w:r>
              <w:t>错误资格及派生影响持续</w:t>
            </w:r>
          </w:p>
        </w:tc>
        <w:tc>
          <w:tcPr>
            <w:tcW w:w="1800" w:type="dxa"/>
          </w:tcPr>
          <w:p w14:paraId="4365BA95">
            <w:pPr>
              <w:pStyle w:val="7"/>
            </w:pPr>
            <w:r>
              <w:t>防御为主</w:t>
            </w:r>
          </w:p>
        </w:tc>
      </w:tr>
      <w:tr w14:paraId="7F57AE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1800" w:type="dxa"/>
          </w:tcPr>
          <w:p w14:paraId="5D27E550">
            <w:pPr>
              <w:pStyle w:val="7"/>
            </w:pPr>
            <w:r>
              <w:t>S7</w:t>
            </w:r>
          </w:p>
        </w:tc>
        <w:tc>
          <w:tcPr>
            <w:tcW w:w="1800" w:type="dxa"/>
          </w:tcPr>
          <w:p w14:paraId="705F6822">
            <w:pPr>
              <w:pStyle w:val="7"/>
            </w:pPr>
            <w:r>
              <w:t>局部正确经验合并成更广规则</w:t>
            </w:r>
          </w:p>
        </w:tc>
        <w:tc>
          <w:tcPr>
            <w:tcW w:w="1800" w:type="dxa"/>
          </w:tcPr>
          <w:p w14:paraId="2527E016">
            <w:pPr>
              <w:pStyle w:val="7"/>
            </w:pPr>
            <w:r>
              <w:t>必要前提在合并时丢失</w:t>
            </w:r>
          </w:p>
        </w:tc>
        <w:tc>
          <w:tcPr>
            <w:tcW w:w="1800" w:type="dxa"/>
          </w:tcPr>
          <w:p w14:paraId="04A505D6">
            <w:pPr>
              <w:pStyle w:val="7"/>
            </w:pPr>
            <w:r>
              <w:t>特定组合在目标条件下偏移</w:t>
            </w:r>
          </w:p>
        </w:tc>
        <w:tc>
          <w:tcPr>
            <w:tcW w:w="1800" w:type="dxa"/>
          </w:tcPr>
          <w:p w14:paraId="22E9ECC2">
            <w:pPr>
              <w:pStyle w:val="7"/>
            </w:pPr>
            <w:r>
              <w:t>攻防结合</w:t>
            </w:r>
          </w:p>
        </w:tc>
      </w:tr>
      <w:tr w14:paraId="02A7EFC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1800" w:type="dxa"/>
          </w:tcPr>
          <w:p w14:paraId="277C5739">
            <w:pPr>
              <w:pStyle w:val="7"/>
            </w:pPr>
            <w:r>
              <w:t>S8</w:t>
            </w:r>
          </w:p>
        </w:tc>
        <w:tc>
          <w:tcPr>
            <w:tcW w:w="1800" w:type="dxa"/>
          </w:tcPr>
          <w:p w14:paraId="1372BB34">
            <w:pPr>
              <w:pStyle w:val="7"/>
            </w:pPr>
            <w:r>
              <w:t>旧经验在新任务边界下被复用</w:t>
            </w:r>
          </w:p>
        </w:tc>
        <w:tc>
          <w:tcPr>
            <w:tcW w:w="1800" w:type="dxa"/>
          </w:tcPr>
          <w:p w14:paraId="5474BBF7">
            <w:pPr>
              <w:pStyle w:val="7"/>
            </w:pPr>
            <w:r>
              <w:t>经验前提未与当前契约匹配</w:t>
            </w:r>
          </w:p>
        </w:tc>
        <w:tc>
          <w:tcPr>
            <w:tcW w:w="1800" w:type="dxa"/>
          </w:tcPr>
          <w:p w14:paraId="42C5837E">
            <w:pPr>
              <w:pStyle w:val="7"/>
            </w:pPr>
            <w:r>
              <w:t>新规则下定向违规</w:t>
            </w:r>
          </w:p>
        </w:tc>
        <w:tc>
          <w:tcPr>
            <w:tcW w:w="1800" w:type="dxa"/>
          </w:tcPr>
          <w:p w14:paraId="519B8E9F">
            <w:pPr>
              <w:pStyle w:val="7"/>
            </w:pPr>
            <w:r>
              <w:t>攻防结合</w:t>
            </w:r>
          </w:p>
        </w:tc>
      </w:tr>
      <w:tr w14:paraId="46C365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1800" w:type="dxa"/>
          </w:tcPr>
          <w:p w14:paraId="2025CFD0">
            <w:pPr>
              <w:pStyle w:val="7"/>
            </w:pPr>
            <w:r>
              <w:t>S9</w:t>
            </w:r>
          </w:p>
        </w:tc>
        <w:tc>
          <w:tcPr>
            <w:tcW w:w="1800" w:type="dxa"/>
          </w:tcPr>
          <w:p w14:paraId="084FF285">
            <w:pPr>
              <w:pStyle w:val="7"/>
            </w:pPr>
            <w:r>
              <w:t>结构化经验内混合可靠与污染字段</w:t>
            </w:r>
          </w:p>
        </w:tc>
        <w:tc>
          <w:tcPr>
            <w:tcW w:w="1800" w:type="dxa"/>
          </w:tcPr>
          <w:p w14:paraId="5074CDDF">
            <w:pPr>
              <w:pStyle w:val="7"/>
            </w:pPr>
            <w:r>
              <w:t>修复粒度与依赖粒度不匹配</w:t>
            </w:r>
          </w:p>
        </w:tc>
        <w:tc>
          <w:tcPr>
            <w:tcW w:w="1800" w:type="dxa"/>
          </w:tcPr>
          <w:p w14:paraId="3ADDA393">
            <w:pPr>
              <w:pStyle w:val="7"/>
            </w:pPr>
            <w:r>
              <w:t>漏修或过度丢失正常信息</w:t>
            </w:r>
          </w:p>
        </w:tc>
        <w:tc>
          <w:tcPr>
            <w:tcW w:w="1800" w:type="dxa"/>
          </w:tcPr>
          <w:p w14:paraId="3D46FD65">
            <w:pPr>
              <w:pStyle w:val="7"/>
            </w:pPr>
            <w:r>
              <w:t>防御为主</w:t>
            </w:r>
          </w:p>
        </w:tc>
      </w:tr>
      <w:tr w14:paraId="68FCF1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1800" w:type="dxa"/>
          </w:tcPr>
          <w:p w14:paraId="01B7E2F3">
            <w:pPr>
              <w:pStyle w:val="7"/>
            </w:pPr>
            <w:r>
              <w:t>S10</w:t>
            </w:r>
          </w:p>
        </w:tc>
        <w:tc>
          <w:tcPr>
            <w:tcW w:w="1800" w:type="dxa"/>
          </w:tcPr>
          <w:p w14:paraId="4800D92D">
            <w:pPr>
              <w:pStyle w:val="7"/>
            </w:pPr>
            <w:r>
              <w:t>摘要保留污染，父来源不完整</w:t>
            </w:r>
          </w:p>
        </w:tc>
        <w:tc>
          <w:tcPr>
            <w:tcW w:w="1800" w:type="dxa"/>
          </w:tcPr>
          <w:p w14:paraId="618035C2">
            <w:pPr>
              <w:pStyle w:val="7"/>
            </w:pPr>
            <w:r>
              <w:t>真实影响范围无法精确定位</w:t>
            </w:r>
          </w:p>
        </w:tc>
        <w:tc>
          <w:tcPr>
            <w:tcW w:w="1800" w:type="dxa"/>
          </w:tcPr>
          <w:p w14:paraId="71FE0766">
            <w:pPr>
              <w:pStyle w:val="7"/>
            </w:pPr>
            <w:r>
              <w:t>修复后仍有残余攻击</w:t>
            </w:r>
          </w:p>
        </w:tc>
        <w:tc>
          <w:tcPr>
            <w:tcW w:w="1800" w:type="dxa"/>
          </w:tcPr>
          <w:p w14:paraId="165AD4EE">
            <w:pPr>
              <w:pStyle w:val="7"/>
            </w:pPr>
            <w:r>
              <w:t>防御为主</w:t>
            </w:r>
          </w:p>
        </w:tc>
      </w:tr>
      <w:tr w14:paraId="3B8C487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1800" w:type="dxa"/>
          </w:tcPr>
          <w:p w14:paraId="48DDE437">
            <w:pPr>
              <w:pStyle w:val="7"/>
            </w:pPr>
            <w:r>
              <w:t>S11</w:t>
            </w:r>
          </w:p>
        </w:tc>
        <w:tc>
          <w:tcPr>
            <w:tcW w:w="1800" w:type="dxa"/>
          </w:tcPr>
          <w:p w14:paraId="746656B3">
            <w:pPr>
              <w:pStyle w:val="7"/>
            </w:pPr>
            <w:r>
              <w:t>异常恢复的错误解释被总结为规则</w:t>
            </w:r>
          </w:p>
        </w:tc>
        <w:tc>
          <w:tcPr>
            <w:tcW w:w="1800" w:type="dxa"/>
          </w:tcPr>
          <w:p w14:paraId="16A89C6C">
            <w:pPr>
              <w:pStyle w:val="7"/>
            </w:pPr>
            <w:r>
              <w:t>事件成功被误当作通用规则证明</w:t>
            </w:r>
          </w:p>
        </w:tc>
        <w:tc>
          <w:tcPr>
            <w:tcW w:w="1800" w:type="dxa"/>
          </w:tcPr>
          <w:p w14:paraId="3D3B1FCF">
            <w:pPr>
              <w:pStyle w:val="7"/>
            </w:pPr>
            <w:r>
              <w:t>后续任务沿用有害经验</w:t>
            </w:r>
          </w:p>
        </w:tc>
        <w:tc>
          <w:tcPr>
            <w:tcW w:w="1800" w:type="dxa"/>
          </w:tcPr>
          <w:p w14:paraId="168FC5DE">
            <w:pPr>
              <w:pStyle w:val="7"/>
            </w:pPr>
            <w:r>
              <w:t>攻防结合</w:t>
            </w:r>
          </w:p>
        </w:tc>
      </w:tr>
      <w:tr w14:paraId="4B3391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1800" w:type="dxa"/>
          </w:tcPr>
          <w:p w14:paraId="09260690">
            <w:pPr>
              <w:pStyle w:val="7"/>
            </w:pPr>
            <w:r>
              <w:t>S12</w:t>
            </w:r>
          </w:p>
        </w:tc>
        <w:tc>
          <w:tcPr>
            <w:tcW w:w="1800" w:type="dxa"/>
          </w:tcPr>
          <w:p w14:paraId="2689F6AE">
            <w:pPr>
              <w:pStyle w:val="7"/>
            </w:pPr>
            <w:r>
              <w:t>多种状态保留同一植入影响</w:t>
            </w:r>
          </w:p>
        </w:tc>
        <w:tc>
          <w:tcPr>
            <w:tcW w:w="1800" w:type="dxa"/>
          </w:tcPr>
          <w:p w14:paraId="3AE6EF73">
            <w:pPr>
              <w:pStyle w:val="7"/>
            </w:pPr>
            <w:r>
              <w:t>评测干预与状态边界不清</w:t>
            </w:r>
          </w:p>
        </w:tc>
        <w:tc>
          <w:tcPr>
            <w:tcW w:w="1800" w:type="dxa"/>
          </w:tcPr>
          <w:p w14:paraId="3BF2588D">
            <w:pPr>
              <w:pStyle w:val="7"/>
            </w:pPr>
            <w:r>
              <w:t>无法准确解释持久效应来源</w:t>
            </w:r>
          </w:p>
        </w:tc>
        <w:tc>
          <w:tcPr>
            <w:tcW w:w="1800" w:type="dxa"/>
          </w:tcPr>
          <w:p w14:paraId="26DABB90">
            <w:pPr>
              <w:pStyle w:val="7"/>
            </w:pPr>
            <w:r>
              <w:t>公共评测模块</w:t>
            </w:r>
          </w:p>
        </w:tc>
      </w:tr>
    </w:tbl>
    <w:p w14:paraId="54E8A409">
      <w:pPr>
        <w:pStyle w:val="3"/>
      </w:pPr>
      <w:r>
        <w:t>9.2 “可信来源信息”不能只是记忆正文的一句话</w:t>
      </w:r>
    </w:p>
    <w:p w14:paraId="713542F9">
      <w:r>
        <w:t>各方向多次提到来源、任务关联与版本信息。可信的意思是由受信任的系统组件记录、绑定实际输入，且攻击者在威胁模型中不能改写它。正文中自称“来自可信文档”“已经撤销检查”只是低信任内容的一部分。元数据可否被伪造、是否随摘要或跨 Agent 消息传播，必须在实验中明确。</w:t>
      </w:r>
    </w:p>
    <w:p w14:paraId="79E06DDE">
      <w:r>
        <w:t>若这些可信信息本来不存在，不能事后声称方法已准确恢复来源；应区分已有确定关系、近似候选关系和完全未知。未知条件下保守处理可以降低风险，但需要报告误拒绝、能力损失与剩余不确定性。</w:t>
      </w:r>
    </w:p>
    <w:p w14:paraId="505223A7">
      <w:pPr>
        <w:pStyle w:val="3"/>
      </w:pPr>
      <w:r>
        <w:t>9.3 每篇候选论文都要完成的最小证据链</w:t>
      </w:r>
    </w:p>
    <w:p w14:paraId="2FBEF3F0">
      <w:r>
        <w:t>第一，记录初次植入与实际控制面，证明攻击者没有超出假设。第二，追踪污染进入哪种保留状态，避免只观察最终回答。第三，在停止新攻击输入后运行指定触发任务，同时设置非触发正常任务。第四，用清除、干净替换或阻断关键路径的对照，证明机制。第五，在相关已有防御启用后测试增量，不只与无防御系统比较。</w:t>
      </w:r>
    </w:p>
    <w:p w14:paraId="155A1A61">
      <w:r>
        <w:t>攻击成功率的分母须写清：所有投放尝试、成功植入的尝试，还是外部事件确实发生的尝试。整体成功率与“已植入后的条件成功率”宜分别报告。正常任务成功率用来判断方法是否只是让 Agent 无法工作；误报率需要基于明确的正常样本集合。修复方向还应同时报告残余攻击与正常信息损失，不能只报删掉了多少条记忆。</w:t>
      </w:r>
    </w:p>
    <w:p w14:paraId="6FEAC673">
      <w:pPr>
        <w:pStyle w:val="3"/>
      </w:pPr>
      <w:r>
        <w:t>9.4 选题时应检查的最近邻</w:t>
      </w:r>
    </w:p>
    <w:tbl>
      <w:tblPr>
        <w:tblStyle w:val="5"/>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90" w:type="dxa"/>
          <w:left w:w="90" w:type="dxa"/>
          <w:bottom w:w="90" w:type="dxa"/>
          <w:right w:w="90" w:type="dxa"/>
        </w:tblCellMar>
      </w:tblPr>
      <w:tblGrid>
        <w:gridCol w:w="3000"/>
        <w:gridCol w:w="3000"/>
        <w:gridCol w:w="3000"/>
      </w:tblGrid>
      <w:tr w14:paraId="55E62D0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blHeader/>
        </w:trPr>
        <w:tc>
          <w:tcPr>
            <w:tcW w:w="3000" w:type="dxa"/>
            <w:shd w:val="clear" w:color="auto" w:fill="DCE6F1"/>
          </w:tcPr>
          <w:p w14:paraId="049EF33D">
            <w:pPr>
              <w:pStyle w:val="7"/>
            </w:pPr>
            <w:r>
              <w:rPr>
                <w:b/>
              </w:rPr>
              <w:t>候选</w:t>
            </w:r>
          </w:p>
        </w:tc>
        <w:tc>
          <w:tcPr>
            <w:tcW w:w="3000" w:type="dxa"/>
            <w:shd w:val="clear" w:color="auto" w:fill="DCE6F1"/>
          </w:tcPr>
          <w:p w14:paraId="063DBED0">
            <w:pPr>
              <w:pStyle w:val="7"/>
            </w:pPr>
            <w:r>
              <w:rPr>
                <w:b/>
              </w:rPr>
              <w:t>最近邻与必须检查的重合</w:t>
            </w:r>
          </w:p>
        </w:tc>
        <w:tc>
          <w:tcPr>
            <w:tcW w:w="3000" w:type="dxa"/>
            <w:shd w:val="clear" w:color="auto" w:fill="DCE6F1"/>
          </w:tcPr>
          <w:p w14:paraId="7BE338BF">
            <w:pPr>
              <w:pStyle w:val="7"/>
            </w:pPr>
            <w:r>
              <w:rPr>
                <w:b/>
              </w:rPr>
              <w:t>若重合较大，如何收缩</w:t>
            </w:r>
          </w:p>
        </w:tc>
      </w:tr>
      <w:tr w14:paraId="0FB572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67D060CF">
            <w:pPr>
              <w:pStyle w:val="7"/>
            </w:pPr>
            <w:r>
              <w:t>S1、S2</w:t>
            </w:r>
          </w:p>
        </w:tc>
        <w:tc>
          <w:tcPr>
            <w:tcW w:w="3000" w:type="dxa"/>
          </w:tcPr>
          <w:p w14:paraId="1FF96E87">
            <w:pPr>
              <w:pStyle w:val="7"/>
            </w:pPr>
            <w:r>
              <w:t>GhostSplice 跨通道信任、ShieldMCP 运行时检查</w:t>
            </w:r>
          </w:p>
        </w:tc>
        <w:tc>
          <w:tcPr>
            <w:tcW w:w="3000" w:type="dxa"/>
          </w:tcPr>
          <w:p w14:paraId="5799F7BC">
            <w:pPr>
              <w:pStyle w:val="7"/>
            </w:pPr>
            <w:r>
              <w:t>锁定同一次结果的审核与持久写入错配；S2 合并为消融</w:t>
            </w:r>
          </w:p>
        </w:tc>
      </w:tr>
      <w:tr w14:paraId="7C1A40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6E9D6DC8">
            <w:pPr>
              <w:pStyle w:val="7"/>
            </w:pPr>
            <w:r>
              <w:t>S3</w:t>
            </w:r>
          </w:p>
        </w:tc>
        <w:tc>
          <w:tcPr>
            <w:tcW w:w="3000" w:type="dxa"/>
          </w:tcPr>
          <w:p w14:paraId="31593E95">
            <w:pPr>
              <w:pStyle w:val="7"/>
            </w:pPr>
            <w:r>
              <w:t>MemTX 跨事务重试、Revoked 派生决定写回新记录</w:t>
            </w:r>
          </w:p>
        </w:tc>
        <w:tc>
          <w:tcPr>
            <w:tcW w:w="3000" w:type="dxa"/>
          </w:tcPr>
          <w:p w14:paraId="6FCBB51A">
            <w:pPr>
              <w:pStyle w:val="7"/>
            </w:pPr>
            <w:r>
              <w:t>不重复发现边界，验证弱攻击假设并研究最小可信失效继承</w:t>
            </w:r>
          </w:p>
        </w:tc>
      </w:tr>
      <w:tr w14:paraId="728026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65FC20F6">
            <w:pPr>
              <w:pStyle w:val="7"/>
            </w:pPr>
            <w:r>
              <w:t>S4</w:t>
            </w:r>
          </w:p>
        </w:tc>
        <w:tc>
          <w:tcPr>
            <w:tcW w:w="3000" w:type="dxa"/>
          </w:tcPr>
          <w:p w14:paraId="36425E70">
            <w:pPr>
              <w:pStyle w:val="7"/>
            </w:pPr>
            <w:r>
              <w:t>Prompt Infection 传播、Revoked 共享记忆传播、MemoRepair 及 TMA-NM 来源约束</w:t>
            </w:r>
          </w:p>
        </w:tc>
        <w:tc>
          <w:tcPr>
            <w:tcW w:w="3000" w:type="dxa"/>
          </w:tcPr>
          <w:p w14:paraId="0003BB63">
            <w:pPr>
              <w:pStyle w:val="7"/>
            </w:pPr>
            <w:r>
              <w:t>锁定已经修复的接收方、边界外旧派生物、无新投放、有限元数据再接纳</w:t>
            </w:r>
          </w:p>
        </w:tc>
      </w:tr>
      <w:tr w14:paraId="04FCE1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29DC6F97">
            <w:pPr>
              <w:pStyle w:val="7"/>
            </w:pPr>
            <w:r>
              <w:t>S5、S6</w:t>
            </w:r>
          </w:p>
        </w:tc>
        <w:tc>
          <w:tcPr>
            <w:tcW w:w="3000" w:type="dxa"/>
          </w:tcPr>
          <w:p w14:paraId="1F1EA662">
            <w:pPr>
              <w:pStyle w:val="7"/>
            </w:pPr>
            <w:r>
              <w:t>TMA-NM 佐证、CPB 来源相关性、Selective Revalidation</w:t>
            </w:r>
          </w:p>
        </w:tc>
        <w:tc>
          <w:tcPr>
            <w:tcW w:w="3000" w:type="dxa"/>
          </w:tcPr>
          <w:p w14:paraId="6D5692DB">
            <w:pPr>
              <w:pStyle w:val="7"/>
            </w:pPr>
            <w:r>
              <w:t>锁定接纳后的支持或身份变化，并比较完整重算</w:t>
            </w:r>
          </w:p>
        </w:tc>
      </w:tr>
      <w:tr w14:paraId="3F0090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66E5D3DA">
            <w:pPr>
              <w:pStyle w:val="7"/>
            </w:pPr>
            <w:r>
              <w:t>S7、S8</w:t>
            </w:r>
          </w:p>
        </w:tc>
        <w:tc>
          <w:tcPr>
            <w:tcW w:w="3000" w:type="dxa"/>
          </w:tcPr>
          <w:p w14:paraId="4E4621F4">
            <w:pPr>
              <w:pStyle w:val="7"/>
            </w:pPr>
            <w:r>
              <w:t>OEP 不可迁移经验、MemSecBench 条件丢失、迁移修复</w:t>
            </w:r>
          </w:p>
        </w:tc>
        <w:tc>
          <w:tcPr>
            <w:tcW w:w="3000" w:type="dxa"/>
          </w:tcPr>
          <w:p w14:paraId="6F8C4088">
            <w:pPr>
              <w:pStyle w:val="7"/>
            </w:pPr>
            <w:r>
              <w:t>明确组合效应或任务契约变化；无法区分时合并或放弃</w:t>
            </w:r>
          </w:p>
        </w:tc>
      </w:tr>
      <w:tr w14:paraId="5CA015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275A85DC">
            <w:pPr>
              <w:pStyle w:val="7"/>
            </w:pPr>
            <w:r>
              <w:t>S9</w:t>
            </w:r>
          </w:p>
        </w:tc>
        <w:tc>
          <w:tcPr>
            <w:tcW w:w="3000" w:type="dxa"/>
          </w:tcPr>
          <w:p w14:paraId="3B1B529C">
            <w:pPr>
              <w:pStyle w:val="7"/>
            </w:pPr>
            <w:r>
              <w:t>MemoRepair 保留有效支持、MemTX 类型化修复</w:t>
            </w:r>
          </w:p>
        </w:tc>
        <w:tc>
          <w:tcPr>
            <w:tcW w:w="3000" w:type="dxa"/>
          </w:tcPr>
          <w:p w14:paraId="2F825814">
            <w:pPr>
              <w:pStyle w:val="7"/>
            </w:pPr>
            <w:r>
              <w:t>限定固定结构与可验证字段依赖，不做万能细粒度修复</w:t>
            </w:r>
          </w:p>
        </w:tc>
      </w:tr>
      <w:tr w14:paraId="5A9D66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0524CF87">
            <w:pPr>
              <w:pStyle w:val="7"/>
            </w:pPr>
            <w:r>
              <w:t>S10</w:t>
            </w:r>
          </w:p>
        </w:tc>
        <w:tc>
          <w:tcPr>
            <w:tcW w:w="3000" w:type="dxa"/>
          </w:tcPr>
          <w:p w14:paraId="188F2590">
            <w:pPr>
              <w:pStyle w:val="7"/>
            </w:pPr>
            <w:r>
              <w:t>已有论文指出不完整来源限制</w:t>
            </w:r>
          </w:p>
        </w:tc>
        <w:tc>
          <w:tcPr>
            <w:tcW w:w="3000" w:type="dxa"/>
          </w:tcPr>
          <w:p w14:paraId="367C4E30">
            <w:pPr>
              <w:pStyle w:val="7"/>
            </w:pPr>
            <w:r>
              <w:t>研究给定日志与预算下的恢复收益，不再包装限制本身</w:t>
            </w:r>
          </w:p>
        </w:tc>
      </w:tr>
      <w:tr w14:paraId="32AFDD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5BC1F462">
            <w:pPr>
              <w:pStyle w:val="7"/>
            </w:pPr>
            <w:r>
              <w:t>S11</w:t>
            </w:r>
          </w:p>
        </w:tc>
        <w:tc>
          <w:tcPr>
            <w:tcW w:w="3000" w:type="dxa"/>
          </w:tcPr>
          <w:p w14:paraId="45CCEC17">
            <w:pPr>
              <w:pStyle w:val="7"/>
            </w:pPr>
            <w:r>
              <w:t>Verified Tool Calls、Reflexion、经验投毒工作</w:t>
            </w:r>
          </w:p>
        </w:tc>
        <w:tc>
          <w:tcPr>
            <w:tcW w:w="3000" w:type="dxa"/>
          </w:tcPr>
          <w:p w14:paraId="1E7761EB">
            <w:pPr>
              <w:pStyle w:val="7"/>
            </w:pPr>
            <w:r>
              <w:t>先启用执行验证，再验证是否仍有经验层残余</w:t>
            </w:r>
          </w:p>
        </w:tc>
      </w:tr>
      <w:tr w14:paraId="4F0CDF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90" w:type="dxa"/>
            <w:left w:w="90" w:type="dxa"/>
            <w:bottom w:w="90" w:type="dxa"/>
            <w:right w:w="90" w:type="dxa"/>
          </w:tblCellMar>
        </w:tblPrEx>
        <w:trPr>
          <w:cantSplit/>
        </w:trPr>
        <w:tc>
          <w:tcPr>
            <w:tcW w:w="3000" w:type="dxa"/>
          </w:tcPr>
          <w:p w14:paraId="4A19A87A">
            <w:pPr>
              <w:pStyle w:val="7"/>
            </w:pPr>
            <w:r>
              <w:t>S12</w:t>
            </w:r>
          </w:p>
        </w:tc>
        <w:tc>
          <w:tcPr>
            <w:tcW w:w="3000" w:type="dxa"/>
          </w:tcPr>
          <w:p w14:paraId="3E609F59">
            <w:pPr>
              <w:pStyle w:val="7"/>
            </w:pPr>
            <w:r>
              <w:t>MemSecBench 生命周期评测、BackdoorAgent 工作流框架</w:t>
            </w:r>
          </w:p>
        </w:tc>
        <w:tc>
          <w:tcPr>
            <w:tcW w:w="3000" w:type="dxa"/>
          </w:tcPr>
          <w:p w14:paraId="402F2241">
            <w:pPr>
              <w:pStyle w:val="7"/>
            </w:pPr>
            <w:r>
              <w:t>首先公共归因模块；有稳定跨方法问题才独立成篇</w:t>
            </w:r>
          </w:p>
        </w:tc>
      </w:tr>
    </w:tbl>
    <w:p w14:paraId="5E375214">
      <w:r>
        <w:t>本稿供导师讨论时选择问题，不建议同时开展全部子方向。选择标准应是：真实系统中存在对应边界、弱威胁模型下能够复现</w:t>
      </w:r>
      <w:bookmarkStart w:id="0" w:name="_GoBack"/>
      <w:bookmarkEnd w:id="0"/>
      <w:r>
        <w:t>、与最近邻有清楚增量、可在当前学期完成实验。独立论文贡献可以是攻击机制，也可以是约束下有效且代价可测的防御；不必为每个子方向强行配出一个新的攻击。</w:t>
      </w:r>
    </w:p>
    <w:p w14:paraId="2EBB1771">
      <w:pPr>
        <w:pStyle w:val="2"/>
      </w:pPr>
      <w:r>
        <w:t>十、参考文献与本地阅读对照</w:t>
      </w:r>
    </w:p>
    <w:p w14:paraId="280D8F1A">
      <w:r>
        <w:t>编号沿用原开题调研报告；以下仅列本稿实际引用的论文，因此编号不连续。年份与出版状态用于与已有材料对照，不在本稿中推断未核实的录用进展。GhostSplice、ShieldMCP、TMA-NM 和 CPB 在部分材料中是方法、基准或披露名称，完整论文题名以本表为准。本地 PDF 位于项目下“Agent后门攻击_七方向十二子方向_论文PDF_2026-09-30”文件夹，对应文件序号即参考文献编号。</w:t>
      </w:r>
    </w:p>
    <w:p w14:paraId="46CCF403">
      <w:pPr>
        <w:pStyle w:val="3"/>
      </w:pPr>
      <w:r>
        <w:t>10.1 引用论文</w:t>
      </w:r>
    </w:p>
    <w:p w14:paraId="49FC4B5D">
      <w:r>
        <w:t>[8] Rathbun E, Amato C, Oprea A. SleeperNets: Universal Backdoor Poisoning Attacks Against Reinforcement Learning Agents. NeurIPS, 2024。</w:t>
      </w:r>
      <w:r>
        <w:fldChar w:fldCharType="begin"/>
      </w:r>
      <w:r>
        <w:instrText xml:space="preserve"> HYPERLINK "https://proceedings.neurips.cc/paper_files/paper/2024/hash/cb03b5108f1c3a38c990ef0b45bc8b31-Abstract-Conference.html" \h </w:instrText>
      </w:r>
      <w:r>
        <w:fldChar w:fldCharType="separate"/>
      </w:r>
      <w:r>
        <w:rPr>
          <w:color w:val="0563C1"/>
          <w:u w:val="single"/>
        </w:rPr>
        <w:t>https://proceedings.neurips.cc/paper_files/paper/2024/hash/cb03b5108f1c3a38c990ef0b45bc8b31-Abstract-Conference.html</w:t>
      </w:r>
      <w:r>
        <w:rPr>
          <w:color w:val="0563C1"/>
          <w:u w:val="single"/>
        </w:rPr>
        <w:fldChar w:fldCharType="end"/>
      </w:r>
    </w:p>
    <w:p w14:paraId="7AD11E24">
      <w:r>
        <w:t>本地文件：08_SleeperNets.pdf</w:t>
      </w:r>
    </w:p>
    <w:p w14:paraId="286D365C">
      <w:r>
        <w:t>[12] Yao S, et al. ReAct: Synergizing Reasoning and Acting in Language Models. ICLR, 2023。</w:t>
      </w:r>
      <w:r>
        <w:fldChar w:fldCharType="begin"/>
      </w:r>
      <w:r>
        <w:instrText xml:space="preserve"> HYPERLINK "https://openreview.net/forum?id=WE_vluYUL-X" \h </w:instrText>
      </w:r>
      <w:r>
        <w:fldChar w:fldCharType="separate"/>
      </w:r>
      <w:r>
        <w:rPr>
          <w:color w:val="0563C1"/>
          <w:u w:val="single"/>
        </w:rPr>
        <w:t>https://openreview.net/forum?id=WE_vluYUL-X</w:t>
      </w:r>
      <w:r>
        <w:rPr>
          <w:color w:val="0563C1"/>
          <w:u w:val="single"/>
        </w:rPr>
        <w:fldChar w:fldCharType="end"/>
      </w:r>
    </w:p>
    <w:p w14:paraId="25A138C1">
      <w:r>
        <w:t>本地文件：12_ReAct.pdf</w:t>
      </w:r>
    </w:p>
    <w:p w14:paraId="0D7E963C">
      <w:r>
        <w:t>[13] Shinn N, et al. Reflexion: Language Agents with Verbal Reinforcement Learning. NeurIPS, 2023。</w:t>
      </w:r>
      <w:r>
        <w:fldChar w:fldCharType="begin"/>
      </w:r>
      <w:r>
        <w:instrText xml:space="preserve"> HYPERLINK "https://papers.neurips.cc/paper_files/paper/2023/hash/1b44b878bb782e6954cd888628510e90-Abstract-Conference.html" \h </w:instrText>
      </w:r>
      <w:r>
        <w:fldChar w:fldCharType="separate"/>
      </w:r>
      <w:r>
        <w:rPr>
          <w:color w:val="0563C1"/>
          <w:u w:val="single"/>
        </w:rPr>
        <w:t>https://papers.neurips.cc/paper_files/paper/2023/hash/1b44b878bb782e6954cd888628510e90-Abstract-Conference.html</w:t>
      </w:r>
      <w:r>
        <w:rPr>
          <w:color w:val="0563C1"/>
          <w:u w:val="single"/>
        </w:rPr>
        <w:fldChar w:fldCharType="end"/>
      </w:r>
    </w:p>
    <w:p w14:paraId="14C512F3">
      <w:r>
        <w:t>本地文件：13_Reflexion.pdf</w:t>
      </w:r>
    </w:p>
    <w:p w14:paraId="0D518B55">
      <w:r>
        <w:t>[16] AgentPoison: Red-teaming LLM Agents via Poisoning Memory or Knowledge Bases. NeurIPS, 2024。</w:t>
      </w:r>
      <w:r>
        <w:fldChar w:fldCharType="begin"/>
      </w:r>
      <w:r>
        <w:instrText xml:space="preserve"> HYPERLINK "https://papers.nips.cc/paper_files/paper/2024/hash/eb113910e9c3f6242541c1652e30dfd6-Abstract-Conference.html" \h </w:instrText>
      </w:r>
      <w:r>
        <w:fldChar w:fldCharType="separate"/>
      </w:r>
      <w:r>
        <w:rPr>
          <w:color w:val="0563C1"/>
          <w:u w:val="single"/>
        </w:rPr>
        <w:t>https://papers.nips.cc/paper_files/paper/2024/hash/eb113910e9c3f6242541c1652e30dfd6-Abstract-Conference.html</w:t>
      </w:r>
      <w:r>
        <w:rPr>
          <w:color w:val="0563C1"/>
          <w:u w:val="single"/>
        </w:rPr>
        <w:fldChar w:fldCharType="end"/>
      </w:r>
    </w:p>
    <w:p w14:paraId="3361B516">
      <w:r>
        <w:t>本地文件：16_AgentPoison.pdf</w:t>
      </w:r>
    </w:p>
    <w:p w14:paraId="25B6EFA8">
      <w:r>
        <w:t>[19] MemoryGraft: Persistent Compromise of LLM Agents via Poisoned Experience Retrieval. 2025 预印本。</w:t>
      </w:r>
      <w:r>
        <w:fldChar w:fldCharType="begin"/>
      </w:r>
      <w:r>
        <w:instrText xml:space="preserve"> HYPERLINK "https://arxiv.org/abs/2512.16962" \h </w:instrText>
      </w:r>
      <w:r>
        <w:fldChar w:fldCharType="separate"/>
      </w:r>
      <w:r>
        <w:rPr>
          <w:color w:val="0563C1"/>
          <w:u w:val="single"/>
        </w:rPr>
        <w:t>https://arxiv.org/abs/2512.16962</w:t>
      </w:r>
      <w:r>
        <w:rPr>
          <w:color w:val="0563C1"/>
          <w:u w:val="single"/>
        </w:rPr>
        <w:fldChar w:fldCharType="end"/>
      </w:r>
    </w:p>
    <w:p w14:paraId="16437046">
      <w:r>
        <w:t>本地文件：19_MemoryGraft.pdf</w:t>
      </w:r>
    </w:p>
    <w:p w14:paraId="306A2D07">
      <w:r>
        <w:t>[20] MemMorph: Tool Hijacking in LLM Agents via Memory Poisoning. 2026 预印本，页面注明 under review。</w:t>
      </w:r>
      <w:r>
        <w:fldChar w:fldCharType="begin"/>
      </w:r>
      <w:r>
        <w:instrText xml:space="preserve"> HYPERLINK "https://arxiv.org/abs/2605.26154" \h </w:instrText>
      </w:r>
      <w:r>
        <w:fldChar w:fldCharType="separate"/>
      </w:r>
      <w:r>
        <w:rPr>
          <w:color w:val="0563C1"/>
          <w:u w:val="single"/>
        </w:rPr>
        <w:t>https://arxiv.org/abs/2605.26154</w:t>
      </w:r>
      <w:r>
        <w:rPr>
          <w:color w:val="0563C1"/>
          <w:u w:val="single"/>
        </w:rPr>
        <w:fldChar w:fldCharType="end"/>
      </w:r>
    </w:p>
    <w:p w14:paraId="33FC33D8">
      <w:r>
        <w:t>本地文件：20_MemMorph.pdf</w:t>
      </w:r>
    </w:p>
    <w:p w14:paraId="6149D588">
      <w:r>
        <w:t>[21] OEP: Poisoning Self-Evolving LLM Agents via Locally Correct but Non-Transferable Experiences. 2026 预印本。</w:t>
      </w:r>
      <w:r>
        <w:fldChar w:fldCharType="begin"/>
      </w:r>
      <w:r>
        <w:instrText xml:space="preserve"> HYPERLINK "https://arxiv.org/abs/2605.18930" \h </w:instrText>
      </w:r>
      <w:r>
        <w:fldChar w:fldCharType="separate"/>
      </w:r>
      <w:r>
        <w:rPr>
          <w:color w:val="0563C1"/>
          <w:u w:val="single"/>
        </w:rPr>
        <w:t>https://arxiv.org/abs/2605.18930</w:t>
      </w:r>
      <w:r>
        <w:rPr>
          <w:color w:val="0563C1"/>
          <w:u w:val="single"/>
        </w:rPr>
        <w:fldChar w:fldCharType="end"/>
      </w:r>
    </w:p>
    <w:p w14:paraId="7A308EDE">
      <w:r>
        <w:t>本地文件：21_OEP.pdf</w:t>
      </w:r>
    </w:p>
    <w:p w14:paraId="022323F2">
      <w:r>
        <w:t>[22] MEMOREPAIR: Barrier-First Cascade Repair in Agentic Memory. 2026 预印本。</w:t>
      </w:r>
      <w:r>
        <w:fldChar w:fldCharType="begin"/>
      </w:r>
      <w:r>
        <w:instrText xml:space="preserve"> HYPERLINK "https://arxiv.org/abs/2605.07242" \h </w:instrText>
      </w:r>
      <w:r>
        <w:fldChar w:fldCharType="separate"/>
      </w:r>
      <w:r>
        <w:rPr>
          <w:color w:val="0563C1"/>
          <w:u w:val="single"/>
        </w:rPr>
        <w:t>https://arxiv.org/abs/2605.07242</w:t>
      </w:r>
      <w:r>
        <w:rPr>
          <w:color w:val="0563C1"/>
          <w:u w:val="single"/>
        </w:rPr>
        <w:fldChar w:fldCharType="end"/>
      </w:r>
    </w:p>
    <w:p w14:paraId="0389F72D">
      <w:r>
        <w:t>本地文件：22_MEMOREPAIR.pdf</w:t>
      </w:r>
    </w:p>
    <w:p w14:paraId="1BFADA12">
      <w:r>
        <w:t>[23] Securing LLM-Agent Long-Term Memory Against Poisoning: Non-Malleable, Origin-Bound Authority with Machine-Checked Guarantees. 2026 预印本，本文简称 TMA-NM。</w:t>
      </w:r>
      <w:r>
        <w:fldChar w:fldCharType="begin"/>
      </w:r>
      <w:r>
        <w:instrText xml:space="preserve"> HYPERLINK "https://arxiv.org/abs/2606.24322" \h </w:instrText>
      </w:r>
      <w:r>
        <w:fldChar w:fldCharType="separate"/>
      </w:r>
      <w:r>
        <w:rPr>
          <w:color w:val="0563C1"/>
          <w:u w:val="single"/>
        </w:rPr>
        <w:t>https://arxiv.org/abs/2606.24322</w:t>
      </w:r>
      <w:r>
        <w:rPr>
          <w:color w:val="0563C1"/>
          <w:u w:val="single"/>
        </w:rPr>
        <w:fldChar w:fldCharType="end"/>
      </w:r>
    </w:p>
    <w:p w14:paraId="49B85993">
      <w:r>
        <w:t>本地文件：23_TMA-NM.pdf</w:t>
      </w:r>
    </w:p>
    <w:p w14:paraId="0379A6D2">
      <w:r>
        <w:t>[24] MemTX: Transactional Belief Commit for Stateful Agent Memory. 2026 预印本。</w:t>
      </w:r>
      <w:r>
        <w:fldChar w:fldCharType="begin"/>
      </w:r>
      <w:r>
        <w:instrText xml:space="preserve"> HYPERLINK "https://arxiv.org/abs/2607.23929" \h </w:instrText>
      </w:r>
      <w:r>
        <w:fldChar w:fldCharType="separate"/>
      </w:r>
      <w:r>
        <w:rPr>
          <w:color w:val="0563C1"/>
          <w:u w:val="single"/>
        </w:rPr>
        <w:t>https://arxiv.org/abs/2607.23929</w:t>
      </w:r>
      <w:r>
        <w:rPr>
          <w:color w:val="0563C1"/>
          <w:u w:val="single"/>
        </w:rPr>
        <w:fldChar w:fldCharType="end"/>
      </w:r>
    </w:p>
    <w:p w14:paraId="4E482DC0">
      <w:r>
        <w:t>本地文件：24_MemTX.pdf</w:t>
      </w:r>
    </w:p>
    <w:p w14:paraId="58D8169F">
      <w:r>
        <w:t>[25] MemSecBench: Tracking Agent Memory Poisoning from Persistence to Consequence and Repair. 2026 预印本。</w:t>
      </w:r>
      <w:r>
        <w:fldChar w:fldCharType="begin"/>
      </w:r>
      <w:r>
        <w:instrText xml:space="preserve"> HYPERLINK "https://arxiv.org/abs/2607.27080" \h </w:instrText>
      </w:r>
      <w:r>
        <w:fldChar w:fldCharType="separate"/>
      </w:r>
      <w:r>
        <w:rPr>
          <w:color w:val="0563C1"/>
          <w:u w:val="single"/>
        </w:rPr>
        <w:t>https://arxiv.org/abs/2607.27080</w:t>
      </w:r>
      <w:r>
        <w:rPr>
          <w:color w:val="0563C1"/>
          <w:u w:val="single"/>
        </w:rPr>
        <w:fldChar w:fldCharType="end"/>
      </w:r>
    </w:p>
    <w:p w14:paraId="78B2149F">
      <w:r>
        <w:t>本地文件：25_MemSecBench.pdf</w:t>
      </w:r>
    </w:p>
    <w:p w14:paraId="68DC72DC">
      <w:r>
        <w:t>[26] Revoked but Still Authoritative: An Empirical Study of Revocation Enforcement in Agent-Memory Systems. 2026 预印本。</w:t>
      </w:r>
      <w:r>
        <w:fldChar w:fldCharType="begin"/>
      </w:r>
      <w:r>
        <w:instrText xml:space="preserve"> HYPERLINK "https://arxiv.org/abs/2609.08258" \h </w:instrText>
      </w:r>
      <w:r>
        <w:fldChar w:fldCharType="separate"/>
      </w:r>
      <w:r>
        <w:rPr>
          <w:color w:val="0563C1"/>
          <w:u w:val="single"/>
        </w:rPr>
        <w:t>https://arxiv.org/abs/2609.08258</w:t>
      </w:r>
      <w:r>
        <w:rPr>
          <w:color w:val="0563C1"/>
          <w:u w:val="single"/>
        </w:rPr>
        <w:fldChar w:fldCharType="end"/>
      </w:r>
    </w:p>
    <w:p w14:paraId="0757106C">
      <w:r>
        <w:t>本地文件：26_Revoked-but-Still-Authoritative.pdf</w:t>
      </w:r>
    </w:p>
    <w:p w14:paraId="7D41D7AC">
      <w:r>
        <w:t>[27] Forgetting Without Restarting: Execution-State Unlearning for Stateful LLM Agents. 2026 预印本。</w:t>
      </w:r>
      <w:r>
        <w:fldChar w:fldCharType="begin"/>
      </w:r>
      <w:r>
        <w:instrText xml:space="preserve"> HYPERLINK "https://arxiv.org/abs/2609.04875" \h </w:instrText>
      </w:r>
      <w:r>
        <w:fldChar w:fldCharType="separate"/>
      </w:r>
      <w:r>
        <w:rPr>
          <w:color w:val="0563C1"/>
          <w:u w:val="single"/>
        </w:rPr>
        <w:t>https://arxiv.org/abs/2609.04875</w:t>
      </w:r>
      <w:r>
        <w:rPr>
          <w:color w:val="0563C1"/>
          <w:u w:val="single"/>
        </w:rPr>
        <w:fldChar w:fldCharType="end"/>
      </w:r>
    </w:p>
    <w:p w14:paraId="0C70CBB0">
      <w:r>
        <w:t>本地文件：27_Forgetting-Without-Restarting.pdf</w:t>
      </w:r>
    </w:p>
    <w:p w14:paraId="37CF637D">
      <w:r>
        <w:t>[28] Lee D, Tiwari M. Prompt Infection: LLM-to-LLM Prompt Injection within Multi-Agent Systems. 2024 预印本。</w:t>
      </w:r>
      <w:r>
        <w:fldChar w:fldCharType="begin"/>
      </w:r>
      <w:r>
        <w:instrText xml:space="preserve"> HYPERLINK "https://arxiv.org/abs/2410.07283" \h </w:instrText>
      </w:r>
      <w:r>
        <w:fldChar w:fldCharType="separate"/>
      </w:r>
      <w:r>
        <w:rPr>
          <w:color w:val="0563C1"/>
          <w:u w:val="single"/>
        </w:rPr>
        <w:t>https://arxiv.org/abs/2410.07283</w:t>
      </w:r>
      <w:r>
        <w:rPr>
          <w:color w:val="0563C1"/>
          <w:u w:val="single"/>
        </w:rPr>
        <w:fldChar w:fldCharType="end"/>
      </w:r>
    </w:p>
    <w:p w14:paraId="7D5541DB">
      <w:r>
        <w:t>本地文件：28_Prompt-Infection.pdf</w:t>
      </w:r>
    </w:p>
    <w:p w14:paraId="78B1B998">
      <w:r>
        <w:t>[32] InjecAgent: Benchmarking Indirect Prompt Injections in Tool-Integrated Large Language Model Agents. Findings of ACL, 2024。</w:t>
      </w:r>
      <w:r>
        <w:fldChar w:fldCharType="begin"/>
      </w:r>
      <w:r>
        <w:instrText xml:space="preserve"> HYPERLINK "https://aclanthology.org/2024.findings-acl.624/" \h </w:instrText>
      </w:r>
      <w:r>
        <w:fldChar w:fldCharType="separate"/>
      </w:r>
      <w:r>
        <w:rPr>
          <w:color w:val="0563C1"/>
          <w:u w:val="single"/>
        </w:rPr>
        <w:t>https://aclanthology.org/2024.findings-acl.624/</w:t>
      </w:r>
      <w:r>
        <w:rPr>
          <w:color w:val="0563C1"/>
          <w:u w:val="single"/>
        </w:rPr>
        <w:fldChar w:fldCharType="end"/>
      </w:r>
    </w:p>
    <w:p w14:paraId="412112B5">
      <w:r>
        <w:t>本地文件：32_InjecAgent.pdf</w:t>
      </w:r>
    </w:p>
    <w:p w14:paraId="40ADE286">
      <w:r>
        <w:t>[33] AgentDojo: A Dynamic Environment to Evaluate Prompt Injection Attacks and Defenses for LLM Agents. NeurIPS Datasets and Benchmarks, 2024。</w:t>
      </w:r>
      <w:r>
        <w:fldChar w:fldCharType="begin"/>
      </w:r>
      <w:r>
        <w:instrText xml:space="preserve"> HYPERLINK "https://proceedings.neurips.cc/paper_files/paper/2024/hash/97091a5177d8dc64b1da8bf3e1f6fb54-Abstract-Datasets_and_Benchmarks_Track.html" \h </w:instrText>
      </w:r>
      <w:r>
        <w:fldChar w:fldCharType="separate"/>
      </w:r>
      <w:r>
        <w:rPr>
          <w:color w:val="0563C1"/>
          <w:u w:val="single"/>
        </w:rPr>
        <w:t>https://proceedings.neurips.cc/paper_files/paper/2024/hash/97091a5177d8dc64b1da8bf3e1f6fb54-Abstract-Datasets_and_Benchmarks_Track.html</w:t>
      </w:r>
      <w:r>
        <w:rPr>
          <w:color w:val="0563C1"/>
          <w:u w:val="single"/>
        </w:rPr>
        <w:fldChar w:fldCharType="end"/>
      </w:r>
    </w:p>
    <w:p w14:paraId="226F944D">
      <w:r>
        <w:t>本地文件：33_AgentDojo.pdf</w:t>
      </w:r>
    </w:p>
    <w:p w14:paraId="33F28D30">
      <w:r>
        <w:t>[34] MCPTox: A Benchmark for Tool Poisoning on Real-World MCP Servers. AAAI, 2026；2025 年已有预印本。</w:t>
      </w:r>
      <w:r>
        <w:fldChar w:fldCharType="begin"/>
      </w:r>
      <w:r>
        <w:instrText xml:space="preserve"> HYPERLINK "https://ojs.aaai.org/index.php/AAAI/article/view/40895" \h </w:instrText>
      </w:r>
      <w:r>
        <w:fldChar w:fldCharType="separate"/>
      </w:r>
      <w:r>
        <w:rPr>
          <w:color w:val="0563C1"/>
          <w:u w:val="single"/>
        </w:rPr>
        <w:t>https://ojs.aaai.org/index.php/AAAI/article/view/40895</w:t>
      </w:r>
      <w:r>
        <w:rPr>
          <w:color w:val="0563C1"/>
          <w:u w:val="single"/>
        </w:rPr>
        <w:fldChar w:fldCharType="end"/>
      </w:r>
      <w:r>
        <w:t xml:space="preserve"> 本地保存的是 AAAI-26 正式 PDF，题名含 Tool Poisoning Attack，出版页面题名不含 Attack；按论文身份对应。</w:t>
      </w:r>
    </w:p>
    <w:p w14:paraId="4AD66839">
      <w:r>
        <w:t>本地文件：34_MCPTox.pdf</w:t>
      </w:r>
    </w:p>
    <w:p w14:paraId="54749E29">
      <w:r>
        <w:t>[35] MCP-ITP: An Automated Framework for Implicit Tool Poisoning in MCP. 2026 预印本。</w:t>
      </w:r>
      <w:r>
        <w:fldChar w:fldCharType="begin"/>
      </w:r>
      <w:r>
        <w:instrText xml:space="preserve"> HYPERLINK "https://arxiv.org/abs/2601.07395" \h </w:instrText>
      </w:r>
      <w:r>
        <w:fldChar w:fldCharType="separate"/>
      </w:r>
      <w:r>
        <w:rPr>
          <w:color w:val="0563C1"/>
          <w:u w:val="single"/>
        </w:rPr>
        <w:t>https://arxiv.org/abs/2601.07395</w:t>
      </w:r>
      <w:r>
        <w:rPr>
          <w:color w:val="0563C1"/>
          <w:u w:val="single"/>
        </w:rPr>
        <w:fldChar w:fldCharType="end"/>
      </w:r>
    </w:p>
    <w:p w14:paraId="6C9CB3AA">
      <w:r>
        <w:t>本地文件：35_MCP-ITP.pdf</w:t>
      </w:r>
    </w:p>
    <w:p w14:paraId="709B67FB">
      <w:r>
        <w:t>[36] Measuring and Exploiting Implicit Trust in LLM Tool-Calling Pipelines. 2026 预印本；相关公开攻击披露名为 GhostSplice，并非论文题名。</w:t>
      </w:r>
      <w:r>
        <w:fldChar w:fldCharType="begin"/>
      </w:r>
      <w:r>
        <w:instrText xml:space="preserve"> HYPERLINK "https://arxiv.org/abs/2609.18217" \h </w:instrText>
      </w:r>
      <w:r>
        <w:fldChar w:fldCharType="separate"/>
      </w:r>
      <w:r>
        <w:rPr>
          <w:color w:val="0563C1"/>
          <w:u w:val="single"/>
        </w:rPr>
        <w:t>https://arxiv.org/abs/2609.18217</w:t>
      </w:r>
      <w:r>
        <w:rPr>
          <w:color w:val="0563C1"/>
          <w:u w:val="single"/>
        </w:rPr>
        <w:fldChar w:fldCharType="end"/>
      </w:r>
      <w:r>
        <w:t xml:space="preserve"> 作者官方披露：</w:t>
      </w:r>
      <w:r>
        <w:fldChar w:fldCharType="begin"/>
      </w:r>
      <w:r>
        <w:instrText xml:space="preserve"> HYPERLINK "https://asset-group.github.io/disclosures/ghostsplice/" \h </w:instrText>
      </w:r>
      <w:r>
        <w:fldChar w:fldCharType="separate"/>
      </w:r>
      <w:r>
        <w:rPr>
          <w:color w:val="0563C1"/>
          <w:u w:val="single"/>
        </w:rPr>
        <w:t>https://asset-group.github.io/disclosures/ghostsplice/</w:t>
      </w:r>
      <w:r>
        <w:rPr>
          <w:color w:val="0563C1"/>
          <w:u w:val="single"/>
        </w:rPr>
        <w:fldChar w:fldCharType="end"/>
      </w:r>
      <w:r>
        <w:t xml:space="preserve"> 作者代码：</w:t>
      </w:r>
      <w:r>
        <w:fldChar w:fldCharType="begin"/>
      </w:r>
      <w:r>
        <w:instrText xml:space="preserve"> HYPERLINK "https://github.com/asset-group/ghostsplice" \h </w:instrText>
      </w:r>
      <w:r>
        <w:fldChar w:fldCharType="separate"/>
      </w:r>
      <w:r>
        <w:rPr>
          <w:color w:val="0563C1"/>
          <w:u w:val="single"/>
        </w:rPr>
        <w:t>https://github.com/asset-group/ghostsplice</w:t>
      </w:r>
      <w:r>
        <w:rPr>
          <w:color w:val="0563C1"/>
          <w:u w:val="single"/>
        </w:rPr>
        <w:fldChar w:fldCharType="end"/>
      </w:r>
    </w:p>
    <w:p w14:paraId="14260AC1">
      <w:r>
        <w:t>本地文件：36_GhostSplice.pdf</w:t>
      </w:r>
    </w:p>
    <w:p w14:paraId="21B92B16">
      <w:r>
        <w:t>[37] Feng Y, et al. BackdoorAgent: A Unified Framework for Backdoor Attacks on LLM-based Agents. Findings of ACL, 2026。</w:t>
      </w:r>
      <w:r>
        <w:fldChar w:fldCharType="begin"/>
      </w:r>
      <w:r>
        <w:instrText xml:space="preserve"> HYPERLINK "https://aclanthology.org/2026.findings-acl.791/" \h </w:instrText>
      </w:r>
      <w:r>
        <w:fldChar w:fldCharType="separate"/>
      </w:r>
      <w:r>
        <w:rPr>
          <w:color w:val="0563C1"/>
          <w:u w:val="single"/>
        </w:rPr>
        <w:t>https://aclanthology.org/2026.findings-acl.791/</w:t>
      </w:r>
      <w:r>
        <w:rPr>
          <w:color w:val="0563C1"/>
          <w:u w:val="single"/>
        </w:rPr>
        <w:fldChar w:fldCharType="end"/>
      </w:r>
    </w:p>
    <w:p w14:paraId="2C928F92">
      <w:r>
        <w:t>本地文件：37_BackdoorAgent.pdf</w:t>
      </w:r>
    </w:p>
    <w:p w14:paraId="33E78A5C">
      <w:r>
        <w:t>[38] Securing the Tool Layer: A Threat Taxonomy and Runtime Defense Framework for Model Context Protocol Deployments. ACL Industry Track, 2026，文中方法 ShieldMCP。</w:t>
      </w:r>
      <w:r>
        <w:fldChar w:fldCharType="begin"/>
      </w:r>
      <w:r>
        <w:instrText xml:space="preserve"> HYPERLINK "https://aclanthology.org/2026.acl-industry.58/" \h </w:instrText>
      </w:r>
      <w:r>
        <w:fldChar w:fldCharType="separate"/>
      </w:r>
      <w:r>
        <w:rPr>
          <w:color w:val="0563C1"/>
          <w:u w:val="single"/>
        </w:rPr>
        <w:t>https://aclanthology.org/2026.acl-industry.58/</w:t>
      </w:r>
      <w:r>
        <w:rPr>
          <w:color w:val="0563C1"/>
          <w:u w:val="single"/>
        </w:rPr>
        <w:fldChar w:fldCharType="end"/>
      </w:r>
    </w:p>
    <w:p w14:paraId="590C0822">
      <w:r>
        <w:t>本地文件：38_ShieldMCP.pdf</w:t>
      </w:r>
    </w:p>
    <w:p w14:paraId="2FBC815F">
      <w:r>
        <w:t>[41] A Benchmark and Diagnostic Study of Epistemic Admission in Shared Agent Memory. 2026-09-25 预印本，基准 CPB。</w:t>
      </w:r>
      <w:r>
        <w:fldChar w:fldCharType="begin"/>
      </w:r>
      <w:r>
        <w:instrText xml:space="preserve"> HYPERLINK "https://arxiv.org/abs/2609.30813" \h </w:instrText>
      </w:r>
      <w:r>
        <w:fldChar w:fldCharType="separate"/>
      </w:r>
      <w:r>
        <w:rPr>
          <w:color w:val="0563C1"/>
          <w:u w:val="single"/>
        </w:rPr>
        <w:t>https://arxiv.org/abs/2609.30813</w:t>
      </w:r>
      <w:r>
        <w:rPr>
          <w:color w:val="0563C1"/>
          <w:u w:val="single"/>
        </w:rPr>
        <w:fldChar w:fldCharType="end"/>
      </w:r>
    </w:p>
    <w:p w14:paraId="586A2B21">
      <w:r>
        <w:t>本地文件：41_CPB.pdf</w:t>
      </w:r>
    </w:p>
    <w:p w14:paraId="486C35AB">
      <w:r>
        <w:t>[45] Verified Tool Calls Improve LLM Agent Reliability Under Non-Atomic Failures. 2026 预印本。</w:t>
      </w:r>
      <w:r>
        <w:fldChar w:fldCharType="begin"/>
      </w:r>
      <w:r>
        <w:instrText xml:space="preserve"> HYPERLINK "https://arxiv.org/abs/2608.02645" \h </w:instrText>
      </w:r>
      <w:r>
        <w:fldChar w:fldCharType="separate"/>
      </w:r>
      <w:r>
        <w:rPr>
          <w:color w:val="0563C1"/>
          <w:u w:val="single"/>
        </w:rPr>
        <w:t>https://arxiv.org/abs/2608.02645</w:t>
      </w:r>
      <w:r>
        <w:rPr>
          <w:color w:val="0563C1"/>
          <w:u w:val="single"/>
        </w:rPr>
        <w:fldChar w:fldCharType="end"/>
      </w:r>
    </w:p>
    <w:p w14:paraId="68CADF99">
      <w:r>
        <w:t>本地文件：45_Verified-Tool-Calls.pdf</w:t>
      </w:r>
    </w:p>
    <w:p w14:paraId="34B46C9A">
      <w:r>
        <w:t>[48] Hubinger E, et al. Sleeper Agents: Training Deceptive LLMs that Persist Through Safety Training. 2024 预印本。</w:t>
      </w:r>
      <w:r>
        <w:fldChar w:fldCharType="begin"/>
      </w:r>
      <w:r>
        <w:instrText xml:space="preserve"> HYPERLINK "https://arxiv.org/abs/2401.05566" \h </w:instrText>
      </w:r>
      <w:r>
        <w:fldChar w:fldCharType="separate"/>
      </w:r>
      <w:r>
        <w:rPr>
          <w:color w:val="0563C1"/>
          <w:u w:val="single"/>
        </w:rPr>
        <w:t>https://arxiv.org/abs/2401.05566</w:t>
      </w:r>
      <w:r>
        <w:rPr>
          <w:color w:val="0563C1"/>
          <w:u w:val="single"/>
        </w:rPr>
        <w:fldChar w:fldCharType="end"/>
      </w:r>
    </w:p>
    <w:p w14:paraId="3DE6866E">
      <w:r>
        <w:t>本地文件：48_Sleeper-Agents.pdf</w:t>
      </w:r>
    </w:p>
    <w:p w14:paraId="03327C69">
      <w:r>
        <w:t>[54] From Version Conflicts to Decision Conflicts: Selective Revalidation for Long-Running AI Agents. 2026 预印本。</w:t>
      </w:r>
      <w:r>
        <w:fldChar w:fldCharType="begin"/>
      </w:r>
      <w:r>
        <w:instrText xml:space="preserve"> HYPERLINK "https://arxiv.org/abs/2609.08015" \h </w:instrText>
      </w:r>
      <w:r>
        <w:fldChar w:fldCharType="separate"/>
      </w:r>
      <w:r>
        <w:rPr>
          <w:color w:val="0563C1"/>
          <w:u w:val="single"/>
        </w:rPr>
        <w:t>https://arxiv.org/abs/2609.08015</w:t>
      </w:r>
      <w:r>
        <w:rPr>
          <w:color w:val="0563C1"/>
          <w:u w:val="single"/>
        </w:rPr>
        <w:fldChar w:fldCharType="end"/>
      </w:r>
    </w:p>
    <w:p w14:paraId="134E7429">
      <w:r>
        <w:t>本地文件：54_Selective-Revalidation.pdf</w:t>
      </w:r>
    </w:p>
    <w:p w14:paraId="4C4ACC8D">
      <w:r>
        <w:t>[56] Hidden in Memory: Sleeper Memory Poisoning in LLM Agents. 2026 预印本。</w:t>
      </w:r>
      <w:r>
        <w:fldChar w:fldCharType="begin"/>
      </w:r>
      <w:r>
        <w:instrText xml:space="preserve"> HYPERLINK "https://arxiv.org/abs/2605.15338" \h </w:instrText>
      </w:r>
      <w:r>
        <w:fldChar w:fldCharType="separate"/>
      </w:r>
      <w:r>
        <w:rPr>
          <w:color w:val="0563C1"/>
          <w:u w:val="single"/>
        </w:rPr>
        <w:t>https://arxiv.org/abs/2605.15338</w:t>
      </w:r>
      <w:r>
        <w:rPr>
          <w:color w:val="0563C1"/>
          <w:u w:val="single"/>
        </w:rPr>
        <w:fldChar w:fldCharType="end"/>
      </w:r>
    </w:p>
    <w:p w14:paraId="4C697019">
      <w:r>
        <w:t>本地文件：56_Sleeper-Memory-Poisoning.pdf</w:t>
      </w:r>
    </w:p>
    <w:sectPr>
      <w:footerReference r:id="rId5" w:type="default"/>
      <w:pgSz w:w="11906" w:h="16838"/>
      <w:pgMar w:top="1440" w:right="1440" w:bottom="1440" w:left="1440"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B5E07">
    <w:pP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3F1730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80"/>
    </w:pPr>
    <w:rPr>
      <w:rFonts w:ascii="Times New Roman" w:hAnsi="Times New Roman" w:eastAsia="宋体"/>
      <w:sz w:val="24"/>
      <w:szCs w:val="24"/>
    </w:rPr>
  </w:style>
  <w:style w:type="paragraph" w:styleId="2">
    <w:name w:val="heading 1"/>
    <w:basedOn w:val="1"/>
    <w:uiPriority w:val="0"/>
    <w:pPr>
      <w:keepNext/>
      <w:spacing w:before="360" w:after="180"/>
      <w:ind w:firstLine="0"/>
      <w:outlineLvl w:val="0"/>
    </w:pPr>
    <w:rPr>
      <w:rFonts w:eastAsia="黑体"/>
      <w:b/>
      <w:sz w:val="32"/>
    </w:rPr>
  </w:style>
  <w:style w:type="paragraph" w:styleId="3">
    <w:name w:val="heading 2"/>
    <w:basedOn w:val="1"/>
    <w:qFormat/>
    <w:uiPriority w:val="0"/>
    <w:pPr>
      <w:keepNext/>
      <w:spacing w:before="260" w:after="140"/>
      <w:ind w:firstLine="0"/>
      <w:outlineLvl w:val="1"/>
    </w:pPr>
    <w:rPr>
      <w:rFonts w:eastAsia="黑体"/>
      <w:b/>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Title"/>
    <w:basedOn w:val="1"/>
    <w:qFormat/>
    <w:uiPriority w:val="0"/>
    <w:pPr>
      <w:spacing w:before="520" w:after="600"/>
      <w:ind w:firstLine="0"/>
      <w:jc w:val="center"/>
    </w:pPr>
    <w:rPr>
      <w:rFonts w:eastAsia="黑体"/>
      <w:b/>
      <w:sz w:val="36"/>
    </w:rPr>
  </w:style>
  <w:style w:type="paragraph" w:customStyle="1" w:styleId="7">
    <w:name w:val="Table Text"/>
    <w:basedOn w:val="1"/>
    <w:qFormat/>
    <w:uiPriority w:val="0"/>
    <w:pPr>
      <w:spacing w:after="0" w:line="300" w:lineRule="auto"/>
      <w:ind w:firstLine="0"/>
    </w:pPr>
    <w:rPr>
      <w:rFonts w:eastAsia="宋体"/>
      <w:sz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14884</Words>
  <Characters>15720</Characters>
  <TotalTime>194</TotalTime>
  <ScaleCrop>false</ScaleCrop>
  <LinksUpToDate>false</LinksUpToDate>
  <CharactersWithSpaces>15957</CharactersWithSpaces>
  <Application>WPS Office_12.1.0.28599_F1E327BC-269C-435d-A152-05C5408002CA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2026-10-07T12:14:07Z</dcterms:created>
  <dc:creator>刘旻骁</dc:creator>
  <cp:lastModifiedBy>x</cp:lastModifiedBy>
  <dcterms:modified xsi:type="dcterms:W3CDTF">2026-10-07T15:28:44Z</dcterms:modified>
  <dc:subject>已有文献、具体机制、攻击侧与防御侧研究问题</dc:subject>
  <dc:title>Agent 后门攻击七大方向、十二子方向：文献脉络与攻防问题整合稿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eyJoZGlkIjoiMDc4NDFmNWVkMWMxNzM0YjViNWEzNWQ2YjI0M2ZhOGUiLCJ1c2VySWQiOiIxMTM3MDg0NDIwIn0=</vt:lpwstr>
  </property>
  <property fmtid="{D5CDD505-2E9C-101B-9397-08002B2CF9AE}" pid="3" name="KSOProductBuildVer">
    <vt:lpwstr>2052-12.1.0.28599</vt:lpwstr>
  </property>
  <property fmtid="{D5CDD505-2E9C-101B-9397-08002B2CF9AE}" pid="4" name="ICV">
    <vt:lpwstr>CD81F7F822F7447196FB76D47CD7FB59_12</vt:lpwstr>
  </property>
</Properties>
</file>