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硕士学位论文开题调研补充报告（第二轮缩题版）</w:t>
      </w:r>
    </w:p>
    <w:p>
      <w:pPr>
        <w:pStyle w:val="Normal"/>
      </w:pPr>
      <w:r>
        <w:t xml:space="preserve">题目：长期运行 Agent 后门的协议状态、记忆派生与修复时序研究</w:t>
      </w:r>
    </w:p>
    <w:p>
      <w:pPr>
        <w:pStyle w:val="Normal"/>
      </w:pPr>
      <w:r>
        <w:t xml:space="preserve">撰写目的：针对《2023—2026 研究脉络与 14 个细分选题》进一步降低直接撞题风险，供与导师讨论选题；检索截至 2026 年 9 月 28 日。</w:t>
      </w:r>
    </w:p>
    <w:p>
      <w:pPr>
        <w:pStyle w:val="Heading1"/>
      </w:pPr>
      <w:r>
        <w:br w:type="page"/>
      </w:r>
      <w:r>
        <w:t xml:space="preserve">摘要</w:t>
      </w:r>
    </w:p>
    <w:p>
      <w:pPr>
        <w:pStyle w:val="Normal"/>
      </w:pPr>
      <w:r>
        <w:t xml:space="preserve">前一版 14 个候选题仍有较多“中高”撞题风险。继续核对 2026 年 8—9 月公开论文后，本报告删除或降级“过期约束的一般性验证”“多 Agent 名称碰撞”“旧任务批准复用”“异步授权撤销”“跨步骤授权漂移”等题目，因为已有论文直接覆盖相应机制。本轮保留 11 个更细的可实验候选，分别限定一个协议字段或状态事件、一个跨阶段保存点、一个终端可观察动作。相对较低风险的题目集中于 MCP 双表示结果、异步任务状态与工具级错误的错配、拒绝载荷进入事故摘要、隔离后的后台记忆合并、已清理系统中的旧消息消费等狭窄边界。这里的“较低”仅表示相对于上一版题目，在本次检索中未发现同威胁模型、同机制、同终点的公开论文；它并不保证首创或录用。MCP 2026-07-28 版本中的 Tasks 与订阅机制仍处于较新的规范/实现阶段，相关题目虽新，但工程适配风险高，须先做两周预实验。</w:t>
      </w:r>
    </w:p>
    <w:p>
      <w:pPr>
        <w:pStyle w:val="Normal"/>
      </w:pPr>
      <w:r>
        <w:t xml:space="preserve">关键词：Agent 后门；MCP；持久记忆；异步任务；修复再污染；文献查新</w:t>
      </w:r>
    </w:p>
    <w:p>
      <w:pPr>
        <w:pStyle w:val="Heading1"/>
      </w:pPr>
      <w:r>
        <w:t xml:space="preserve">一、第二轮查新的结论：哪些旧题应退出候选池</w:t>
      </w:r>
    </w:p>
    <w:p>
      <w:pPr>
        <w:pStyle w:val="Heading2"/>
      </w:pPr>
      <w:r>
        <w:t xml:space="preserve">1.1 2023—2026 发展脉络的再定位</w:t>
      </w:r>
    </w:p>
    <w:p>
      <w:pPr>
        <w:pStyle w:val="Normal"/>
      </w:pPr>
      <w:r>
        <w:t xml:space="preserve">2023 年的间接提示注入奠定了“低信任数据跨越指令边界”的问题[1]；2024 年的 INJECAGENT、AgentPoison 与 Prompt Infection 已覆盖工具输出、长期记忆和 Agent 间传播[2]—[4]；2025 年的 MINJA、MemoryGraft 及 MCP 安全研究把低权限写入、经验伪装和工具接口引入攻击链[5]—[7]。2026 年研究密度明显增加，MemMorph、GhostSplice、MemSecBench、MemTX、Forgetting Without Restarting 等已分别覆盖工具选择记忆污染、多通道工具注入、记忆生命周期评测、事务化修复与选择性回放[8]—[12]。到 2026 年 9 月，直接讨论陈旧约束验证、MCP 错误可恢复性、A2A 名称碰撞、授权撤销及跨步骤授权一致性的论文也已出现[13]—[18]。因此，硕士小论文应把“新攻击面”主张改为“具体状态转换与未验证的跨阶段因果链”。</w:t>
      </w:r>
    </w:p>
    <w:p>
      <w:pPr>
        <w:pStyle w:val="Heading2"/>
      </w:pPr>
      <w:r>
        <w:t xml:space="preserve">1.2 对上一版 14 题的明确处理</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上一版候选</w:t>
            </w:r>
          </w:p>
        </w:tc>
        <w:tc>
          <w:tcPr>
            <w:tcW w:w="3000" w:type="dxa"/>
            <w:shd w:fill="DCE6F1"/>
          </w:tcPr>
          <w:p>
            <w:pPr>
              <w:pStyle w:val="TableText"/>
            </w:pPr>
            <w:r>
              <w:rPr>
                <w:b/>
              </w:rPr>
              <w:t xml:space="preserve">本轮处理</w:t>
            </w:r>
          </w:p>
        </w:tc>
        <w:tc>
          <w:tcPr>
            <w:tcW w:w="3000" w:type="dxa"/>
            <w:shd w:fill="DCE6F1"/>
          </w:tcPr>
          <w:p>
            <w:pPr>
              <w:pStyle w:val="TableText"/>
            </w:pPr>
            <w:r>
              <w:rPr>
                <w:b/>
              </w:rPr>
              <w:t xml:space="preserve">依据与理由</w:t>
            </w:r>
          </w:p>
        </w:tc>
      </w:tr>
      <w:tr>
        <w:tc>
          <w:tcPr>
            <w:tcW w:w="3000" w:type="dxa"/>
          </w:tcPr>
          <w:p>
            <w:pPr>
              <w:pStyle w:val="TableText"/>
            </w:pPr>
            <w:r>
              <w:t xml:space="preserve">P2 否定限定词摘要丢失</w:t>
            </w:r>
          </w:p>
        </w:tc>
        <w:tc>
          <w:tcPr>
            <w:tcW w:w="3000" w:type="dxa"/>
          </w:tcPr>
          <w:p>
            <w:pPr>
              <w:pStyle w:val="TableText"/>
            </w:pPr>
            <w:r>
              <w:t xml:space="preserve">退出主候选</w:t>
            </w:r>
          </w:p>
        </w:tc>
        <w:tc>
          <w:tcPr>
            <w:tcW w:w="3000" w:type="dxa"/>
          </w:tcPr>
          <w:p>
            <w:pPr>
              <w:pStyle w:val="TableText"/>
            </w:pPr>
            <w:r>
              <w:t xml:space="preserve">可被归入一般摘要失真或跨会话记忆投毒；独立安全机制不足</w:t>
            </w:r>
          </w:p>
        </w:tc>
      </w:tr>
      <w:tr>
        <w:tc>
          <w:tcPr>
            <w:tcW w:w="3000" w:type="dxa"/>
          </w:tcPr>
          <w:p>
            <w:pPr>
              <w:pStyle w:val="TableText"/>
            </w:pPr>
            <w:r>
              <w:t xml:space="preserve">M2 双存储撤销残留</w:t>
            </w:r>
          </w:p>
        </w:tc>
        <w:tc>
          <w:tcPr>
            <w:tcW w:w="3000" w:type="dxa"/>
          </w:tcPr>
          <w:p>
            <w:pPr>
              <w:pStyle w:val="TableText"/>
            </w:pPr>
            <w:r>
              <w:t xml:space="preserve">退出主候选</w:t>
            </w:r>
          </w:p>
        </w:tc>
        <w:tc>
          <w:tcPr>
            <w:tcW w:w="3000" w:type="dxa"/>
          </w:tcPr>
          <w:p>
            <w:pPr>
              <w:pStyle w:val="TableText"/>
            </w:pPr>
            <w:r>
              <w:t xml:space="preserve">Revoked but Still Authoritative 与选择性回放已紧贴撤销/副本问题[11][19]</w:t>
            </w:r>
          </w:p>
        </w:tc>
      </w:tr>
      <w:tr>
        <w:tc>
          <w:tcPr>
            <w:tcW w:w="3000" w:type="dxa"/>
          </w:tcPr>
          <w:p>
            <w:pPr>
              <w:pStyle w:val="TableText"/>
            </w:pPr>
            <w:r>
              <w:t xml:space="preserve">Q1 旧任务批准凭据复用</w:t>
            </w:r>
          </w:p>
        </w:tc>
        <w:tc>
          <w:tcPr>
            <w:tcW w:w="3000" w:type="dxa"/>
          </w:tcPr>
          <w:p>
            <w:pPr>
              <w:pStyle w:val="TableText"/>
            </w:pPr>
            <w:r>
              <w:t xml:space="preserve">退出主候选</w:t>
            </w:r>
          </w:p>
        </w:tc>
        <w:tc>
          <w:tcPr>
            <w:tcW w:w="3000" w:type="dxa"/>
          </w:tcPr>
          <w:p>
            <w:pPr>
              <w:pStyle w:val="TableText"/>
            </w:pPr>
            <w:r>
              <w:t xml:space="preserve">任务绑定签名凭据及独立授权层已有直接实验[16]</w:t>
            </w:r>
          </w:p>
        </w:tc>
      </w:tr>
      <w:tr>
        <w:tc>
          <w:tcPr>
            <w:tcW w:w="3000" w:type="dxa"/>
          </w:tcPr>
          <w:p>
            <w:pPr>
              <w:pStyle w:val="TableText"/>
            </w:pPr>
            <w:r>
              <w:t xml:space="preserve">Q2 跨会话额度拆分</w:t>
            </w:r>
          </w:p>
        </w:tc>
        <w:tc>
          <w:tcPr>
            <w:tcW w:w="3000" w:type="dxa"/>
          </w:tcPr>
          <w:p>
            <w:pPr>
              <w:pStyle w:val="TableText"/>
            </w:pPr>
            <w:r>
              <w:t xml:space="preserve">退出主候选</w:t>
            </w:r>
          </w:p>
        </w:tc>
        <w:tc>
          <w:tcPr>
            <w:tcW w:w="3000" w:type="dxa"/>
          </w:tcPr>
          <w:p>
            <w:pPr>
              <w:pStyle w:val="TableText"/>
            </w:pPr>
            <w:r>
              <w:t xml:space="preserve">委派效果的状态化授权和跨步骤授权一致性已有专门研究[17][18]</w:t>
            </w:r>
          </w:p>
        </w:tc>
      </w:tr>
      <w:tr>
        <w:tc>
          <w:tcPr>
            <w:tcW w:w="3000" w:type="dxa"/>
          </w:tcPr>
          <w:p>
            <w:pPr>
              <w:pStyle w:val="TableText"/>
            </w:pPr>
            <w:r>
              <w:t xml:space="preserve">G2 异步仲裁中的迟到反对证据</w:t>
            </w:r>
          </w:p>
        </w:tc>
        <w:tc>
          <w:tcPr>
            <w:tcW w:w="3000" w:type="dxa"/>
          </w:tcPr>
          <w:p>
            <w:pPr>
              <w:pStyle w:val="TableText"/>
            </w:pPr>
            <w:r>
              <w:t xml:space="preserve">退出主候选</w:t>
            </w:r>
          </w:p>
        </w:tc>
        <w:tc>
          <w:tcPr>
            <w:tcW w:w="3000" w:type="dxa"/>
          </w:tcPr>
          <w:p>
            <w:pPr>
              <w:pStyle w:val="TableText"/>
            </w:pPr>
            <w:r>
              <w:t xml:space="preserve">多 Agent 并发异常已覆盖较一般的到达顺序与因果问题[20]</w:t>
            </w:r>
          </w:p>
        </w:tc>
      </w:tr>
      <w:tr>
        <w:tc>
          <w:tcPr>
            <w:tcW w:w="3000" w:type="dxa"/>
          </w:tcPr>
          <w:p>
            <w:pPr>
              <w:pStyle w:val="TableText"/>
            </w:pPr>
            <w:r>
              <w:t xml:space="preserve">G1 审查状态升级</w:t>
            </w:r>
          </w:p>
        </w:tc>
        <w:tc>
          <w:tcPr>
            <w:tcW w:w="3000" w:type="dxa"/>
          </w:tcPr>
          <w:p>
            <w:pPr>
              <w:pStyle w:val="TableText"/>
            </w:pPr>
            <w:r>
              <w:t xml:space="preserve">降为对照或附加任务</w:t>
            </w:r>
          </w:p>
        </w:tc>
        <w:tc>
          <w:tcPr>
            <w:tcW w:w="3000" w:type="dxa"/>
          </w:tcPr>
          <w:p>
            <w:pPr>
              <w:pStyle w:val="TableText"/>
            </w:pPr>
            <w:r>
              <w:t xml:space="preserve">多 Agent 结构化授权与共享记忆门控已有直接相邻工作[16][21]</w:t>
            </w:r>
          </w:p>
        </w:tc>
      </w:tr>
      <w:tr>
        <w:tc>
          <w:tcPr>
            <w:tcW w:w="3000" w:type="dxa"/>
          </w:tcPr>
          <w:p>
            <w:pPr>
              <w:pStyle w:val="TableText"/>
            </w:pPr>
            <w:r>
              <w:t xml:space="preserve">T1 一般 MCP 错误正文投毒</w:t>
            </w:r>
          </w:p>
        </w:tc>
        <w:tc>
          <w:tcPr>
            <w:tcW w:w="3000" w:type="dxa"/>
          </w:tcPr>
          <w:p>
            <w:pPr>
              <w:pStyle w:val="TableText"/>
            </w:pPr>
            <w:r>
              <w:t xml:space="preserve">改写为 N3</w:t>
            </w:r>
          </w:p>
        </w:tc>
        <w:tc>
          <w:tcPr>
            <w:tcW w:w="3000" w:type="dxa"/>
          </w:tcPr>
          <w:p>
            <w:pPr>
              <w:pStyle w:val="TableText"/>
            </w:pPr>
            <w:r>
              <w:t xml:space="preserve">MCP `isError` 的恢复信息不足已被直接研究[15]；必须加入异步任务 `completed` 与内部错误的特定错配</w:t>
            </w:r>
          </w:p>
        </w:tc>
      </w:tr>
      <w:tr>
        <w:tc>
          <w:tcPr>
            <w:tcW w:w="3000" w:type="dxa"/>
          </w:tcPr>
          <w:p>
            <w:pPr>
              <w:pStyle w:val="TableText"/>
            </w:pPr>
            <w:r>
              <w:t xml:space="preserve">M1 派生记忆有效期</w:t>
            </w:r>
          </w:p>
        </w:tc>
        <w:tc>
          <w:tcPr>
            <w:tcW w:w="3000" w:type="dxa"/>
          </w:tcPr>
          <w:p>
            <w:pPr>
              <w:pStyle w:val="TableText"/>
            </w:pPr>
            <w:r>
              <w:t xml:space="preserve">改写为 N6</w:t>
            </w:r>
          </w:p>
        </w:tc>
        <w:tc>
          <w:tcPr>
            <w:tcW w:w="3000" w:type="dxa"/>
          </w:tcPr>
          <w:p>
            <w:pPr>
              <w:pStyle w:val="TableText"/>
            </w:pPr>
            <w:r>
              <w:t xml:space="preserve">陈旧继承约束与预算化验证已有专门研究[13]；必须限定 TTL 到期后派生程序性规则仍执行</w:t>
            </w:r>
          </w:p>
        </w:tc>
      </w:tr>
      <w:tr>
        <w:tc>
          <w:tcPr>
            <w:tcW w:w="3000" w:type="dxa"/>
          </w:tcPr>
          <w:p>
            <w:pPr>
              <w:pStyle w:val="TableText"/>
            </w:pPr>
            <w:r>
              <w:t xml:space="preserve">T2 工具模式漂移</w:t>
            </w:r>
          </w:p>
        </w:tc>
        <w:tc>
          <w:tcPr>
            <w:tcW w:w="3000" w:type="dxa"/>
          </w:tcPr>
          <w:p>
            <w:pPr>
              <w:pStyle w:val="TableText"/>
            </w:pPr>
            <w:r>
              <w:t xml:space="preserve">改写为 N4</w:t>
            </w:r>
          </w:p>
        </w:tc>
        <w:tc>
          <w:tcPr>
            <w:tcW w:w="3000" w:type="dxa"/>
          </w:tcPr>
          <w:p>
            <w:pPr>
              <w:pStyle w:val="TableText"/>
            </w:pPr>
            <w:r>
              <w:t xml:space="preserve">工具定义漂移与版本化接口已被研究[22]；必须限定事件通知、计划冻结、实际调用三时刻</w:t>
            </w:r>
          </w:p>
        </w:tc>
      </w:tr>
      <w:tr>
        <w:tc>
          <w:tcPr>
            <w:tcW w:w="3000" w:type="dxa"/>
          </w:tcPr>
          <w:p>
            <w:pPr>
              <w:pStyle w:val="TableText"/>
            </w:pPr>
            <w:r>
              <w:t xml:space="preserve">L1/L2、R1/R2</w:t>
            </w:r>
          </w:p>
        </w:tc>
        <w:tc>
          <w:tcPr>
            <w:tcW w:w="3000" w:type="dxa"/>
          </w:tcPr>
          <w:p>
            <w:pPr>
              <w:pStyle w:val="TableText"/>
            </w:pPr>
            <w:r>
              <w:t xml:space="preserve">保留并收窄为 N7—N11</w:t>
            </w:r>
          </w:p>
        </w:tc>
        <w:tc>
          <w:tcPr>
            <w:tcW w:w="3000" w:type="dxa"/>
          </w:tcPr>
          <w:p>
            <w:pPr>
              <w:pStyle w:val="TableText"/>
            </w:pPr>
            <w:r>
              <w:t xml:space="preserve">必须证明工具已退役或记忆已清理，且攻击动作仅由剩余派生状态引发</w:t>
            </w:r>
          </w:p>
        </w:tc>
      </w:tr>
    </w:tbl>
    <w:p>
      <w:pPr>
        <w:pStyle w:val="Normal"/>
      </w:pPr>
      <w:r>
        <w:t xml:space="preserve">权限层此次没有被评为“较低撞题风险”的独立题。对照来源包括任务绑定授权[16]、状态化效果授权[17]、授权撤销与异步执行[18]、运行时授权一致性[23]。后续论文仍应设置执行时权限检查，但不将其包装为新的首要研究贡献。</w:t>
      </w:r>
    </w:p>
    <w:p>
      <w:pPr>
        <w:pStyle w:val="Heading1"/>
      </w:pPr>
      <w:r>
        <w:t xml:space="preserve">二、查新方法与风险标签</w:t>
      </w:r>
    </w:p>
    <w:p>
      <w:pPr>
        <w:pStyle w:val="Normal"/>
      </w:pPr>
      <w:r>
        <w:t xml:space="preserve">每个题目按五元组定义：攻击者控制的低信任对象；受害者保存或转发的中间状态；触发事件；最终可观察错误动作；能够阻断该动作的最低成本对照。若公开论文五项一致，则直接淘汰；若只共享输入渠道或防御原则，则保留为“相邻”。检索范围包括 arXiv、ACL Anthology、NeurIPS、AAAI、OpenReview、MCP 官方规范与 SDK 文档，以及相关公开代码；关键词组合见附录。判定单位是“公开可检索作品”，不是“世界上无人做过”。</w:t>
      </w:r>
    </w:p>
    <w:p>
      <w:pPr>
        <w:pStyle w:val="Normal"/>
      </w:pPr>
      <w:r>
        <w:t xml:space="preserve">“较低”表示截至检索日未找到五元组同构论文，且与最近工作的差异可用实验变量表达；“中”表示已有工作覆盖其中三到四项，必须证明一个清楚的交互效应；“暂不推荐”表示研究问题已被直接覆盖或新增部分不足以独立成篇。风险标签不是数值化概率，也不代表论文质量。极窄题目可能容易避开题名冲突，却因效果不稳定或适用范围太窄而没有投稿价值，因此每题设置可执行的淘汰条件。</w:t>
      </w:r>
    </w:p>
    <w:p>
      <w:pPr>
        <w:pStyle w:val="Heading1"/>
      </w:pPr>
      <w:r>
        <w:t xml:space="preserve">三、十一项再次细化的候选题总览</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1800"/>
        <w:gridCol w:w="1800"/>
        <w:gridCol w:w="1800"/>
        <w:gridCol w:w="1800"/>
        <w:gridCol w:w="1800"/>
      </w:tblGrid>
      <w:tr>
        <w:trPr>
          <w:tblHeader w:val="true"/>
        </w:trPr>
        <w:tc>
          <w:tcPr>
            <w:tcW w:w="1800" w:type="dxa"/>
            <w:shd w:fill="DCE6F1"/>
          </w:tcPr>
          <w:p>
            <w:pPr>
              <w:pStyle w:val="TableText"/>
            </w:pPr>
            <w:r>
              <w:rPr>
                <w:b/>
              </w:rPr>
              <w:t xml:space="preserve">编号</w:t>
            </w:r>
          </w:p>
        </w:tc>
        <w:tc>
          <w:tcPr>
            <w:tcW w:w="1800" w:type="dxa"/>
            <w:shd w:fill="DCE6F1"/>
          </w:tcPr>
          <w:p>
            <w:pPr>
              <w:pStyle w:val="TableText"/>
            </w:pPr>
            <w:r>
              <w:rPr>
                <w:b/>
              </w:rPr>
              <w:t xml:space="preserve">候选题（暂定英文题名）</w:t>
            </w:r>
          </w:p>
        </w:tc>
        <w:tc>
          <w:tcPr>
            <w:tcW w:w="1800" w:type="dxa"/>
            <w:shd w:fill="DCE6F1"/>
          </w:tcPr>
          <w:p>
            <w:pPr>
              <w:pStyle w:val="TableText"/>
            </w:pPr>
            <w:r>
              <w:rPr>
                <w:b/>
              </w:rPr>
              <w:t xml:space="preserve">最小创新主张</w:t>
            </w:r>
          </w:p>
        </w:tc>
        <w:tc>
          <w:tcPr>
            <w:tcW w:w="1800" w:type="dxa"/>
            <w:shd w:fill="DCE6F1"/>
          </w:tcPr>
          <w:p>
            <w:pPr>
              <w:pStyle w:val="TableText"/>
            </w:pPr>
            <w:r>
              <w:rPr>
                <w:b/>
              </w:rPr>
              <w:t xml:space="preserve">最近工作与差异</w:t>
            </w:r>
          </w:p>
        </w:tc>
        <w:tc>
          <w:tcPr>
            <w:tcW w:w="1800" w:type="dxa"/>
            <w:shd w:fill="DCE6F1"/>
          </w:tcPr>
          <w:p>
            <w:pPr>
              <w:pStyle w:val="TableText"/>
            </w:pPr>
            <w:r>
              <w:rPr>
                <w:b/>
              </w:rPr>
              <w:t xml:space="preserve">撞题/实现风险</w:t>
            </w:r>
          </w:p>
        </w:tc>
      </w:tr>
      <w:tr>
        <w:tc>
          <w:tcPr>
            <w:tcW w:w="1800" w:type="dxa"/>
          </w:tcPr>
          <w:p>
            <w:pPr>
              <w:pStyle w:val="TableText"/>
            </w:pPr>
            <w:r>
              <w:t xml:space="preserve">N1</w:t>
            </w:r>
          </w:p>
        </w:tc>
        <w:tc>
          <w:tcPr>
            <w:tcW w:w="1800" w:type="dxa"/>
          </w:tcPr>
          <w:p>
            <w:pPr>
              <w:pStyle w:val="TableText"/>
            </w:pPr>
            <w:r>
              <w:t xml:space="preserve">Rejected-Injection Reentry through Incident Summaries</w:t>
            </w:r>
          </w:p>
        </w:tc>
        <w:tc>
          <w:tcPr>
            <w:tcW w:w="1800" w:type="dxa"/>
          </w:tcPr>
          <w:p>
            <w:pPr>
              <w:pStyle w:val="TableText"/>
            </w:pPr>
            <w:r>
              <w:t xml:space="preserve">已拒绝的低信任载荷被事故摘要重新写入长期记忆</w:t>
            </w:r>
          </w:p>
        </w:tc>
        <w:tc>
          <w:tcPr>
            <w:tcW w:w="1800" w:type="dxa"/>
          </w:tcPr>
          <w:p>
            <w:pPr>
              <w:pStyle w:val="TableText"/>
            </w:pPr>
            <w:r>
              <w:t xml:space="preserve">普通记忆投毒[5][6]不要求“先拒绝、后重入”</w:t>
            </w:r>
          </w:p>
        </w:tc>
        <w:tc>
          <w:tcPr>
            <w:tcW w:w="1800" w:type="dxa"/>
          </w:tcPr>
          <w:p>
            <w:pPr>
              <w:pStyle w:val="TableText"/>
            </w:pPr>
            <w:r>
              <w:t xml:space="preserve">较低/低</w:t>
            </w:r>
          </w:p>
        </w:tc>
      </w:tr>
      <w:tr>
        <w:tc>
          <w:tcPr>
            <w:tcW w:w="1800" w:type="dxa"/>
          </w:tcPr>
          <w:p>
            <w:pPr>
              <w:pStyle w:val="TableText"/>
            </w:pPr>
            <w:r>
              <w:t xml:space="preserve">N2</w:t>
            </w:r>
          </w:p>
        </w:tc>
        <w:tc>
          <w:tcPr>
            <w:tcW w:w="1800" w:type="dxa"/>
          </w:tcPr>
          <w:p>
            <w:pPr>
              <w:pStyle w:val="TableText"/>
            </w:pPr>
            <w:r>
              <w:t xml:space="preserve">Divergent MCP Result Views as a Persistent Backdoor</w:t>
            </w:r>
          </w:p>
        </w:tc>
        <w:tc>
          <w:tcPr>
            <w:tcW w:w="1800" w:type="dxa"/>
          </w:tcPr>
          <w:p>
            <w:pPr>
              <w:pStyle w:val="TableText"/>
            </w:pPr>
            <w:r>
              <w:t xml:space="preserve">同一 MCP 返回值的结构化与文本视图不一致，记忆写入与执行选择不同视图</w:t>
            </w:r>
          </w:p>
        </w:tc>
        <w:tc>
          <w:tcPr>
            <w:tcW w:w="1800" w:type="dxa"/>
          </w:tcPr>
          <w:p>
            <w:pPr>
              <w:pStyle w:val="TableText"/>
            </w:pPr>
            <w:r>
              <w:t xml:space="preserve">GhostSplice[9]研究跨通道注入，不等同于双表示矛盾</w:t>
            </w:r>
          </w:p>
        </w:tc>
        <w:tc>
          <w:tcPr>
            <w:tcW w:w="1800" w:type="dxa"/>
          </w:tcPr>
          <w:p>
            <w:pPr>
              <w:pStyle w:val="TableText"/>
            </w:pPr>
            <w:r>
              <w:t xml:space="preserve">较低/中</w:t>
            </w:r>
          </w:p>
        </w:tc>
      </w:tr>
      <w:tr>
        <w:tc>
          <w:tcPr>
            <w:tcW w:w="1800" w:type="dxa"/>
          </w:tcPr>
          <w:p>
            <w:pPr>
              <w:pStyle w:val="TableText"/>
            </w:pPr>
            <w:r>
              <w:t xml:space="preserve">N3</w:t>
            </w:r>
          </w:p>
        </w:tc>
        <w:tc>
          <w:tcPr>
            <w:tcW w:w="1800" w:type="dxa"/>
          </w:tcPr>
          <w:p>
            <w:pPr>
              <w:pStyle w:val="TableText"/>
            </w:pPr>
            <w:r>
              <w:t xml:space="preserve">Completed-but-Errored Async MCP Tasks</w:t>
            </w:r>
          </w:p>
        </w:tc>
        <w:tc>
          <w:tcPr>
            <w:tcW w:w="1800" w:type="dxa"/>
          </w:tcPr>
          <w:p>
            <w:pPr>
              <w:pStyle w:val="TableText"/>
            </w:pPr>
            <w:r>
              <w:t xml:space="preserve">异步任务状态 `completed`、内部 `isError:true` 被误合成为成功经验</w:t>
            </w:r>
          </w:p>
        </w:tc>
        <w:tc>
          <w:tcPr>
            <w:tcW w:w="1800" w:type="dxa"/>
          </w:tcPr>
          <w:p>
            <w:pPr>
              <w:pStyle w:val="TableText"/>
            </w:pPr>
            <w:r>
              <w:t xml:space="preserve">MCP 错误审计[15]仅研究已完成结果；Tasks 是新规范[24]</w:t>
            </w:r>
          </w:p>
        </w:tc>
        <w:tc>
          <w:tcPr>
            <w:tcW w:w="1800" w:type="dxa"/>
          </w:tcPr>
          <w:p>
            <w:pPr>
              <w:pStyle w:val="TableText"/>
            </w:pPr>
            <w:r>
              <w:t xml:space="preserve">较低/中高</w:t>
            </w:r>
          </w:p>
        </w:tc>
      </w:tr>
      <w:tr>
        <w:tc>
          <w:tcPr>
            <w:tcW w:w="1800" w:type="dxa"/>
          </w:tcPr>
          <w:p>
            <w:pPr>
              <w:pStyle w:val="TableText"/>
            </w:pPr>
            <w:r>
              <w:t xml:space="preserve">N4</w:t>
            </w:r>
          </w:p>
        </w:tc>
        <w:tc>
          <w:tcPr>
            <w:tcW w:w="1800" w:type="dxa"/>
          </w:tcPr>
          <w:p>
            <w:pPr>
              <w:pStyle w:val="TableText"/>
            </w:pPr>
            <w:r>
              <w:t xml:space="preserve">Tool-Change Event Races with Stored Agent Plans</w:t>
            </w:r>
          </w:p>
        </w:tc>
        <w:tc>
          <w:tcPr>
            <w:tcW w:w="1800" w:type="dxa"/>
          </w:tcPr>
          <w:p>
            <w:pPr>
              <w:pStyle w:val="TableText"/>
            </w:pPr>
            <w:r>
              <w:t xml:space="preserve">目录变更通知位于计划冻结与执行之间，旧计划按新契约执行</w:t>
            </w:r>
          </w:p>
        </w:tc>
        <w:tc>
          <w:tcPr>
            <w:tcW w:w="1800" w:type="dxa"/>
          </w:tcPr>
          <w:p>
            <w:pPr>
              <w:pStyle w:val="TableText"/>
            </w:pPr>
            <w:r>
              <w:t xml:space="preserve">ETDI/漂移研究[22][25]未以该三时刻链条为终点</w:t>
            </w:r>
          </w:p>
        </w:tc>
        <w:tc>
          <w:tcPr>
            <w:tcW w:w="1800" w:type="dxa"/>
          </w:tcPr>
          <w:p>
            <w:pPr>
              <w:pStyle w:val="TableText"/>
            </w:pPr>
            <w:r>
              <w:t xml:space="preserve">中/中高</w:t>
            </w:r>
          </w:p>
        </w:tc>
      </w:tr>
      <w:tr>
        <w:tc>
          <w:tcPr>
            <w:tcW w:w="1800" w:type="dxa"/>
          </w:tcPr>
          <w:p>
            <w:pPr>
              <w:pStyle w:val="TableText"/>
            </w:pPr>
            <w:r>
              <w:t xml:space="preserve">N5</w:t>
            </w:r>
          </w:p>
        </w:tc>
        <w:tc>
          <w:tcPr>
            <w:tcW w:w="1800" w:type="dxa"/>
          </w:tcPr>
          <w:p>
            <w:pPr>
              <w:pStyle w:val="TableText"/>
            </w:pPr>
            <w:r>
              <w:t xml:space="preserve">Quarantine-After-Scheduling Memory Consolidation</w:t>
            </w:r>
          </w:p>
        </w:tc>
        <w:tc>
          <w:tcPr>
            <w:tcW w:w="1800" w:type="dxa"/>
          </w:tcPr>
          <w:p>
            <w:pPr>
              <w:pStyle w:val="TableText"/>
            </w:pPr>
            <w:r>
              <w:t xml:space="preserve">污染源已隔离，但隔离前排程的合并任务把旧快照写入新记忆</w:t>
            </w:r>
          </w:p>
        </w:tc>
        <w:tc>
          <w:tcPr>
            <w:tcW w:w="1800" w:type="dxa"/>
          </w:tcPr>
          <w:p>
            <w:pPr>
              <w:pStyle w:val="TableText"/>
            </w:pPr>
            <w:r>
              <w:t xml:space="preserve">MemTX/选择性修复[11][12]偏重已写入状态</w:t>
            </w:r>
          </w:p>
        </w:tc>
        <w:tc>
          <w:tcPr>
            <w:tcW w:w="1800" w:type="dxa"/>
          </w:tcPr>
          <w:p>
            <w:pPr>
              <w:pStyle w:val="TableText"/>
            </w:pPr>
            <w:r>
              <w:t xml:space="preserve">较低/中</w:t>
            </w:r>
          </w:p>
        </w:tc>
      </w:tr>
      <w:tr>
        <w:tc>
          <w:tcPr>
            <w:tcW w:w="1800" w:type="dxa"/>
          </w:tcPr>
          <w:p>
            <w:pPr>
              <w:pStyle w:val="TableText"/>
            </w:pPr>
            <w:r>
              <w:t xml:space="preserve">N6</w:t>
            </w:r>
          </w:p>
        </w:tc>
        <w:tc>
          <w:tcPr>
            <w:tcW w:w="1800" w:type="dxa"/>
          </w:tcPr>
          <w:p>
            <w:pPr>
              <w:pStyle w:val="TableText"/>
            </w:pPr>
            <w:r>
              <w:t xml:space="preserve">TTL-Inheritance Failure in Derived Procedures</w:t>
            </w:r>
          </w:p>
        </w:tc>
        <w:tc>
          <w:tcPr>
            <w:tcW w:w="1800" w:type="dxa"/>
          </w:tcPr>
          <w:p>
            <w:pPr>
              <w:pStyle w:val="TableText"/>
            </w:pPr>
            <w:r>
              <w:t xml:space="preserve">源记录到期后派生“操作步骤”仍保有执行资格</w:t>
            </w:r>
          </w:p>
        </w:tc>
        <w:tc>
          <w:tcPr>
            <w:tcW w:w="1800" w:type="dxa"/>
          </w:tcPr>
          <w:p>
            <w:pPr>
              <w:pStyle w:val="TableText"/>
            </w:pPr>
            <w:r>
              <w:t xml:space="preserve">陈旧约束研究[13]聚焦已被替换的约束与验证预算</w:t>
            </w:r>
          </w:p>
        </w:tc>
        <w:tc>
          <w:tcPr>
            <w:tcW w:w="1800" w:type="dxa"/>
          </w:tcPr>
          <w:p>
            <w:pPr>
              <w:pStyle w:val="TableText"/>
            </w:pPr>
            <w:r>
              <w:t xml:space="preserve">中/低</w:t>
            </w:r>
          </w:p>
        </w:tc>
      </w:tr>
      <w:tr>
        <w:tc>
          <w:tcPr>
            <w:tcW w:w="1800" w:type="dxa"/>
          </w:tcPr>
          <w:p>
            <w:pPr>
              <w:pStyle w:val="TableText"/>
            </w:pPr>
            <w:r>
              <w:t xml:space="preserve">N7</w:t>
            </w:r>
          </w:p>
        </w:tc>
        <w:tc>
          <w:tcPr>
            <w:tcW w:w="1800" w:type="dxa"/>
          </w:tcPr>
          <w:p>
            <w:pPr>
              <w:pStyle w:val="TableText"/>
            </w:pPr>
            <w:r>
              <w:t xml:space="preserve">Cross-Tool Backdoors after Poisoned MCP Retirement</w:t>
            </w:r>
          </w:p>
        </w:tc>
        <w:tc>
          <w:tcPr>
            <w:tcW w:w="1800" w:type="dxa"/>
          </w:tcPr>
          <w:p>
            <w:pPr>
              <w:pStyle w:val="TableText"/>
            </w:pPr>
            <w:r>
              <w:t xml:space="preserve">恶意工具退役后，另一个真实合法工具被旧经验引导执行</w:t>
            </w:r>
          </w:p>
        </w:tc>
        <w:tc>
          <w:tcPr>
            <w:tcW w:w="1800" w:type="dxa"/>
          </w:tcPr>
          <w:p>
            <w:pPr>
              <w:pStyle w:val="TableText"/>
            </w:pPr>
            <w:r>
              <w:t xml:space="preserve">MemMorph[8]与 GhostSplice[9]不要求攻击源消失</w:t>
            </w:r>
          </w:p>
        </w:tc>
        <w:tc>
          <w:tcPr>
            <w:tcW w:w="1800" w:type="dxa"/>
          </w:tcPr>
          <w:p>
            <w:pPr>
              <w:pStyle w:val="TableText"/>
            </w:pPr>
            <w:r>
              <w:t xml:space="preserve">中/低</w:t>
            </w:r>
          </w:p>
        </w:tc>
      </w:tr>
      <w:tr>
        <w:tc>
          <w:tcPr>
            <w:tcW w:w="1800" w:type="dxa"/>
          </w:tcPr>
          <w:p>
            <w:pPr>
              <w:pStyle w:val="TableText"/>
            </w:pPr>
            <w:r>
              <w:t xml:space="preserve">N8</w:t>
            </w:r>
          </w:p>
        </w:tc>
        <w:tc>
          <w:tcPr>
            <w:tcW w:w="1800" w:type="dxa"/>
          </w:tcPr>
          <w:p>
            <w:pPr>
              <w:pStyle w:val="TableText"/>
            </w:pPr>
            <w:r>
              <w:t xml:space="preserve">Tool-Version-Bound Procedural Memory Invalidation</w:t>
            </w:r>
          </w:p>
        </w:tc>
        <w:tc>
          <w:tcPr>
            <w:tcW w:w="1800" w:type="dxa"/>
          </w:tcPr>
          <w:p>
            <w:pPr>
              <w:pStyle w:val="TableText"/>
            </w:pPr>
            <w:r>
              <w:t xml:space="preserve">退役事件触发仅失效依赖旧契约的派生经验</w:t>
            </w:r>
          </w:p>
        </w:tc>
        <w:tc>
          <w:tcPr>
            <w:tcW w:w="1800" w:type="dxa"/>
          </w:tcPr>
          <w:p>
            <w:pPr>
              <w:pStyle w:val="TableText"/>
            </w:pPr>
            <w:r>
              <w:t xml:space="preserve">MemTX[11]是一般记忆修复，ETDI[22]是工具定义完整性</w:t>
            </w:r>
          </w:p>
        </w:tc>
        <w:tc>
          <w:tcPr>
            <w:tcW w:w="1800" w:type="dxa"/>
          </w:tcPr>
          <w:p>
            <w:pPr>
              <w:pStyle w:val="TableText"/>
            </w:pPr>
            <w:r>
              <w:t xml:space="preserve">中/低</w:t>
            </w:r>
          </w:p>
        </w:tc>
      </w:tr>
      <w:tr>
        <w:tc>
          <w:tcPr>
            <w:tcW w:w="1800" w:type="dxa"/>
          </w:tcPr>
          <w:p>
            <w:pPr>
              <w:pStyle w:val="TableText"/>
            </w:pPr>
            <w:r>
              <w:t xml:space="preserve">N9</w:t>
            </w:r>
          </w:p>
        </w:tc>
        <w:tc>
          <w:tcPr>
            <w:tcW w:w="1800" w:type="dxa"/>
          </w:tcPr>
          <w:p>
            <w:pPr>
              <w:pStyle w:val="TableText"/>
            </w:pPr>
            <w:r>
              <w:t xml:space="preserve">Queued-Handoff Reinfection after Complete Memory Cleanup</w:t>
            </w:r>
          </w:p>
        </w:tc>
        <w:tc>
          <w:tcPr>
            <w:tcW w:w="1800" w:type="dxa"/>
          </w:tcPr>
          <w:p>
            <w:pPr>
              <w:pStyle w:val="TableText"/>
            </w:pPr>
            <w:r>
              <w:t xml:space="preserve">私有/共享记忆已清空，旧 Agent 消息才被消费并再入库</w:t>
            </w:r>
          </w:p>
        </w:tc>
        <w:tc>
          <w:tcPr>
            <w:tcW w:w="1800" w:type="dxa"/>
          </w:tcPr>
          <w:p>
            <w:pPr>
              <w:pStyle w:val="TableText"/>
            </w:pPr>
            <w:r>
              <w:t xml:space="preserve">MAPLE-Guard[21]和修复研究[10]未必覆盖排队载体</w:t>
            </w:r>
          </w:p>
        </w:tc>
        <w:tc>
          <w:tcPr>
            <w:tcW w:w="1800" w:type="dxa"/>
          </w:tcPr>
          <w:p>
            <w:pPr>
              <w:pStyle w:val="TableText"/>
            </w:pPr>
            <w:r>
              <w:t xml:space="preserve">较低/中</w:t>
            </w:r>
          </w:p>
        </w:tc>
      </w:tr>
      <w:tr>
        <w:tc>
          <w:tcPr>
            <w:tcW w:w="1800" w:type="dxa"/>
          </w:tcPr>
          <w:p>
            <w:pPr>
              <w:pStyle w:val="TableText"/>
            </w:pPr>
            <w:r>
              <w:t xml:space="preserve">N10</w:t>
            </w:r>
          </w:p>
        </w:tc>
        <w:tc>
          <w:tcPr>
            <w:tcW w:w="1800" w:type="dxa"/>
          </w:tcPr>
          <w:p>
            <w:pPr>
              <w:pStyle w:val="TableText"/>
            </w:pPr>
            <w:r>
              <w:t xml:space="preserve">Repair-Epoch Admission for Agent Messages</w:t>
            </w:r>
          </w:p>
        </w:tc>
        <w:tc>
          <w:tcPr>
            <w:tcW w:w="1800" w:type="dxa"/>
          </w:tcPr>
          <w:p>
            <w:pPr>
              <w:pStyle w:val="TableText"/>
            </w:pPr>
            <w:r>
              <w:t xml:space="preserve">按事故修复代际在消息入库时拦截旧派生内容</w:t>
            </w:r>
          </w:p>
        </w:tc>
        <w:tc>
          <w:tcPr>
            <w:tcW w:w="1800" w:type="dxa"/>
          </w:tcPr>
          <w:p>
            <w:pPr>
              <w:pStyle w:val="TableText"/>
            </w:pPr>
            <w:r>
              <w:t xml:space="preserve">与一般来源追踪[11][12]的差异是队列晚到与效用代价</w:t>
            </w:r>
          </w:p>
        </w:tc>
        <w:tc>
          <w:tcPr>
            <w:tcW w:w="1800" w:type="dxa"/>
          </w:tcPr>
          <w:p>
            <w:pPr>
              <w:pStyle w:val="TableText"/>
            </w:pPr>
            <w:r>
              <w:t xml:space="preserve">中/中</w:t>
            </w:r>
          </w:p>
        </w:tc>
      </w:tr>
      <w:tr>
        <w:tc>
          <w:tcPr>
            <w:tcW w:w="1800" w:type="dxa"/>
          </w:tcPr>
          <w:p>
            <w:pPr>
              <w:pStyle w:val="TableText"/>
            </w:pPr>
            <w:r>
              <w:t xml:space="preserve">N11</w:t>
            </w:r>
          </w:p>
        </w:tc>
        <w:tc>
          <w:tcPr>
            <w:tcW w:w="1800" w:type="dxa"/>
          </w:tcPr>
          <w:p>
            <w:pPr>
              <w:pStyle w:val="TableText"/>
            </w:pPr>
            <w:r>
              <w:t xml:space="preserve">Cross-Channel Remediation of Dual-View MCP Results</w:t>
            </w:r>
          </w:p>
        </w:tc>
        <w:tc>
          <w:tcPr>
            <w:tcW w:w="1800" w:type="dxa"/>
          </w:tcPr>
          <w:p>
            <w:pPr>
              <w:pStyle w:val="TableText"/>
            </w:pPr>
            <w:r>
              <w:t xml:space="preserve">只屏蔽 MCP 文本/结构化一侧是否导致防护失效，提出一致性写入门控</w:t>
            </w:r>
          </w:p>
        </w:tc>
        <w:tc>
          <w:tcPr>
            <w:tcW w:w="1800" w:type="dxa"/>
          </w:tcPr>
          <w:p>
            <w:pPr>
              <w:pStyle w:val="TableText"/>
            </w:pPr>
            <w:r>
              <w:t xml:space="preserve">N2 的防御扩展；需独立正常任务与跨客户端测试</w:t>
            </w:r>
          </w:p>
        </w:tc>
        <w:tc>
          <w:tcPr>
            <w:tcW w:w="1800" w:type="dxa"/>
          </w:tcPr>
          <w:p>
            <w:pPr>
              <w:pStyle w:val="TableText"/>
            </w:pPr>
            <w:r>
              <w:t xml:space="preserve">中/中</w:t>
            </w:r>
          </w:p>
        </w:tc>
      </w:tr>
    </w:tbl>
    <w:p>
      <w:pPr>
        <w:pStyle w:val="Normal"/>
      </w:pPr>
      <w:r>
        <w:t xml:space="preserve">上述十一题的“独立小论文”仍是待验证假设。N1、N2、N5、N9 更适合先做攻击机制与测量论文；N8、N10、N11 更适合作防护论文；N3、N4 的协议环境工程量明显高于表面描述。选题时不应把 N2 与 N11、N7 与 N8、N9 与 N10 当成四篇不同论文，而应各取一对作为两篇论文的逻辑链。</w:t>
      </w:r>
    </w:p>
    <w:p>
      <w:pPr>
        <w:pStyle w:val="Heading1"/>
      </w:pPr>
      <w:r>
        <w:t xml:space="preserve">四、逐题研究内容、可行实验与淘汰条件</w:t>
      </w:r>
    </w:p>
    <w:p>
      <w:pPr>
        <w:pStyle w:val="Heading2"/>
      </w:pPr>
      <w:r>
        <w:t xml:space="preserve">4.1 N1：被拒绝载荷经安全事故摘要重新入库</w:t>
      </w:r>
    </w:p>
    <w:p>
      <w:pPr>
        <w:pStyle w:val="Normal"/>
      </w:pPr>
      <w:r>
        <w:t xml:space="preserve">【研究背景与现状】已有工作证明外部内容能污染 Agent 记忆[5][6]。本题先要求提示注入被一次明确的检测或执行门控拒绝，然后由“事故记录 Agent”生成包含载荷引用、原因与处理建议的摘要；后续正常任务读取该摘要时，攻击意图被重新激活。此时漏洞不是首次输入防线失效，而是安全记录由审计证据变成了未来行动依据。经关键词检索，尚未找到以“拒绝—事故摘要—长期记忆—后续动作”为完整实验链条的同构论文；现有一般“内生授权洗白”和记忆投毒仍是近邻，不能声称首创事故日志投毒。</w:t>
      </w:r>
    </w:p>
    <w:p>
      <w:pPr>
        <w:pStyle w:val="Normal"/>
      </w:pPr>
      <w:r>
        <w:t xml:space="preserve">【威胁模型与目标】攻击者只控制一条外部网页/工单片段，不能控制拒绝器、事故摘要器、记忆数据库或后续请求。被拒绝这一条件必须由可信日志记录，不能靠人工标注。攻击成功必须发生在后续独立任务，且移除事故摘要后不再发生。</w:t>
      </w:r>
    </w:p>
    <w:p>
      <w:pPr>
        <w:pStyle w:val="Normal"/>
      </w:pPr>
      <w:r>
        <w:t xml:space="preserve">【技术路线与实验】用 Eino 建立正常任务 Agent、门控、事故摘要和记忆读取四个环节；30 个虚构工单模板，四组对照为“未拒绝/已拒绝 × 写入/不写入事故摘要”。比较原始注入、直接记忆投毒、只保留载荷哈希的事故报告、可检索但不可作为行动依据的报告。指标为拒绝后再入库率、延迟 ASR、正常事故检索完成率、误阻断率和攻击链完整率。创新点拟为拒绝后重入威胁模型、事故摘要再入库基准、证据与行动分离写入策略。预计 7—9 人周。</w:t>
      </w:r>
    </w:p>
    <w:p>
      <w:pPr>
        <w:pStyle w:val="Normal"/>
      </w:pPr>
      <w:r>
        <w:t xml:space="preserve">【淘汰条件】若攻击在没有事故摘要时同样发生，或事故摘要正常流程根本不会进入后续任务记忆，则本题不可独立投稿。</w:t>
      </w:r>
    </w:p>
    <w:p>
      <w:pPr>
        <w:pStyle w:val="Heading2"/>
      </w:pPr>
      <w:r>
        <w:t xml:space="preserve">4.2 N2：MCP 双表示结果不一致导致的持久后门</w:t>
      </w:r>
    </w:p>
    <w:p>
      <w:pPr>
        <w:pStyle w:val="Normal"/>
      </w:pPr>
      <w:r>
        <w:t xml:space="preserve">【研究背景与现状】MCP 的工具结果可同时携带 `content` 和 `structuredContent`，客户端对结构化内容的优先级存在实现选择；官方规范还建议兼容性文本副本[26]。现有 GhostSplice 研究描述、结果等多通道注入[9]，但本题仅关注同一次合法工具结果内部的两个语义视图矛盾：执行分支读到安全的结构化字段，记忆摘要却摄入恶意文本，或反之。两视图不一致必须是实验操纵变量，而非普通“在文本中塞提示”。</w:t>
      </w:r>
    </w:p>
    <w:p>
      <w:pPr>
        <w:pStyle w:val="Normal"/>
      </w:pPr>
      <w:r>
        <w:t xml:space="preserve">【威胁模型与目标】攻击者可控制一个低信任 MCP 服务返回内容，不能控制另一合法工具、用户指令或记忆写入逻辑。目标是在当前任务看似成功时，把错误的程序性结论留到下一任务执行。</w:t>
      </w:r>
    </w:p>
    <w:p>
      <w:pPr>
        <w:pStyle w:val="Normal"/>
      </w:pPr>
      <w:r>
        <w:t xml:space="preserve">【技术路线与实验】本地 MCP 服务生成 30—40 组结构化字段与文本字段一致/不一致样本；对同一任务做“仅文本、仅结构化、双视图一致、双视图冲突”四组因子实验。Eino 作为主框架，必要时用轻量 MCP 适配层把两字段同时呈给记忆环节。比较只做关键词过滤、只信 `structuredContent`、只信 `content`、双视图一致性门控。指标为分支—记忆视图分歧率、下一任务 ASR、TSR、FPR 和延迟。创新点为双视图一致性作为新的可审计变量、跨阶段写入因果证据、低成本门控。预计 8—10 人周。</w:t>
      </w:r>
    </w:p>
    <w:p>
      <w:pPr>
        <w:pStyle w:val="Normal"/>
      </w:pPr>
      <w:r>
        <w:t xml:space="preserve">【淘汰条件】若主框架始终只使用一侧内容，无法形成正常的双视图写入路径；或单一视图载荷与双视图冲突效果无差异，则不得声称新机制。</w:t>
      </w:r>
    </w:p>
    <w:p>
      <w:pPr>
        <w:pStyle w:val="Heading2"/>
      </w:pPr>
      <w:r>
        <w:t xml:space="preserve">4.3 N3：MCP 异步任务“完成”与内部工具“失败”的语义错配</w:t>
      </w:r>
    </w:p>
    <w:p>
      <w:pPr>
        <w:pStyle w:val="Normal"/>
      </w:pPr>
      <w:r>
        <w:t xml:space="preserve">【研究背景与现状】MCP Tasks 扩展的草案明确允许任务状态为 `completed`，而最终工具结果仍为 `isError:true`[24]。MCP 失败结果可否指导恢复已由 Result-Only Actionability Audit 分析[15]，但该研究没有把外层任务状态和内层工具错误转化为后续经验记忆的链条作为主问题。本题以状态组合而非错误文本注入为焦点。</w:t>
      </w:r>
    </w:p>
    <w:p>
      <w:pPr>
        <w:pStyle w:val="Normal"/>
      </w:pPr>
      <w:r>
        <w:t xml:space="preserve">【威胁模型与目标】攻击者控制一个可返回异步任务的低信任 MCP 工具的状态说明/最终结果，不控制客户端状态机、其他工具或后续任务。目标是令 Agent 把内部失败错误地写成“已完成且可沿用”的经验，随后在正常任务中错误选择工具或跳过验证。</w:t>
      </w:r>
    </w:p>
    <w:p>
      <w:pPr>
        <w:pStyle w:val="Normal"/>
      </w:pPr>
      <w:r>
        <w:t xml:space="preserve">【技术路线与实验】先实现一个最小协议模拟器，不依赖 Eino 已支持 Tasks；通过适配层向 Eino 传递任务状态与最终结果。设置任务状态 `completed/failed/cancelled` 与内层 `isError`、正文成功/失败成对组合，设计 24—36 个虚构长任务。比较仅看外层状态、仅看内层结果、状态联合判定。指标为错误成功记忆写入率、跨会话 ASR、正常完成任务 TSR 与状态矛盾检出率。创新点是外/内状态冲突矩阵、持久误学习链和联合状态门控。预计 9—11 人周。</w:t>
      </w:r>
    </w:p>
    <w:p>
      <w:pPr>
        <w:pStyle w:val="Normal"/>
      </w:pPr>
      <w:r>
        <w:t xml:space="preserve">【淘汰条件】若最终结果在正常客户端中总是严格覆盖外层状态、并且无法复现实质性错误写入，则该题只剩协议单元测试，不应作为论文。Tasks 仍为较新扩展，兼容性风险需先验收。</w:t>
      </w:r>
    </w:p>
    <w:p>
      <w:pPr>
        <w:pStyle w:val="Heading2"/>
      </w:pPr>
      <w:r>
        <w:t xml:space="preserve">4.4 N4：工具目录变更通知与已保存计划之间的三时刻错配</w:t>
      </w:r>
    </w:p>
    <w:p>
      <w:pPr>
        <w:pStyle w:val="Normal"/>
      </w:pPr>
      <w:r>
        <w:t xml:space="preserve">【研究背景与现状】ETDI 提出版本化工具定义和权限管理[22]，MCP 漂移研究证明工具目录会变化[25]。本题仅讨论时刻 t1 生成并保存计划、t2 收到工具目录变更通知、t3 执行旧计划；攻击成功依赖计划在 t2 未重新绑定已审定的工具契约。MCP 新版订阅 API 提供 `tools/list_changed` 等事件，能用于受控复现[27]。</w:t>
      </w:r>
    </w:p>
    <w:p>
      <w:pPr>
        <w:pStyle w:val="Normal"/>
      </w:pPr>
      <w:r>
        <w:t xml:space="preserve">【威胁模型与目标】攻击者只能短时控制一个 MCP 服务的工具定义变更事件与低信任目录文本，不可改执行器权限或目标用户任务。目标是在旧计划被记忆重用时，导致工具选择或参数含义偏离原任务。</w:t>
      </w:r>
    </w:p>
    <w:p>
      <w:pPr>
        <w:pStyle w:val="Normal"/>
      </w:pPr>
      <w:r>
        <w:t xml:space="preserve">【技术路线与实验】本地服务器与可控制时钟的客户端分别记录计划生成、事件接收、重新拉取、工具调用四时刻；测试变更前、变更后和调用瞬间不同注入窗口。比较静态描述扫描、收到通知后刷新、计划与工具契约摘要绑定。指标为三时刻条件下 ASR、正常动态工具任务 TSR、刷新遗漏率、调用前额外延迟。Eino 可做上层流程，订阅机制可能需要本地适配器。预计 9—11 人周。</w:t>
      </w:r>
    </w:p>
    <w:p>
      <w:pPr>
        <w:pStyle w:val="Normal"/>
      </w:pPr>
      <w:r>
        <w:t xml:space="preserve">【淘汰条件】若只靠工具变更本身就产生错误，旧记忆计划不是必要条件；或 ETDI 的公开实现已完整覆盖三时刻场景，则本题退为对照实验。</w:t>
      </w:r>
    </w:p>
    <w:p>
      <w:pPr>
        <w:pStyle w:val="Heading2"/>
      </w:pPr>
      <w:r>
        <w:t xml:space="preserve">4.5 N5：污染源隔离后，预先排程的后台合并仍写入记忆</w:t>
      </w:r>
    </w:p>
    <w:p>
      <w:pPr>
        <w:pStyle w:val="Normal"/>
      </w:pPr>
      <w:r>
        <w:t xml:space="preserve">【研究背景与现状】MemTX、MemSecBench 和选择性回放均研究已写入记忆的修复[10]—[12]。本题选择另一时间边界：污染输入被发现并隔离时，后台摘要/合并任务已经持有旧快照，却尚未提交；隔离完成后，它将派生结论写进长期记忆。研究对象是尚未提交的派生工作，不是一般撤销条目检索。</w:t>
      </w:r>
    </w:p>
    <w:p>
      <w:pPr>
        <w:pStyle w:val="Normal"/>
      </w:pPr>
      <w:r>
        <w:t xml:space="preserve">【威胁模型与目标】攻击者只能在隔离之前污染一次普通外部输入，不能控制隔离器、后台调度或新记忆库。成功须满足“隔离确认→后台任务提交→新任务触发错误动作”的严格顺序。</w:t>
      </w:r>
    </w:p>
    <w:p>
      <w:pPr>
        <w:pStyle w:val="Normal"/>
      </w:pPr>
      <w:r>
        <w:t xml:space="preserve">【技术路线与实验】使用 Eino＋本地定时队列模拟正常后台合并，给 25—40 个多会话任务设定四种交错：读取源、排程、隔离、提交。比较只删除源、隔离时取消任务、提交前重新验证源、全量重建。指标为隔离后再污染率、正常合并成功率、任务取消率、延迟和误隔离率。创新点为合并提交竞态的可重演基准、来源有效性提交门控、修复效用评估。预计 8—10 人周。</w:t>
      </w:r>
    </w:p>
    <w:p>
      <w:pPr>
        <w:pStyle w:val="Normal"/>
      </w:pPr>
      <w:r>
        <w:t xml:space="preserve">【淘汰条件】若正常系统的后台合并没有快照/提交分离，必须人为制造不真实的队列，或者简单取消所有任务在合理代价内即可解决，则独立性不足。</w:t>
      </w:r>
    </w:p>
    <w:p>
      <w:pPr>
        <w:pStyle w:val="Heading2"/>
      </w:pPr>
      <w:r>
        <w:t xml:space="preserve">4.6 N6：源记录 TTL 到期但派生操作步骤仍被执行</w:t>
      </w:r>
    </w:p>
    <w:p>
      <w:pPr>
        <w:pStyle w:val="Normal"/>
      </w:pPr>
      <w:r>
        <w:t xml:space="preserve">【研究背景与现状】已有“继承记忆中的过期约束”研究直接测量旧约束被采用与验证预算[13]；Revoked but Still Authoritative 研究撤销事实检索[19]。本题避开一般陈旧事实，限定到期记录经过两次以上自然总结后变成程序性操作步骤；源记录及其向量索引均已不可检索，但派生步骤仍能指导工具执行。新意必须来自“TTL 元数据未随派生继承”的实验机制，而不是“旧记忆仍然存在”。</w:t>
      </w:r>
    </w:p>
    <w:p>
      <w:pPr>
        <w:pStyle w:val="Normal"/>
      </w:pPr>
      <w:r>
        <w:t xml:space="preserve">【威胁模型与目标】攻击者可短时污染一个带正常 TTL 的低信任条目，不能直接写入永久规则；目标是在 TTL 到期后推动后续工具错误动作。防御为派生有效期取来源有效期交集或在执行前回查来源。</w:t>
      </w:r>
    </w:p>
    <w:p>
      <w:pPr>
        <w:pStyle w:val="Normal"/>
      </w:pPr>
      <w:r>
        <w:t xml:space="preserve">【技术路线与实验】利用具备摘要派生的开源记忆流程构造 30 组任务；对照无派生、一次派生、多次派生、源到期、源未到期。与记录级撤销、强制来源回查和有效期继承比较。指标为到期后 ASR、有效期传播正确率、正常任务 TSR、查询延迟。预计 8—10 人周。</w:t>
      </w:r>
    </w:p>
    <w:p>
      <w:pPr>
        <w:pStyle w:val="Normal"/>
      </w:pPr>
      <w:r>
        <w:t xml:space="preserve">【淘汰条件】若[13]或[19]的全文实验已经包含同样 TTL 派生链，或派生仅靠人工复制得到，则取消独立投稿。</w:t>
      </w:r>
    </w:p>
    <w:p>
      <w:pPr>
        <w:pStyle w:val="Heading2"/>
      </w:pPr>
      <w:r>
        <w:t xml:space="preserve">4.7 N7：恶意 MCP 工具退役后的跨工具经验迁移</w:t>
      </w:r>
    </w:p>
    <w:p>
      <w:pPr>
        <w:pStyle w:val="Normal"/>
      </w:pPr>
      <w:r>
        <w:t xml:space="preserve">【研究背景与现状】MemMorph 已研究污染记忆影响工具选择[8]，GhostSplice 已研究工具通道注入[9]。本题唯一新边界是：恶意工具 A 被真正移除或恢复可信版本后，另一个未被攻击者控制的工具 B 因此前形成的经验记忆执行错误动作。不能把攻击仍依赖 A 的场景计为成功。</w:t>
      </w:r>
    </w:p>
    <w:p>
      <w:pPr>
        <w:pStyle w:val="Normal"/>
      </w:pPr>
      <w:r>
        <w:t xml:space="preserve">【威胁模型与目标】攻击者仅短时控制 A 的描述或返回值，不能改 B、记忆库或后续任务。目的是测量退役后仍可跨工具转移的后门及触发条件。</w:t>
      </w:r>
    </w:p>
    <w:p>
      <w:pPr>
        <w:pStyle w:val="Normal"/>
      </w:pPr>
      <w:r>
        <w:t xml:space="preserve">【技术路线与实验】Eino＋本地 MCP 构造 30—50 个工具 A/B 成对任务，实行“无攻击/有攻击 × A 保留/退役 × 记忆开/关”因子对照；记录 A 退役确认、经验检索、B 的实际调用。比较一般工具投毒、MemoryGraft 式经验污染、MemMorph 式选择偏置。指标为退役后 ASR、跨工具转移率、TSR、误触发率与残留会话数。创新点为严格退役边界、因果迁移基准与来源日志。预计 8—10 人周。</w:t>
      </w:r>
    </w:p>
    <w:p>
      <w:pPr>
        <w:pStyle w:val="Normal"/>
      </w:pPr>
      <w:r>
        <w:t xml:space="preserve">【淘汰条件】如果把 A 移除后攻击明显消失，或只在 B 与 A 同名时出现而可由简单工具名碰撞解释，则不以此作为论文。</w:t>
      </w:r>
    </w:p>
    <w:p>
      <w:pPr>
        <w:pStyle w:val="Heading2"/>
      </w:pPr>
      <w:r>
        <w:t xml:space="preserve">4.8 N8：工具退役事件触发的程序性记忆最小失效</w:t>
      </w:r>
    </w:p>
    <w:p>
      <w:pPr>
        <w:pStyle w:val="Normal"/>
      </w:pPr>
      <w:r>
        <w:t xml:space="preserve">【研究背景与现状】MemTX、选择性回放处理一般派生状态清理[11][12]，ETDI 处理工具定义完整性[22]。本题只研究退役时必须失效的经验集合：从工具调用、观察、总结到程序性记忆建立轻量依赖；受影响记忆被隔离，与退役工具无关的经验仍可使用。</w:t>
      </w:r>
    </w:p>
    <w:p>
      <w:pPr>
        <w:pStyle w:val="Normal"/>
      </w:pPr>
      <w:r>
        <w:t xml:space="preserve">【威胁模型与目标】攻击样本来自 N7，但防御论文须包含新的独立正常任务集和至少一种未见工具版本。防御只利用执行日志、契约摘要和记忆元数据，不需模型训练。</w:t>
      </w:r>
    </w:p>
    <w:p>
      <w:pPr>
        <w:pStyle w:val="Normal"/>
      </w:pPr>
      <w:r>
        <w:t xml:space="preserve">【技术路线与实验】设计直接依赖、间接派生和无关记忆三类样本；比较全库清空、只删原始工具记录、一般来源过滤和版本绑定最小失效。指标为 ASR 降幅、正常任务 TSR、误删率、依赖图覆盖率与运行开销。创新点为退役事件与记忆失效集合的对应规则、低成本元数据实现、效用损失量化。预计 8—10 人周。</w:t>
      </w:r>
    </w:p>
    <w:p>
      <w:pPr>
        <w:pStyle w:val="Normal"/>
      </w:pPr>
      <w:r>
        <w:t xml:space="preserve">【淘汰条件】若通用来源追踪基线在相同日志条件下效果与成本均不弱于本方案，则该方向没有独立增益。</w:t>
      </w:r>
    </w:p>
    <w:p>
      <w:pPr>
        <w:pStyle w:val="Heading2"/>
      </w:pPr>
      <w:r>
        <w:t xml:space="preserve">4.9 N9：记忆清理完成后排队的 Agent 消息重新引入污染</w:t>
      </w:r>
    </w:p>
    <w:p>
      <w:pPr>
        <w:pStyle w:val="Normal"/>
      </w:pPr>
      <w:r>
        <w:t xml:space="preserve">【研究背景与现状】Prompt Infection 已证明消息传播[4]，MAPLE-Guard 研究多 Agent 私有/共享记忆门控[21]，MemSecBench 研究记忆清理[10]。本题不重复传播或删除，而要求私有和共享记忆在修复时刻确已清理；事故前生成的消息晚到，被下游 Agent 总结并重新写入共享记忆。</w:t>
      </w:r>
    </w:p>
    <w:p>
      <w:pPr>
        <w:pStyle w:val="Normal"/>
      </w:pPr>
      <w:r>
        <w:t xml:space="preserve">【威胁模型与目标】攻击者仅控制事故前一次低权限消息，不控制修复后的输入、队列或其他 Agent。再污染必须发生在可信的清理完成事件之后。</w:t>
      </w:r>
    </w:p>
    <w:p>
      <w:pPr>
        <w:pStyle w:val="Normal"/>
      </w:pPr>
      <w:r>
        <w:t xml:space="preserve">【技术路线与实验】三个 Agent、私有/共享记忆及异步队列；设计 25—40 个文档审核/工单协作任务，改变消息生成、投递、修复、消费四个时间点。比较只删记忆、全队列清空、普通来源门控、基于消息生成代际的门控。指标为修复后再污染率、最终 ASR、正常任务完成率、消息丢弃率和恢复时间。创新点为可重演的清理后再入库时间线、不可见队列载体评测、必要清理边界。预计 8—10 人周。</w:t>
      </w:r>
    </w:p>
    <w:p>
      <w:pPr>
        <w:pStyle w:val="Normal"/>
      </w:pPr>
      <w:r>
        <w:t xml:space="preserve">【淘汰条件】若正常系统在修复时会严格停止所有排队消息，或污染其实来自未清理的记忆而不是消息，则此题不成立。</w:t>
      </w:r>
    </w:p>
    <w:p>
      <w:pPr>
        <w:pStyle w:val="Heading2"/>
      </w:pPr>
      <w:r>
        <w:t xml:space="preserve">4.10 N10：基于修复代际的消息入库判定</w:t>
      </w:r>
    </w:p>
    <w:p>
      <w:pPr>
        <w:pStyle w:val="Normal"/>
      </w:pPr>
      <w:r>
        <w:t xml:space="preserve">【研究背景与现状】选择性回放与 MemTX 已提出修复方法[11][12]，并发异常研究分析迟到消息[20]。本题的独立判定点固定在“消息已到达，但尚未写入共享记忆”：每条消息携带创建代际、父来源与任务 ID；修复推进代际，旧消息须证明独立于污染源，才可入库。重点是部分来源缺失时的安全—效用权衡。</w:t>
      </w:r>
    </w:p>
    <w:p>
      <w:pPr>
        <w:pStyle w:val="Normal"/>
      </w:pPr>
      <w:r>
        <w:t xml:space="preserve">【威胁模型与目标】沿用 N9 的事故链，但防御不能简单全清队列或重启全部 Agent。目标是以较小正常任务损失阻断旧消息再污染。</w:t>
      </w:r>
    </w:p>
    <w:p>
      <w:pPr>
        <w:pStyle w:val="Normal"/>
      </w:pPr>
      <w:r>
        <w:t xml:space="preserve">【技术路线与实验】实现消息入库钩子，比较全清、只看时间戳、完整谱系回放和代际判定；开发集用 N9 攻击任务，测试集另加至少 20 个正常异步任务。指标为再污染阻断率、正常消息保留率、误隔离率、恢复延迟和元数据开销。创新点为修复代际入库语义、来源不完整时的保守决策、效用优先评测。预计 8—10 人周。</w:t>
      </w:r>
    </w:p>
    <w:p>
      <w:pPr>
        <w:pStyle w:val="Normal"/>
      </w:pPr>
      <w:r>
        <w:t xml:space="preserve">【淘汰条件】如果“只看生成时间戳”已经达到同样防护和更低效用损失，复杂代际方案不构成有效创新。</w:t>
      </w:r>
    </w:p>
    <w:p>
      <w:pPr>
        <w:pStyle w:val="Heading2"/>
      </w:pPr>
      <w:r>
        <w:t xml:space="preserve">4.11 N11：MCP 双视图防护中只清理一侧的失效边界</w:t>
      </w:r>
    </w:p>
    <w:p>
      <w:pPr>
        <w:pStyle w:val="Normal"/>
      </w:pPr>
      <w:r>
        <w:t xml:space="preserve">【研究背景与现状】N2 研究双表示分歧导致后门。本题的独立问题是现有输入清洗/结构化校验若只覆盖 `content` 或只覆盖 `structuredContent`，是否会把未清洗侧重新写入记忆；需要与 GhostSplice 的跨通道攻击[9]和 MCP 工具防护基线比较。不可把“同时检查两侧”本身夸成新理论，贡献应在于防护点选择的实证边界和不同客户端的可移植性。</w:t>
      </w:r>
    </w:p>
    <w:p>
      <w:pPr>
        <w:pStyle w:val="Normal"/>
      </w:pPr>
      <w:r>
        <w:t xml:space="preserve">【威胁模型与目标】攻击者同 N2；防御者可在 MCP 结果进入记忆前插入轻量一致性规则。目标同时降低持久 ASR 和正常工具结果误拦截。</w:t>
      </w:r>
    </w:p>
    <w:p>
      <w:pPr>
        <w:pStyle w:val="Normal"/>
      </w:pPr>
      <w:r>
        <w:t xml:space="preserve">【技术路线与实验】建立开发集与盲测集，变化字段冲突、字段缺失、输出模式版本和客户端的视图选择。比较文本屏蔽、结构化校验、两侧独立扫描、语义一致性门控。指标为后续 ASR、TSR、FPR、校验耗时与跨客户端保持率。预计 8—10 人周。</w:t>
      </w:r>
    </w:p>
    <w:p>
      <w:pPr>
        <w:pStyle w:val="Normal"/>
      </w:pPr>
      <w:r>
        <w:t xml:space="preserve">【淘汰条件】若“同时独立扫描两侧”的朴素基线与所提一致性门控等效，或者另一客户端根本不呈现双视图，则本题只能作 N2 的防御实验，不能单投。</w:t>
      </w:r>
    </w:p>
    <w:p>
      <w:pPr>
        <w:pStyle w:val="Heading1"/>
      </w:pPr>
      <w:r>
        <w:t xml:space="preserve">五、优先级、两篇论文组合与两周预实验</w:t>
      </w:r>
    </w:p>
    <w:p>
      <w:pPr>
        <w:pStyle w:val="Heading2"/>
      </w:pPr>
      <w:r>
        <w:t xml:space="preserve">5.1 推荐顺序</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优先级</w:t>
            </w:r>
          </w:p>
        </w:tc>
        <w:tc>
          <w:tcPr>
            <w:tcW w:w="3000" w:type="dxa"/>
            <w:shd w:fill="DCE6F1"/>
          </w:tcPr>
          <w:p>
            <w:pPr>
              <w:pStyle w:val="TableText"/>
            </w:pPr>
            <w:r>
              <w:rPr>
                <w:b/>
              </w:rPr>
              <w:t xml:space="preserve">候选</w:t>
            </w:r>
          </w:p>
        </w:tc>
        <w:tc>
          <w:tcPr>
            <w:tcW w:w="3000" w:type="dxa"/>
            <w:shd w:fill="DCE6F1"/>
          </w:tcPr>
          <w:p>
            <w:pPr>
              <w:pStyle w:val="TableText"/>
            </w:pPr>
            <w:r>
              <w:rPr>
                <w:b/>
              </w:rPr>
              <w:t xml:space="preserve">理由</w:t>
            </w:r>
          </w:p>
        </w:tc>
      </w:tr>
      <w:tr>
        <w:tc>
          <w:tcPr>
            <w:tcW w:w="3000" w:type="dxa"/>
          </w:tcPr>
          <w:p>
            <w:pPr>
              <w:pStyle w:val="TableText"/>
            </w:pPr>
            <w:r>
              <w:t xml:space="preserve">第一梯队</w:t>
            </w:r>
          </w:p>
        </w:tc>
        <w:tc>
          <w:tcPr>
            <w:tcW w:w="3000" w:type="dxa"/>
          </w:tcPr>
          <w:p>
            <w:pPr>
              <w:pStyle w:val="TableText"/>
            </w:pPr>
            <w:r>
              <w:t xml:space="preserve">N1、N2、N5、N9</w:t>
            </w:r>
          </w:p>
        </w:tc>
        <w:tc>
          <w:tcPr>
            <w:tcW w:w="3000" w:type="dxa"/>
          </w:tcPr>
          <w:p>
            <w:pPr>
              <w:pStyle w:val="TableText"/>
            </w:pPr>
            <w:r>
              <w:t xml:space="preserve">机制链能用可信事件日志清楚界定；已有论文尚未直接覆盖整条链；实现不依赖新协议的完整落地</w:t>
            </w:r>
          </w:p>
        </w:tc>
      </w:tr>
      <w:tr>
        <w:tc>
          <w:tcPr>
            <w:tcW w:w="3000" w:type="dxa"/>
          </w:tcPr>
          <w:p>
            <w:pPr>
              <w:pStyle w:val="TableText"/>
            </w:pPr>
            <w:r>
              <w:t xml:space="preserve">第二梯队</w:t>
            </w:r>
          </w:p>
        </w:tc>
        <w:tc>
          <w:tcPr>
            <w:tcW w:w="3000" w:type="dxa"/>
          </w:tcPr>
          <w:p>
            <w:pPr>
              <w:pStyle w:val="TableText"/>
            </w:pPr>
            <w:r>
              <w:t xml:space="preserve">N7、N8、N10、N11、N6</w:t>
            </w:r>
          </w:p>
        </w:tc>
        <w:tc>
          <w:tcPr>
            <w:tcW w:w="3000" w:type="dxa"/>
          </w:tcPr>
          <w:p>
            <w:pPr>
              <w:pStyle w:val="TableText"/>
            </w:pPr>
            <w:r>
              <w:t xml:space="preserve">工程可落地且有明确对照，但与一般记忆修复/来源管理相邻，须证明额外收益</w:t>
            </w:r>
          </w:p>
        </w:tc>
      </w:tr>
      <w:tr>
        <w:tc>
          <w:tcPr>
            <w:tcW w:w="3000" w:type="dxa"/>
          </w:tcPr>
          <w:p>
            <w:pPr>
              <w:pStyle w:val="TableText"/>
            </w:pPr>
            <w:r>
              <w:t xml:space="preserve">先验收工程</w:t>
            </w:r>
          </w:p>
        </w:tc>
        <w:tc>
          <w:tcPr>
            <w:tcW w:w="3000" w:type="dxa"/>
          </w:tcPr>
          <w:p>
            <w:pPr>
              <w:pStyle w:val="TableText"/>
            </w:pPr>
            <w:r>
              <w:t xml:space="preserve">N3、N4</w:t>
            </w:r>
          </w:p>
        </w:tc>
        <w:tc>
          <w:tcPr>
            <w:tcW w:w="3000" w:type="dxa"/>
          </w:tcPr>
          <w:p>
            <w:pPr>
              <w:pStyle w:val="TableText"/>
            </w:pPr>
            <w:r>
              <w:t xml:space="preserve">依赖 MCP 较新 Tasks/订阅语义，查新差异清楚，但 SDK 兼容和环境搭建风险较高</w:t>
            </w:r>
          </w:p>
        </w:tc>
      </w:tr>
    </w:tbl>
    <w:p>
      <w:pPr>
        <w:pStyle w:val="Normal"/>
      </w:pPr>
      <w:r>
        <w:t xml:space="preserve">第一梯队的“较低撞题”也只是文献重叠维度。独立发表还需在预实验中证明稳定效果、对正常任务影响小以及至少一个强基线未覆盖。对工程风险高的 N3/N4，若两周内不能完成正常协议往返与可靠事件记录，直接后移，不占用整个学期。</w:t>
      </w:r>
    </w:p>
    <w:p>
      <w:pPr>
        <w:pStyle w:val="Heading2"/>
      </w:pPr>
      <w:r>
        <w:t xml:space="preserve">5.2 A 主方案：事故摘要重入攻击＋有边界的记忆写入防护</w:t>
      </w:r>
    </w:p>
    <w:p>
      <w:pPr>
        <w:pStyle w:val="Normal"/>
      </w:pPr>
      <w:r>
        <w:t xml:space="preserve">第一篇选 N1，研究提示注入被拒绝后如何经安全事故摘要重入长期记忆，贡献完整因果链与受控测试集。第二篇不单独以“关键词过滤”为题，而选 N5：研究事故源隔离后后台合并任务如何重新提交派生记忆，并提出提交前源有效性校验。两篇相联系于“安全处理过程反而形成持久状态”，但载体不同：第一篇是事故报告文本，第二篇是已排程合并任务的旧快照。均可在 Eino 的同一记忆与事件日志底座上实现，实验任务应分开。此方案的最大风险是系统默认不生成事故摘要或后台合并，需保证两者是系统正常功能，不能为制造攻击临时添加。</w:t>
      </w:r>
    </w:p>
    <w:p>
      <w:pPr>
        <w:pStyle w:val="Heading2"/>
      </w:pPr>
      <w:r>
        <w:t xml:space="preserve">5.3 B 备选方案：工具退役后的跨工具后门＋最小记忆失效</w:t>
      </w:r>
    </w:p>
    <w:p>
      <w:pPr>
        <w:pStyle w:val="Normal"/>
      </w:pPr>
      <w:r>
        <w:t xml:space="preserve">第一篇选 N7，严格验证恶意工具退役后另一合法工具受旧经验影响；第二篇选 N8，提出工具身份/版本绑定的程序性记忆失效。该组合比 MCP 新 Tasks 环境更稳妥，便于研二上完成，且与上一版方案逻辑一致。两篇在实验评价上应分别采用独立攻击模板和额外正常任务，第二篇需与通用来源追踪、全清和工具契约固定基线比较；若 N7 的退役后 ASR 不显著，整套组合应切换至 A 方案或 N2/N11。</w:t>
      </w:r>
    </w:p>
    <w:p>
      <w:pPr>
        <w:pStyle w:val="Heading2"/>
      </w:pPr>
      <w:r>
        <w:t xml:space="preserve">5.4 C 挑战方案：异步修复后再污染＋代际入库判定</w:t>
      </w:r>
    </w:p>
    <w:p>
      <w:pPr>
        <w:pStyle w:val="Normal"/>
      </w:pPr>
      <w:r>
        <w:t xml:space="preserve">第一篇选 N9，第二篇选 N10。该组合更贴近多 Agent 论文方向，论文结构清楚，但异步队列、私有/共享记忆及修复时序的实验环境较复杂；只有在现成 Eino 事件日志能够重放全部时间线时才进入主方案。需重点比对 MemTX、MemSecBench、MAPLE-Guard 与并发异常研究的全文，防止把一般“迟到消息”改名为后门。</w:t>
      </w:r>
    </w:p>
    <w:p>
      <w:pPr>
        <w:pStyle w:val="Heading2"/>
      </w:pPr>
      <w:r>
        <w:t xml:space="preserve">5.5 两周预实验与决策门槛</w:t>
      </w:r>
    </w:p>
    <w:p>
      <w:pPr>
        <w:pStyle w:val="Normal"/>
      </w:pPr>
      <w:r>
        <w:t xml:space="preserve">第 1 周：每个拟选组合只做 8—12 个虚构任务模板；先实现正常任务与可靠事件日志，再插入载荷。每条日志必须记录载荷读取、拒绝/写入/排程、修复或退役确认、最终执行动作。第 2 周：完成至少四个因子对照、至少一个强基线与 3 次重复运行，得到初步置信区间；若攻击成功只在一个刻意模板上出现、缺少独立后续任务、或“无记忆/无队列”对照仍成功，应淘汰该题。预实验通过后再扩展到 30—50 个任务，不应先写大量载荷再寻找可解释现象。</w:t>
      </w:r>
    </w:p>
    <w:p>
      <w:pPr>
        <w:pStyle w:val="Heading1"/>
      </w:pPr>
      <w:r>
        <w:t xml:space="preserve">六、实验与进度安排</w:t>
      </w:r>
    </w:p>
    <w:p>
      <w:pPr>
        <w:pStyle w:val="Normal"/>
      </w:pPr>
      <w:r>
        <w:t xml:space="preserve">可复用 INJECAGENT/AgentDojo 的任务骨架，AgentPoison/MPBench/MemSecBench 的记忆链设置，以及 MCPTox/MCP Security Bench 的工具安全类别；所有新题的时间边界需自行构造，不能把现有基准名称当作已覆盖新机制。对攻击题，ASR 只有在后续任务中执行器实际接收到攻击者目标动作时计成功，记忆写入或错误回复单独报告。对防御题同时报告正常任务成功率、误报率、延迟、元数据开销和强基线差异。设计集与盲测集按任务模板分离，不按同模板文本改写随机拆分。所有实验使用虚构任务、模拟工具和本地测试数据，不触及真实外发或生产权限。</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4500"/>
        <w:gridCol w:w="4500"/>
      </w:tblGrid>
      <w:tr>
        <w:trPr>
          <w:tblHeader w:val="true"/>
        </w:trPr>
        <w:tc>
          <w:tcPr>
            <w:tcW w:w="4500" w:type="dxa"/>
            <w:shd w:fill="DCE6F1"/>
          </w:tcPr>
          <w:p>
            <w:pPr>
              <w:pStyle w:val="TableText"/>
            </w:pPr>
            <w:r>
              <w:rPr>
                <w:b/>
              </w:rPr>
              <w:t xml:space="preserve">时间</w:t>
            </w:r>
          </w:p>
        </w:tc>
        <w:tc>
          <w:tcPr>
            <w:tcW w:w="4500" w:type="dxa"/>
            <w:shd w:fill="DCE6F1"/>
          </w:tcPr>
          <w:p>
            <w:pPr>
              <w:pStyle w:val="TableText"/>
            </w:pPr>
            <w:r>
              <w:rPr>
                <w:b/>
              </w:rPr>
              <w:t xml:space="preserve">任务与交付物</w:t>
            </w:r>
          </w:p>
        </w:tc>
      </w:tr>
      <w:tr>
        <w:tc>
          <w:tcPr>
            <w:tcW w:w="4500" w:type="dxa"/>
          </w:tcPr>
          <w:p>
            <w:pPr>
              <w:pStyle w:val="TableText"/>
            </w:pPr>
            <w:r>
              <w:t xml:space="preserve">2026 年 9 月末—10 月上旬</w:t>
            </w:r>
          </w:p>
        </w:tc>
        <w:tc>
          <w:tcPr>
            <w:tcW w:w="4500" w:type="dxa"/>
          </w:tcPr>
          <w:p>
            <w:pPr>
              <w:pStyle w:val="TableText"/>
            </w:pPr>
            <w:r>
              <w:t xml:space="preserve">完成两周预实验与导师定题；复核最近工作全文；通过“有稳定现象、有独立对照、有可靠日志”三道门槛</w:t>
            </w:r>
          </w:p>
        </w:tc>
      </w:tr>
      <w:tr>
        <w:tc>
          <w:tcPr>
            <w:tcW w:w="4500" w:type="dxa"/>
          </w:tcPr>
          <w:p>
            <w:pPr>
              <w:pStyle w:val="TableText"/>
            </w:pPr>
            <w:r>
              <w:t xml:space="preserve">2026 年 10 月中下旬</w:t>
            </w:r>
          </w:p>
        </w:tc>
        <w:tc>
          <w:tcPr>
            <w:tcW w:w="4500" w:type="dxa"/>
          </w:tcPr>
          <w:p>
            <w:pPr>
              <w:pStyle w:val="TableText"/>
            </w:pPr>
            <w:r>
              <w:t xml:space="preserve">第一篇扩展至 30—50 模板，固定攻击者权限与指标，做主实验及消融</w:t>
            </w:r>
          </w:p>
        </w:tc>
      </w:tr>
      <w:tr>
        <w:tc>
          <w:tcPr>
            <w:tcW w:w="4500" w:type="dxa"/>
          </w:tcPr>
          <w:p>
            <w:pPr>
              <w:pStyle w:val="TableText"/>
            </w:pPr>
            <w:r>
              <w:t xml:space="preserve">2026 年 11 月</w:t>
            </w:r>
          </w:p>
        </w:tc>
        <w:tc>
          <w:tcPr>
            <w:tcW w:w="4500" w:type="dxa"/>
          </w:tcPr>
          <w:p>
            <w:pPr>
              <w:pStyle w:val="TableText"/>
            </w:pPr>
            <w:r>
              <w:t xml:space="preserve">第一篇完整初稿；第二篇防护/新载体实现并建立独立正常任务集</w:t>
            </w:r>
          </w:p>
        </w:tc>
      </w:tr>
      <w:tr>
        <w:tc>
          <w:tcPr>
            <w:tcW w:w="4500" w:type="dxa"/>
          </w:tcPr>
          <w:p>
            <w:pPr>
              <w:pStyle w:val="TableText"/>
            </w:pPr>
            <w:r>
              <w:t xml:space="preserve">2026 年 12 月</w:t>
            </w:r>
          </w:p>
        </w:tc>
        <w:tc>
          <w:tcPr>
            <w:tcW w:w="4500" w:type="dxa"/>
          </w:tcPr>
          <w:p>
            <w:pPr>
              <w:pStyle w:val="TableText"/>
            </w:pPr>
            <w:r>
              <w:t xml:space="preserve">第二篇主实验、效用和开销评测；第一篇针对反馈补实验</w:t>
            </w:r>
          </w:p>
        </w:tc>
      </w:tr>
      <w:tr>
        <w:tc>
          <w:tcPr>
            <w:tcW w:w="4500" w:type="dxa"/>
          </w:tcPr>
          <w:p>
            <w:pPr>
              <w:pStyle w:val="TableText"/>
            </w:pPr>
            <w:r>
              <w:t xml:space="preserve">2027 年 1 月</w:t>
            </w:r>
          </w:p>
        </w:tc>
        <w:tc>
          <w:tcPr>
            <w:tcW w:w="4500" w:type="dxa"/>
          </w:tcPr>
          <w:p>
            <w:pPr>
              <w:pStyle w:val="TableText"/>
            </w:pPr>
            <w:r>
              <w:t xml:space="preserve">第二篇初稿、滚动查新、统一复现包，整理毕业论文主体材料</w:t>
            </w:r>
          </w:p>
        </w:tc>
      </w:tr>
    </w:tbl>
    <w:p>
      <w:pPr>
        <w:pStyle w:val="Normal"/>
      </w:pPr>
      <w:r>
        <w:t xml:space="preserve">两篇论文合计约 16—20 净人周，已接近研二上学期的可用上限；若课程占用较多，优先选择 B 方案共享 MCP/记忆环境，暂不选择 N3/N4 的新协议实现。此安排不依赖训练或微调大模型。</w:t>
      </w:r>
    </w:p>
    <w:p>
      <w:pPr>
        <w:pStyle w:val="Heading1"/>
      </w:pPr>
      <w:r>
        <w:t xml:space="preserve">七、参考文献与原始来源</w:t>
      </w:r>
    </w:p>
    <w:p>
      <w:pPr>
        <w:pStyle w:val="Normal"/>
      </w:pPr>
      <w:r>
        <w:t xml:space="preserve">[1] Greshake et al. Not What You've Signed Up For. 2023. https://arxiv.org/abs/2302.12173</w:t>
      </w:r>
    </w:p>
    <w:p>
      <w:pPr>
        <w:pStyle w:val="Normal"/>
      </w:pPr>
      <w:r>
        <w:t xml:space="preserve">[2] InjecAgent. Findings of ACL 2024. https://aclanthology.org/2024.findings-acl.624/</w:t>
      </w:r>
    </w:p>
    <w:p>
      <w:pPr>
        <w:pStyle w:val="Normal"/>
      </w:pPr>
      <w:r>
        <w:t xml:space="preserve">[3] AgentPoison. NeurIPS 2024. https://papers.nips.cc/paper_files/paper/2024/file/eb113910e9c3f6242541c1652e30dfd6-Paper-Conference.pdf</w:t>
      </w:r>
    </w:p>
    <w:p>
      <w:pPr>
        <w:pStyle w:val="Normal"/>
      </w:pPr>
      <w:r>
        <w:t xml:space="preserve">[4] Prompt Infection. 2024. https://arxiv.org/abs/2410.07283</w:t>
      </w:r>
    </w:p>
    <w:p>
      <w:pPr>
        <w:pStyle w:val="Normal"/>
      </w:pPr>
      <w:r>
        <w:t xml:space="preserve">[5] MINJA. NeurIPS 2025. https://papers.nips.cc/paper_files/paper/2025/file/42a97bbd9844d2bf68596730af80bcdf-Paper-Conference.pdf</w:t>
      </w:r>
    </w:p>
    <w:p>
      <w:pPr>
        <w:pStyle w:val="Normal"/>
      </w:pPr>
      <w:r>
        <w:t xml:space="preserve">[6] MemoryGraft. 2025. https://arxiv.org/abs/2512.16962</w:t>
      </w:r>
    </w:p>
    <w:p>
      <w:pPr>
        <w:pStyle w:val="Normal"/>
      </w:pPr>
      <w:r>
        <w:t xml:space="preserve">[7] MCPTox. AAAI 2026. https://ojs.aaai.org/index.php/AAAI/article/view/40895</w:t>
      </w:r>
    </w:p>
    <w:p>
      <w:pPr>
        <w:pStyle w:val="Normal"/>
      </w:pPr>
      <w:r>
        <w:t xml:space="preserve">[8] MemMorph: Tool Hijacking in LLM Agents via Memory Poisoning. 2026. https://arxiv.org/abs/2605.26154</w:t>
      </w:r>
    </w:p>
    <w:p>
      <w:pPr>
        <w:pStyle w:val="Normal"/>
      </w:pPr>
      <w:r>
        <w:t xml:space="preserve">[9] Measuring and Exploiting Implicit Trust in LLM Tool-Calling Pipelines (GhostSplice). 2026. https://arxiv.org/abs/2609.18217</w:t>
      </w:r>
    </w:p>
    <w:p>
      <w:pPr>
        <w:pStyle w:val="Normal"/>
      </w:pPr>
      <w:r>
        <w:t xml:space="preserve">[10] MemSecBench: Tracking Agent Memory Poisoning from Persistence to Consequence and Repair. 2026. https://arxiv.org/abs/2607.27080</w:t>
      </w:r>
    </w:p>
    <w:p>
      <w:pPr>
        <w:pStyle w:val="Normal"/>
      </w:pPr>
      <w:r>
        <w:t xml:space="preserve">[11] MemTX. 2026. https://arxiv.org/abs/2607.23929</w:t>
      </w:r>
    </w:p>
    <w:p>
      <w:pPr>
        <w:pStyle w:val="Normal"/>
      </w:pPr>
      <w:r>
        <w:t xml:space="preserve">[12] Forgetting Without Restarting: Execution-State Unlearning for Stateful LLM Agents. 2026. https://arxiv.org/abs/2609.04875</w:t>
      </w:r>
    </w:p>
    <w:p>
      <w:pPr>
        <w:pStyle w:val="Normal"/>
      </w:pPr>
      <w:r>
        <w:t xml:space="preserve">[13] When Stale Constraints Go Unchecked: Budgeted Verification Failures in Inherited Agent Memory. 2026. https://arxiv.org/abs/2608.25553</w:t>
      </w:r>
    </w:p>
    <w:p>
      <w:pPr>
        <w:pStyle w:val="Normal"/>
      </w:pPr>
      <w:r>
        <w:t xml:space="preserve">[14] Agent Name Collision Attacks in Multi-Agent Systems. 2026. https://arxiv.org/abs/2609.27624</w:t>
      </w:r>
    </w:p>
    <w:p>
      <w:pPr>
        <w:pStyle w:val="Normal"/>
      </w:pPr>
      <w:r>
        <w:t xml:space="preserve">[15] Can MCP Clients Decide What to Do After Failure? A Result-Only Actionability Audit. 2026. https://arxiv.org/abs/2609.00072</w:t>
      </w:r>
    </w:p>
    <w:p>
      <w:pPr>
        <w:pStyle w:val="Normal"/>
      </w:pPr>
      <w:r>
        <w:t xml:space="preserve">[16] Trust Propagation and Structural Containment in Multi-agent LLM Pipelines. 2026. https://arxiv.org/abs/2609.17648</w:t>
      </w:r>
    </w:p>
    <w:p>
      <w:pPr>
        <w:pStyle w:val="Normal"/>
      </w:pPr>
      <w:r>
        <w:t xml:space="preserve">[17] AID-Guard: Stateful Authorization for Delegated Agent Effects. 2026. https://arxiv.org/abs/2608.21159</w:t>
      </w:r>
    </w:p>
    <w:p>
      <w:pPr>
        <w:pStyle w:val="Normal"/>
      </w:pPr>
      <w:r>
        <w:t xml:space="preserve">[18] Authorization Revocation for Long-Running AI Agents: Root-Scoped Quiescence under Delegation and Asynchronous Execution. 2026. https://arxiv.org/abs/2609.21284</w:t>
      </w:r>
    </w:p>
    <w:p>
      <w:pPr>
        <w:pStyle w:val="Normal"/>
      </w:pPr>
      <w:r>
        <w:t xml:space="preserve">[19] Revoked but Still Authoritative: An Empirical Study of Revocation Enforcement in Agent-Memory Systems. 2026. https://arxiv.org/abs/2609.08258</w:t>
      </w:r>
    </w:p>
    <w:p>
      <w:pPr>
        <w:pStyle w:val="Normal"/>
      </w:pPr>
      <w:r>
        <w:t xml:space="preserve">[20] Verified Detection and Prevention of Concurrency Anomalies in Multi-Agent Large Language Model Systems. 2026. https://arxiv.org/abs/2606.17182</w:t>
      </w:r>
    </w:p>
    <w:p>
      <w:pPr>
        <w:pStyle w:val="Normal"/>
      </w:pPr>
      <w:r>
        <w:t xml:space="preserve">[21] MAPLE-Guard. 2026. https://arxiv.org/abs/2608.00426</w:t>
      </w:r>
    </w:p>
    <w:p>
      <w:pPr>
        <w:pStyle w:val="Normal"/>
      </w:pPr>
      <w:r>
        <w:t xml:space="preserve">[22] ETDI: Mitigating Tool Squatting and Rug Pull Attacks in Model Context Protocol. 2025. https://arxiv.org/abs/2506.01333</w:t>
      </w:r>
    </w:p>
    <w:p>
      <w:pPr>
        <w:pStyle w:val="Normal"/>
      </w:pPr>
      <w:r>
        <w:t xml:space="preserve">[23] Runtime Authorization Consistency Checking for MCP-based Agentic Workflows. 2026. https://arxiv.org/abs/2609.23498</w:t>
      </w:r>
    </w:p>
    <w:p>
      <w:pPr>
        <w:pStyle w:val="Normal"/>
      </w:pPr>
      <w:r>
        <w:t xml:space="preserve">[24] MCP Tasks Extension Specification, 2026-07-28 draft. https://tasks.extensions.modelcontextprotocol.io/specification/draft/tasks</w:t>
      </w:r>
    </w:p>
    <w:p>
      <w:pPr>
        <w:pStyle w:val="Normal"/>
      </w:pPr>
      <w:r>
        <w:t xml:space="preserve">[25] Registry Descriptions Go Stale Unevenly. 2026. https://arxiv.org/abs/2608.00997</w:t>
      </w:r>
    </w:p>
    <w:p>
      <w:pPr>
        <w:pStyle w:val="Normal"/>
      </w:pPr>
      <w:r>
        <w:t xml:space="preserve">[26] MCP Tools Specification, 2025-11-25. https://modelcontextprotocol.io/specification/2025-11-25/server/tools</w:t>
      </w:r>
    </w:p>
    <w:p>
      <w:pPr>
        <w:pStyle w:val="Normal"/>
      </w:pPr>
      <w:r>
        <w:t xml:space="preserve">[27] MCP Python SDK Subscriptions Documentation. https://py.sdk.modelcontextprotocol.io/v2/client/subscriptions/</w:t>
      </w:r>
    </w:p>
    <w:p>
      <w:pPr>
        <w:pStyle w:val="Heading1"/>
      </w:pPr>
      <w:r>
        <w:t xml:space="preserve">附录：建议的投稿前查新检索式</w:t>
      </w:r>
    </w:p>
    <w:p>
      <w:pPr>
        <w:pStyle w:val="Normal"/>
      </w:pPr>
      <w:r>
        <w:t xml:space="preserve">逐题组合英文术语，而非只搜索“agent backdoor”：`rejected prompt injection incident summary long-term memory`；`MCP structuredContent content inconsistency poisoning memory`；`MCP tasks completed isError false success memory`；`tools/list_changed cached plan version race`；`quarantined source scheduled memory consolidation`；`retired tool cross-tool experience memory`；`multi-agent queued message after repair reinfection`。检索到新论文时按“控制点、中间状态、触发、动作、基线”五元组登记；若五项同构，立即调整或淘汰题目。</w:t>
      </w:r>
    </w:p>
    <w:sectPr>
      <w:footerReference w:type="default" r:id="rId1"/>
      <w:pgSz w:w="11906" w:h="16838"/>
      <w:pgMar w:top="1440" w:right="1440" w:bottom="1440" w:left="1440" w:header="708" w:footer="708"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Times New Roman" w:eastAsia="SimSun" w:hAnsi="Times New Roman"/>
        <w:sz w:val="24"/>
        <w:szCs w:val="24"/>
      </w:rPr>
    </w:rPrDefault>
  </w:docDefaults>
  <w:style w:type="paragraph" w:default="1" w:styleId="Normal">
    <w:name w:val="Normal"/>
    <w:pPr>
      <w:spacing w:after="120" w:line="360" w:lineRule="auto"/>
      <w:ind w:firstLine="480"/>
    </w:pPr>
    <w:rPr>
      <w:rFonts w:eastAsia="SimSun"/>
      <w:sz w:val="24"/>
    </w:rPr>
  </w:style>
  <w:style w:type="paragraph" w:styleId="Title">
    <w:name w:val="Title"/>
    <w:basedOn w:val="Normal"/>
    <w:pPr>
      <w:jc w:val="center"/>
      <w:spacing w:before="520" w:after="600"/>
      <w:ind w:firstLine="0"/>
    </w:pPr>
    <w:rPr>
      <w:rFonts w:eastAsia="SimHei"/>
      <w:b/>
      <w:sz w:val="36"/>
    </w:rPr>
  </w:style>
  <w:style w:type="paragraph" w:styleId="Heading1">
    <w:name w:val="heading 1"/>
    <w:basedOn w:val="Normal"/>
    <w:pPr>
      <w:keepNext/>
      <w:spacing w:before="360" w:after="180"/>
      <w:ind w:firstLine="0"/>
      <w:outlineLvl w:val="0"/>
    </w:pPr>
    <w:rPr>
      <w:rFonts w:eastAsia="SimHei"/>
      <w:b/>
      <w:sz w:val="32"/>
    </w:rPr>
  </w:style>
  <w:style w:type="paragraph" w:styleId="Heading2">
    <w:name w:val="heading 2"/>
    <w:basedOn w:val="Normal"/>
    <w:pPr>
      <w:keepNext/>
      <w:spacing w:before="260" w:after="140"/>
      <w:ind w:firstLine="0"/>
      <w:outlineLvl w:val="1"/>
    </w:pPr>
    <w:rPr>
      <w:rFonts w:eastAsia="SimHei"/>
      <w:b/>
      <w:sz w:val="28"/>
    </w:rPr>
  </w:style>
  <w:style w:type="paragraph" w:styleId="TableText">
    <w:name w:val="Table Text"/>
    <w:basedOn w:val="Normal"/>
    <w:pPr>
      <w:spacing w:after="0" w:line="300" w:lineRule="auto"/>
      <w:ind w:firstLine="0"/>
    </w:pPr>
    <w:rPr>
      <w:rFonts w:eastAsia="SimSun"/>
      <w:sz w:val="21"/>
    </w:r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Agent 后门攻击研究——硕士学位论文开题报告</dc:title>
  <dc:subject>Agent 推理时后门攻击与防护选题调研</dc:subject>
</cp:coreProperties>
</file>