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Agent 后门攻击：2020—2026 年问题演进脉络与创新选题</w:t>
      </w:r>
    </w:p>
    <w:p>
      <w:pPr>
        <w:pStyle w:val="Normal"/>
      </w:pPr>
      <w:r>
        <w:t xml:space="preserve">硕士学位论文开题调研报告｜文献核查与选题讨论稿</w:t>
      </w:r>
    </w:p>
    <w:p>
      <w:pPr>
        <w:pStyle w:val="Normal"/>
      </w:pPr>
      <w:r>
        <w:t xml:space="preserve">检索截止：2026 年 9 月 29 日。研究实施范围：推理时攻击与推理时防御，不训练或微调大模型。</w:t>
      </w:r>
    </w:p>
    <w:p>
      <w:pPr>
        <w:pStyle w:val="Normal"/>
      </w:pPr>
      <w:r>
        <w:t xml:space="preserve">建议毕业论文题目：面向有状态 Agent 的持久后门攻击机理与运行时防护研究。</w:t>
      </w:r>
    </w:p>
    <w:p>
      <w:pPr>
        <w:pStyle w:val="Normal"/>
      </w:pPr>
      <w:r>
        <w:t xml:space="preserve">本报告用于与导师讨论和确定两篇独立小论文。文献结论、本文综合判断和待验证研究假设分别标明；拟议实验尚未执行，不包含虚构结果。历史综述包含训练型后门，以说明源流；这些工作不进入拟开展方案。</w:t>
      </w:r>
    </w:p>
    <w:p>
      <w:pPr>
        <w:pStyle w:val="Heading1"/>
      </w:pPr>
      <w:r>
        <w:br w:type="page"/>
      </w:r>
      <w:r>
        <w:t xml:space="preserve">摘要</w:t>
      </w:r>
    </w:p>
    <w:p>
      <w:pPr>
        <w:pStyle w:val="Normal"/>
      </w:pPr>
      <w:r>
        <w:t xml:space="preserve">Agent 后门攻击的发展并非从某一种提示注入顺次演化而来，而是几条路线逐渐交汇。2020—2022 年，强化学习后门关注序贯决策中的触发和持续行为偏移，语言模型供应链后门关注污染如何跨越预训练、微调和下游任务。2023 年，间接提示注入揭示了外部数据被当作指令的信任边界问题，检索、工具和反思记忆的发展又为攻击提供了持久状态。2024 年，研究分别进入 Agent 训练数据、推理示例、检索记忆和多 Agent 通信。2025—2026 年，关键问题进一步转为：攻击者能否在更弱权限下让系统自行保存污染，内容如何变成具有行动影响力的经验，以及删除、撤销和修复为什么不能总是终止影响。</w:t>
      </w:r>
    </w:p>
    <w:p>
      <w:pPr>
        <w:pStyle w:val="Normal"/>
      </w:pPr>
      <w:r>
        <w:t xml:space="preserve">本报告按“前人不足—作者提出的问题—方法变化—仍然成立的限制”重建研究脉络。其中，TrojDRL 与 BACKDOORL、AgentPoison 与 MINJA、InjecAgent 与 AgentDojo 等存在可核验的文献联系；另一些工作只是研究同一问题的不同分支，不应伪造为直接继承链。报告同时纠正若干分类误区：提示注入不必然是后门；集体错记研究不必然包含攻击者；论文标题中的 in-context 不意味着不训练；来源标注、级联删除、动态撤销和跨 Agent 传播也已不是空白问题。</w:t>
      </w:r>
    </w:p>
    <w:p>
      <w:pPr>
        <w:pStyle w:val="Normal"/>
      </w:pPr>
      <w:r>
        <w:t xml:space="preserve">面向硕士阶段，本报告提出七类尚需验证的问题，并细分为十二个候选研究单元。优先考虑双表示工具结果引发的持久状态偏移，以及修复边界之外的跨 Agent 再导入；跨事务重试和动态证据撤销作为备选。每个方向均给出最近邻工作、可证伪假设、具体场景、最小实验和停止条件。这里的“创新”是有文献依据的候选差异，不是对无人研究的保证。最终选题必须通过小规模复现证明：差异会改变攻击或防御结论，而非仅换场景或增加工程组件。</w:t>
      </w:r>
    </w:p>
    <w:p>
      <w:pPr>
        <w:pStyle w:val="Normal"/>
      </w:pPr>
      <w:r>
        <w:t xml:space="preserve">关键词：Agent 后门；记忆投毒；间接提示注入；MCP；多 Agent；来源追踪；状态修复。</w:t>
      </w:r>
    </w:p>
    <w:p>
      <w:pPr>
        <w:pStyle w:val="Heading1"/>
      </w:pPr>
      <w:r>
        <w:t xml:space="preserve">一、研究背景、意义与调研方法</w:t>
      </w:r>
    </w:p>
    <w:p>
      <w:pPr>
        <w:pStyle w:val="Heading2"/>
      </w:pPr>
      <w:r>
        <w:t xml:space="preserve">1.1 研究背景与问题边界</w:t>
      </w:r>
    </w:p>
    <w:p>
      <w:pPr>
        <w:pStyle w:val="Normal"/>
      </w:pPr>
      <w:r>
        <w:t xml:space="preserve">传统分类后门通常讨论输入出现特定标记时输出错误标签。Agent 系统还维护计划、调用工具、保存经验，并可能把一个 Agent 的结果交给其他 Agent。因此，安全性不能只检查最终回答是否正确，还需要检查执行过程、持久状态以及后续任务是否被改变。BadAgent 与 Watch Out for Your Agents! 将后门问题推进到 Agent 行为层；AgentPoison 则表明外部检索状态可以承载触发条件与行为偏置。[14,16—17]</w:t>
      </w:r>
    </w:p>
    <w:p>
      <w:pPr>
        <w:pStyle w:val="Normal"/>
      </w:pPr>
      <w:r>
        <w:t xml:space="preserve">本课题采用操作性定义：后门指攻击者在植入阶段建立潜在的行为偏移机制，使系统在之后的指定条件下表现出攻击者希望的行为，同时在不满足条件时尽量保持正常。承载该机制的可以是参数，也可以是示例、记忆、工具配置或协作状态。若攻击只在当前恶意文本仍留在上下文时有效，且没有延迟触发或保留机制，应先称提示注入；若污染无条件影响所有后续任务，则更准确的称谓可能是持久投毒，而非严格的条件后门。</w:t>
      </w:r>
    </w:p>
    <w:p>
      <w:pPr>
        <w:pStyle w:val="Normal"/>
      </w:pPr>
      <w:r>
        <w:t xml:space="preserve">拟开展实验必须记录植入、保留、触发和后果四个阶段。最终论文是否使用“后门”一词，由实验是否证明条件性和持久性决定。攻击者退出后仍出现偏移，是持久性的必要证据之一，但还需排除当前上下文残留、任务本身歧义和普通随机错误。</w:t>
      </w:r>
    </w:p>
    <w:p>
      <w:pPr>
        <w:pStyle w:val="Heading2"/>
      </w:pPr>
      <w:r>
        <w:t xml:space="preserve">1.2 本次调研使用的本地技能</w:t>
      </w:r>
    </w:p>
    <w:p>
      <w:pPr>
        <w:pStyle w:val="Normal"/>
      </w:pPr>
      <w:r>
        <w:t xml:space="preserve">采用本地 Supervisor deep-research 的研究问题冻结、多视角检索、引用核验、问题导向综合与自我反驳流程，并使用 Academic Research Skills deep-research 的证据整理和报告写作规范。具体技能文件为：</w:t>
      </w:r>
    </w:p>
    <w:p>
      <w:pPr>
        <w:pStyle w:val="Normal"/>
      </w:pPr>
      <w:r>
        <w:t xml:space="preserve">E:/AgentBackdoorAttack/.agents/skills/supervisor-deep-research/SKILL.md</w:t>
      </w:r>
    </w:p>
    <w:p>
      <w:pPr>
        <w:pStyle w:val="Normal"/>
      </w:pPr>
      <w:r>
        <w:t xml:space="preserve">E:/AgentBackdoorAttack/.agents/skills/academic-deep-research/SKILL.md</w:t>
      </w:r>
    </w:p>
    <w:p>
      <w:pPr>
        <w:pStyle w:val="Normal"/>
      </w:pPr>
      <w:r>
        <w:t xml:space="preserve">文献核查分别覆盖记忆、工具/MCP、多 Agent 三条线，统一由本报告进行关系审核。并行核查只是分工，不代表结论具有统计意义上的独立验证。报告没有把技能的输出当作文献证据，证据仍来自论文原文、正式论文集和协议或项目官方资料。</w:t>
      </w:r>
    </w:p>
    <w:p>
      <w:pPr>
        <w:pStyle w:val="Heading2"/>
      </w:pPr>
      <w:r>
        <w:t xml:space="preserve">1.3 研究问题与纳入标准</w:t>
      </w:r>
    </w:p>
    <w:p>
      <w:pPr>
        <w:pStyle w:val="Normal"/>
      </w:pPr>
      <w:r>
        <w:t xml:space="preserve">RQ1：从 2020 年到目前，攻击者权限、后门载体、触发方式、目标行为和影响持续时间如何变化？</w:t>
      </w:r>
    </w:p>
    <w:p>
      <w:pPr>
        <w:pStyle w:val="Normal"/>
      </w:pPr>
      <w:r>
        <w:t xml:space="preserve">RQ2：后续论文明确指出了前人哪些不足，又通过改变什么假设或机制推进研究？哪些联系只是本报告的横向比较？</w:t>
      </w:r>
    </w:p>
    <w:p>
      <w:pPr>
        <w:pStyle w:val="Normal"/>
      </w:pPr>
      <w:r>
        <w:t xml:space="preserve">RQ3：面对已经出现的持久性评测、来源绑定、事务式记忆与级联修复，哪些边界仍值得开展无需训练的可复现实验？</w:t>
      </w:r>
    </w:p>
    <w:p>
      <w:pPr>
        <w:pStyle w:val="Normal"/>
      </w:pPr>
      <w:r>
        <w:t xml:space="preserve">检索采用标题精确搜索、关键词组合和参考文献回溯。关键词包括 agent backdoor、reinforcement learning backdoor、memory poisoning、query-only memory injection、tool poisoning、MCP metadata、multi-agent infection、memory revocation、cascade repair、provenance、retry、structuredContent 等。来源优先级为会议正式论文集、论文原文与作者预印本、官方协议和官方仓库。博客仅用作线索，不用作技术结论的主要依据。</w:t>
      </w:r>
    </w:p>
    <w:p>
      <w:pPr>
        <w:pStyle w:val="Normal"/>
      </w:pPr>
      <w:r>
        <w:t xml:space="preserve">纳入对象分为四类：直接后门攻击论文；解释关键入口的提示注入和投毒论文；能反驳拟议创新的防御及评测论文；构成攻击面或实现条件的基础工作。历史上训练型工作可以纳入综述，但不纳入本课题实验路线。本文是聚焦研究问题的叙述性调研，不声称穷尽全部 2020—2026 年论文，也不虚构 PRISMA 筛选数量。</w:t>
      </w:r>
    </w:p>
    <w:p>
      <w:pPr>
        <w:pStyle w:val="Heading2"/>
      </w:pPr>
      <w:r>
        <w:t xml:space="preserve">1.4 文献关系与发表状态标注</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3000"/>
        <w:gridCol w:w="3000"/>
        <w:gridCol w:w="3000"/>
      </w:tblGrid>
      <w:tr>
        <w:trPr>
          <w:tblHeader w:val="true"/>
        </w:trPr>
        <w:tc>
          <w:tcPr>
            <w:tcW w:w="3000" w:type="dxa"/>
            <w:shd w:fill="DCE6F1"/>
          </w:tcPr>
          <w:p>
            <w:pPr>
              <w:pStyle w:val="TableText"/>
            </w:pPr>
            <w:r>
              <w:rPr>
                <w:b/>
              </w:rPr>
              <w:t xml:space="preserve">标记</w:t>
            </w:r>
          </w:p>
        </w:tc>
        <w:tc>
          <w:tcPr>
            <w:tcW w:w="3000" w:type="dxa"/>
            <w:shd w:fill="DCE6F1"/>
          </w:tcPr>
          <w:p>
            <w:pPr>
              <w:pStyle w:val="TableText"/>
            </w:pPr>
            <w:r>
              <w:rPr>
                <w:b/>
              </w:rPr>
              <w:t xml:space="preserve">判定条件</w:t>
            </w:r>
          </w:p>
        </w:tc>
        <w:tc>
          <w:tcPr>
            <w:tcW w:w="3000" w:type="dxa"/>
            <w:shd w:fill="DCE6F1"/>
          </w:tcPr>
          <w:p>
            <w:pPr>
              <w:pStyle w:val="TableText"/>
            </w:pPr>
            <w:r>
              <w:rPr>
                <w:b/>
              </w:rPr>
              <w:t xml:space="preserve">报告中的写法</w:t>
            </w:r>
          </w:p>
        </w:tc>
      </w:tr>
      <w:tr>
        <w:tc>
          <w:tcPr>
            <w:tcW w:w="3000" w:type="dxa"/>
          </w:tcPr>
          <w:p>
            <w:pPr>
              <w:pStyle w:val="TableText"/>
            </w:pPr>
            <w:r>
              <w:t xml:space="preserve">A：直接联系</w:t>
            </w:r>
          </w:p>
        </w:tc>
        <w:tc>
          <w:tcPr>
            <w:tcW w:w="3000" w:type="dxa"/>
          </w:tcPr>
          <w:p>
            <w:pPr>
              <w:pStyle w:val="TableText"/>
            </w:pPr>
            <w:r>
              <w:t xml:space="preserve">后文原文明确点名前文，并讨论相应限制、扩展或基准继承</w:t>
            </w:r>
          </w:p>
        </w:tc>
        <w:tc>
          <w:tcPr>
            <w:tcW w:w="3000" w:type="dxa"/>
          </w:tcPr>
          <w:p>
            <w:pPr>
              <w:pStyle w:val="TableText"/>
            </w:pPr>
            <w:r>
              <w:t xml:space="preserve">“该文明确针对……提出……”</w:t>
            </w:r>
          </w:p>
        </w:tc>
      </w:tr>
      <w:tr>
        <w:tc>
          <w:tcPr>
            <w:tcW w:w="3000" w:type="dxa"/>
          </w:tcPr>
          <w:p>
            <w:pPr>
              <w:pStyle w:val="TableText"/>
            </w:pPr>
            <w:r>
              <w:t xml:space="preserve">B：作者明示的问题族</w:t>
            </w:r>
          </w:p>
        </w:tc>
        <w:tc>
          <w:tcPr>
            <w:tcW w:w="3000" w:type="dxa"/>
          </w:tcPr>
          <w:p>
            <w:pPr>
              <w:pStyle w:val="TableText"/>
            </w:pPr>
            <w:r>
              <w:t xml:space="preserve">原文明确指出一类已有方法不足，但不能证明针对某篇特定前作</w:t>
            </w:r>
          </w:p>
        </w:tc>
        <w:tc>
          <w:tcPr>
            <w:tcW w:w="3000" w:type="dxa"/>
          </w:tcPr>
          <w:p>
            <w:pPr>
              <w:pStyle w:val="TableText"/>
            </w:pPr>
            <w:r>
              <w:t xml:space="preserve">“作者指出此前某类方法……，据此提出……”</w:t>
            </w:r>
          </w:p>
        </w:tc>
      </w:tr>
      <w:tr>
        <w:tc>
          <w:tcPr>
            <w:tcW w:w="3000" w:type="dxa"/>
          </w:tcPr>
          <w:p>
            <w:pPr>
              <w:pStyle w:val="TableText"/>
            </w:pPr>
            <w:r>
              <w:t xml:space="preserve">C：本文横向归纳</w:t>
            </w:r>
          </w:p>
        </w:tc>
        <w:tc>
          <w:tcPr>
            <w:tcW w:w="3000" w:type="dxa"/>
          </w:tcPr>
          <w:p>
            <w:pPr>
              <w:pStyle w:val="TableText"/>
            </w:pPr>
            <w:r>
              <w:t xml:space="preserve">两篇论文在问题上有关联，但未核验直接引用或因果继承</w:t>
            </w:r>
          </w:p>
        </w:tc>
        <w:tc>
          <w:tcPr>
            <w:tcW w:w="3000" w:type="dxa"/>
          </w:tcPr>
          <w:p>
            <w:pPr>
              <w:pStyle w:val="TableText"/>
            </w:pPr>
            <w:r>
              <w:t xml:space="preserve">“从问题演进角度可以比较……，不代表直接继承”</w:t>
            </w:r>
          </w:p>
        </w:tc>
      </w:tr>
    </w:tbl>
    <w:p>
      <w:pPr>
        <w:pStyle w:val="Normal"/>
      </w:pPr>
      <w:r>
        <w:t xml:space="preserve">会议年份与预印本年份分开记录。预印本先公开、次年正式发表时，不计为两篇新工作；尚未核验正式录用的仅标预印本。作者自己对前人的概括不等于独立确认，尤其是“首次”“完全解决”“此前都需要”等表述，需要回到相关原文判断。</w:t>
      </w:r>
    </w:p>
    <w:p>
      <w:pPr>
        <w:pStyle w:val="Heading1"/>
      </w:pPr>
      <w:r>
        <w:t xml:space="preserve">二、国内外研究现状：从 2020 年到目前的总体脉络</w:t>
      </w:r>
    </w:p>
    <w:p>
      <w:pPr>
        <w:pStyle w:val="Heading2"/>
      </w:pPr>
      <w:r>
        <w:t xml:space="preserve">2.1 时间与问题双轴总览</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2250"/>
        <w:gridCol w:w="2250"/>
        <w:gridCol w:w="2250"/>
        <w:gridCol w:w="2250"/>
      </w:tblGrid>
      <w:tr>
        <w:trPr>
          <w:tblHeader w:val="true"/>
        </w:trPr>
        <w:tc>
          <w:tcPr>
            <w:tcW w:w="2250" w:type="dxa"/>
            <w:shd w:fill="DCE6F1"/>
          </w:tcPr>
          <w:p>
            <w:pPr>
              <w:pStyle w:val="TableText"/>
            </w:pPr>
            <w:r>
              <w:rPr>
                <w:b/>
              </w:rPr>
              <w:t xml:space="preserve">阶段</w:t>
            </w:r>
          </w:p>
        </w:tc>
        <w:tc>
          <w:tcPr>
            <w:tcW w:w="2250" w:type="dxa"/>
            <w:shd w:fill="DCE6F1"/>
          </w:tcPr>
          <w:p>
            <w:pPr>
              <w:pStyle w:val="TableText"/>
            </w:pPr>
            <w:r>
              <w:rPr>
                <w:b/>
              </w:rPr>
              <w:t xml:space="preserve">代表工作</w:t>
            </w:r>
          </w:p>
        </w:tc>
        <w:tc>
          <w:tcPr>
            <w:tcW w:w="2250" w:type="dxa"/>
            <w:shd w:fill="DCE6F1"/>
          </w:tcPr>
          <w:p>
            <w:pPr>
              <w:pStyle w:val="TableText"/>
            </w:pPr>
            <w:r>
              <w:rPr>
                <w:b/>
              </w:rPr>
              <w:t xml:space="preserve">当时主要问题</w:t>
            </w:r>
          </w:p>
        </w:tc>
        <w:tc>
          <w:tcPr>
            <w:tcW w:w="2250" w:type="dxa"/>
            <w:shd w:fill="DCE6F1"/>
          </w:tcPr>
          <w:p>
            <w:pPr>
              <w:pStyle w:val="TableText"/>
            </w:pPr>
            <w:r>
              <w:rPr>
                <w:b/>
              </w:rPr>
              <w:t xml:space="preserve">方法层面的变化</w:t>
            </w:r>
          </w:p>
        </w:tc>
      </w:tr>
      <w:tr>
        <w:tc>
          <w:tcPr>
            <w:tcW w:w="2250" w:type="dxa"/>
          </w:tcPr>
          <w:p>
            <w:pPr>
              <w:pStyle w:val="TableText"/>
            </w:pPr>
            <w:r>
              <w:t xml:space="preserve">2020</w:t>
            </w:r>
          </w:p>
        </w:tc>
        <w:tc>
          <w:tcPr>
            <w:tcW w:w="2250" w:type="dxa"/>
          </w:tcPr>
          <w:p>
            <w:pPr>
              <w:pStyle w:val="TableText"/>
            </w:pPr>
            <w:r>
              <w:t xml:space="preserve">TrojDRL；Weight Poisoning/RIPPLe</w:t>
            </w:r>
          </w:p>
        </w:tc>
        <w:tc>
          <w:tcPr>
            <w:tcW w:w="2250" w:type="dxa"/>
          </w:tcPr>
          <w:p>
            <w:pPr>
              <w:pStyle w:val="TableText"/>
            </w:pPr>
            <w:r>
              <w:t xml:space="preserve">分类后门能否扩展到序贯决策；污染能否穿过下游微调</w:t>
            </w:r>
          </w:p>
        </w:tc>
        <w:tc>
          <w:tcPr>
            <w:tcW w:w="2250" w:type="dxa"/>
          </w:tcPr>
          <w:p>
            <w:pPr>
              <w:pStyle w:val="TableText"/>
            </w:pPr>
            <w:r>
              <w:t xml:space="preserve">从单次预测转向策略，从训练集转向预训练权重</w:t>
            </w:r>
          </w:p>
        </w:tc>
      </w:tr>
      <w:tr>
        <w:tc>
          <w:tcPr>
            <w:tcW w:w="2250" w:type="dxa"/>
          </w:tcPr>
          <w:p>
            <w:pPr>
              <w:pStyle w:val="TableText"/>
            </w:pPr>
            <w:r>
              <w:t xml:space="preserve">2021—2022</w:t>
            </w:r>
          </w:p>
        </w:tc>
        <w:tc>
          <w:tcPr>
            <w:tcW w:w="2250" w:type="dxa"/>
          </w:tcPr>
          <w:p>
            <w:pPr>
              <w:pStyle w:val="TableText"/>
            </w:pPr>
            <w:r>
              <w:t xml:space="preserve">BACKDOORL；Temporal-Pattern；BadPre；BadPrompt</w:t>
            </w:r>
          </w:p>
        </w:tc>
        <w:tc>
          <w:tcPr>
            <w:tcW w:w="2250" w:type="dxa"/>
          </w:tcPr>
          <w:p>
            <w:pPr>
              <w:pStyle w:val="TableText"/>
            </w:pPr>
            <w:r>
              <w:t xml:space="preserve">直接修改观测太强；单帧触发太简单；下游任务或样本依赖过强</w:t>
            </w:r>
          </w:p>
        </w:tc>
        <w:tc>
          <w:tcPr>
            <w:tcW w:w="2250" w:type="dxa"/>
          </w:tcPr>
          <w:p>
            <w:pPr>
              <w:pStyle w:val="TableText"/>
            </w:pPr>
            <w:r>
              <w:t xml:space="preserve">对手动作、时序触发、任务无关污染、连续提示学习攻击</w:t>
            </w:r>
          </w:p>
        </w:tc>
      </w:tr>
      <w:tr>
        <w:tc>
          <w:tcPr>
            <w:tcW w:w="2250" w:type="dxa"/>
          </w:tcPr>
          <w:p>
            <w:pPr>
              <w:pStyle w:val="TableText"/>
            </w:pPr>
            <w:r>
              <w:t xml:space="preserve">2023</w:t>
            </w:r>
          </w:p>
        </w:tc>
        <w:tc>
          <w:tcPr>
            <w:tcW w:w="2250" w:type="dxa"/>
          </w:tcPr>
          <w:p>
            <w:pPr>
              <w:pStyle w:val="TableText"/>
            </w:pPr>
            <w:r>
              <w:t xml:space="preserve">间接提示注入；ReAct、Reflexion、MemGPT</w:t>
            </w:r>
          </w:p>
        </w:tc>
        <w:tc>
          <w:tcPr>
            <w:tcW w:w="2250" w:type="dxa"/>
          </w:tcPr>
          <w:p>
            <w:pPr>
              <w:pStyle w:val="TableText"/>
            </w:pPr>
            <w:r>
              <w:t xml:space="preserve">外部内容如何进入指令链；Agent 如何拥有跨任务状态</w:t>
            </w:r>
          </w:p>
        </w:tc>
        <w:tc>
          <w:tcPr>
            <w:tcW w:w="2250" w:type="dxa"/>
          </w:tcPr>
          <w:p>
            <w:pPr>
              <w:pStyle w:val="TableText"/>
            </w:pPr>
            <w:r>
              <w:t xml:space="preserve">外部数据与指令混淆，记忆与反思形成新入口</w:t>
            </w:r>
          </w:p>
        </w:tc>
      </w:tr>
      <w:tr>
        <w:tc>
          <w:tcPr>
            <w:tcW w:w="2250" w:type="dxa"/>
          </w:tcPr>
          <w:p>
            <w:pPr>
              <w:pStyle w:val="TableText"/>
            </w:pPr>
            <w:r>
              <w:t xml:space="preserve">2024</w:t>
            </w:r>
          </w:p>
        </w:tc>
        <w:tc>
          <w:tcPr>
            <w:tcW w:w="2250" w:type="dxa"/>
          </w:tcPr>
          <w:p>
            <w:pPr>
              <w:pStyle w:val="TableText"/>
            </w:pPr>
            <w:r>
              <w:t xml:space="preserve">BadChain；BadAgent；Watch Out；AgentPoison；Prompt Infection</w:t>
            </w:r>
          </w:p>
        </w:tc>
        <w:tc>
          <w:tcPr>
            <w:tcW w:w="2250" w:type="dxa"/>
          </w:tcPr>
          <w:p>
            <w:pPr>
              <w:pStyle w:val="TableText"/>
            </w:pPr>
            <w:r>
              <w:t xml:space="preserve">不同位置能否植入后门；最终输出是否遗漏中间恶意行为</w:t>
            </w:r>
          </w:p>
        </w:tc>
        <w:tc>
          <w:tcPr>
            <w:tcW w:w="2250" w:type="dxa"/>
          </w:tcPr>
          <w:p>
            <w:pPr>
              <w:pStyle w:val="TableText"/>
            </w:pPr>
            <w:r>
              <w:t xml:space="preserve">示例、训练轨迹、检索记忆、协作通信多分支发展</w:t>
            </w:r>
          </w:p>
        </w:tc>
      </w:tr>
      <w:tr>
        <w:tc>
          <w:tcPr>
            <w:tcW w:w="2250" w:type="dxa"/>
          </w:tcPr>
          <w:p>
            <w:pPr>
              <w:pStyle w:val="TableText"/>
            </w:pPr>
            <w:r>
              <w:t xml:space="preserve">2025</w:t>
            </w:r>
          </w:p>
        </w:tc>
        <w:tc>
          <w:tcPr>
            <w:tcW w:w="2250" w:type="dxa"/>
          </w:tcPr>
          <w:p>
            <w:pPr>
              <w:pStyle w:val="TableText"/>
            </w:pPr>
            <w:r>
              <w:t xml:space="preserve">MINJA；MemoryGraft；AiTM；MCPTox 预印本</w:t>
            </w:r>
          </w:p>
        </w:tc>
        <w:tc>
          <w:tcPr>
            <w:tcW w:w="2250" w:type="dxa"/>
          </w:tcPr>
          <w:p>
            <w:pPr>
              <w:pStyle w:val="TableText"/>
            </w:pPr>
            <w:r>
              <w:t xml:space="preserve">能否降低改库权限、借正常摄入留存污染、在注册阶段影响工具</w:t>
            </w:r>
          </w:p>
        </w:tc>
        <w:tc>
          <w:tcPr>
            <w:tcW w:w="2250" w:type="dxa"/>
          </w:tcPr>
          <w:p>
            <w:pPr>
              <w:pStyle w:val="TableText"/>
            </w:pPr>
            <w:r>
              <w:t xml:space="preserve">查询诱导自写、伪装经验、消息通信攻击、元数据攻击</w:t>
            </w:r>
          </w:p>
        </w:tc>
      </w:tr>
      <w:tr>
        <w:tc>
          <w:tcPr>
            <w:tcW w:w="2250" w:type="dxa"/>
          </w:tcPr>
          <w:p>
            <w:pPr>
              <w:pStyle w:val="TableText"/>
            </w:pPr>
            <w:r>
              <w:t xml:space="preserve">2026</w:t>
            </w:r>
          </w:p>
        </w:tc>
        <w:tc>
          <w:tcPr>
            <w:tcW w:w="2250" w:type="dxa"/>
          </w:tcPr>
          <w:p>
            <w:pPr>
              <w:pStyle w:val="TableText"/>
            </w:pPr>
            <w:r>
              <w:t xml:space="preserve">MemMorph；OEP；BackdoorAgent；MCP-ITP；PlanFlip</w:t>
            </w:r>
          </w:p>
        </w:tc>
        <w:tc>
          <w:tcPr>
            <w:tcW w:w="2250" w:type="dxa"/>
          </w:tcPr>
          <w:p>
            <w:pPr>
              <w:pStyle w:val="TableText"/>
            </w:pPr>
            <w:r>
              <w:t xml:space="preserve">无明显恶意指令的经验如何影响动作；多阶段风险如何评估</w:t>
            </w:r>
          </w:p>
        </w:tc>
        <w:tc>
          <w:tcPr>
            <w:tcW w:w="2250" w:type="dxa"/>
          </w:tcPr>
          <w:p>
            <w:pPr>
              <w:pStyle w:val="TableText"/>
            </w:pPr>
            <w:r>
              <w:t xml:space="preserve">事实型工具偏置、反思过泛化、工作流级攻击评测</w:t>
            </w:r>
          </w:p>
        </w:tc>
      </w:tr>
      <w:tr>
        <w:tc>
          <w:tcPr>
            <w:tcW w:w="2250" w:type="dxa"/>
          </w:tcPr>
          <w:p>
            <w:pPr>
              <w:pStyle w:val="TableText"/>
            </w:pPr>
            <w:r>
              <w:t xml:space="preserve">2026 修复分支</w:t>
            </w:r>
          </w:p>
        </w:tc>
        <w:tc>
          <w:tcPr>
            <w:tcW w:w="2250" w:type="dxa"/>
          </w:tcPr>
          <w:p>
            <w:pPr>
              <w:pStyle w:val="TableText"/>
            </w:pPr>
            <w:r>
              <w:t xml:space="preserve">MemoRepair；TMA-NM；MemTX；MemSecBench；执行态遗忘与撤销研究</w:t>
            </w:r>
          </w:p>
        </w:tc>
        <w:tc>
          <w:tcPr>
            <w:tcW w:w="2250" w:type="dxa"/>
          </w:tcPr>
          <w:p>
            <w:pPr>
              <w:pStyle w:val="TableText"/>
            </w:pPr>
            <w:r>
              <w:t xml:space="preserve">写入后的信任、失效与修复如何落到检索和执行</w:t>
            </w:r>
          </w:p>
        </w:tc>
        <w:tc>
          <w:tcPr>
            <w:tcW w:w="2250" w:type="dxa"/>
          </w:tcPr>
          <w:p>
            <w:pPr>
              <w:pStyle w:val="TableText"/>
            </w:pPr>
            <w:r>
              <w:t xml:space="preserve">来源约束、事务提交、级联修复、运行态重放</w:t>
            </w:r>
          </w:p>
        </w:tc>
      </w:tr>
    </w:tbl>
    <w:p>
      <w:pPr>
        <w:pStyle w:val="Normal"/>
      </w:pPr>
      <w:r>
        <w:t xml:space="preserve">时间轴说明的是研究关注点变化，不意味着旧路线已经结束。例如 SleeperNets（NeurIPS 2024）与 Adversarial Inception（ICML 2025）仍在推进强化学习训练型后门；它们与推理时 LLM Agent 记忆攻击并行发展。[8—9]</w:t>
      </w:r>
    </w:p>
    <w:p>
      <w:pPr>
        <w:pStyle w:val="Heading2"/>
      </w:pPr>
      <w:r>
        <w:t xml:space="preserve">2.2 可以画成箭头的联系，以及不应画成箭头的联系</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3000"/>
        <w:gridCol w:w="3000"/>
        <w:gridCol w:w="3000"/>
      </w:tblGrid>
      <w:tr>
        <w:trPr>
          <w:tblHeader w:val="true"/>
        </w:trPr>
        <w:tc>
          <w:tcPr>
            <w:tcW w:w="3000" w:type="dxa"/>
            <w:shd w:fill="DCE6F1"/>
          </w:tcPr>
          <w:p>
            <w:pPr>
              <w:pStyle w:val="TableText"/>
            </w:pPr>
            <w:r>
              <w:rPr>
                <w:b/>
              </w:rPr>
              <w:t xml:space="preserve">研究链</w:t>
            </w:r>
          </w:p>
        </w:tc>
        <w:tc>
          <w:tcPr>
            <w:tcW w:w="3000" w:type="dxa"/>
            <w:shd w:fill="DCE6F1"/>
          </w:tcPr>
          <w:p>
            <w:pPr>
              <w:pStyle w:val="TableText"/>
            </w:pPr>
            <w:r>
              <w:rPr>
                <w:b/>
              </w:rPr>
              <w:t xml:space="preserve">证据等级</w:t>
            </w:r>
          </w:p>
        </w:tc>
        <w:tc>
          <w:tcPr>
            <w:tcW w:w="3000" w:type="dxa"/>
            <w:shd w:fill="DCE6F1"/>
          </w:tcPr>
          <w:p>
            <w:pPr>
              <w:pStyle w:val="TableText"/>
            </w:pPr>
            <w:r>
              <w:rPr>
                <w:b/>
              </w:rPr>
              <w:t xml:space="preserve">可以成立的结论</w:t>
            </w:r>
          </w:p>
        </w:tc>
      </w:tr>
      <w:tr>
        <w:tc>
          <w:tcPr>
            <w:tcW w:w="3000" w:type="dxa"/>
          </w:tcPr>
          <w:p>
            <w:pPr>
              <w:pStyle w:val="TableText"/>
            </w:pPr>
            <w:r>
              <w:t xml:space="preserve">TrojDRL → BACKDOORL</w:t>
            </w:r>
          </w:p>
        </w:tc>
        <w:tc>
          <w:tcPr>
            <w:tcW w:w="3000" w:type="dxa"/>
          </w:tcPr>
          <w:p>
            <w:pPr>
              <w:pStyle w:val="TableText"/>
            </w:pPr>
            <w:r>
              <w:t xml:space="preserve">A</w:t>
            </w:r>
          </w:p>
        </w:tc>
        <w:tc>
          <w:tcPr>
            <w:tcW w:w="3000" w:type="dxa"/>
          </w:tcPr>
          <w:p>
            <w:pPr>
              <w:pStyle w:val="TableText"/>
            </w:pPr>
            <w:r>
              <w:t xml:space="preserve">后者明确讨论直接操控观测的限制，转向竞争环境中的对手行为触发</w:t>
            </w:r>
          </w:p>
        </w:tc>
      </w:tr>
      <w:tr>
        <w:tc>
          <w:tcPr>
            <w:tcW w:w="3000" w:type="dxa"/>
          </w:tcPr>
          <w:p>
            <w:pPr>
              <w:pStyle w:val="TableText"/>
            </w:pPr>
            <w:r>
              <w:t xml:space="preserve">AgentPoison → MINJA</w:t>
            </w:r>
          </w:p>
        </w:tc>
        <w:tc>
          <w:tcPr>
            <w:tcW w:w="3000" w:type="dxa"/>
          </w:tcPr>
          <w:p>
            <w:pPr>
              <w:pStyle w:val="TableText"/>
            </w:pPr>
            <w:r>
              <w:t xml:space="preserve">A</w:t>
            </w:r>
          </w:p>
        </w:tc>
        <w:tc>
          <w:tcPr>
            <w:tcW w:w="3000" w:type="dxa"/>
          </w:tcPr>
          <w:p>
            <w:pPr>
              <w:pStyle w:val="TableText"/>
            </w:pPr>
            <w:r>
              <w:t xml:space="preserve">后者明确针对直接修改记忆库的强权限假设，引入仅查询的自写入路径</w:t>
            </w:r>
          </w:p>
        </w:tc>
      </w:tr>
      <w:tr>
        <w:tc>
          <w:tcPr>
            <w:tcW w:w="3000" w:type="dxa"/>
          </w:tcPr>
          <w:p>
            <w:pPr>
              <w:pStyle w:val="TableText"/>
            </w:pPr>
            <w:r>
              <w:t xml:space="preserve">AgentPoison/MINJA → MemoryGraft</w:t>
            </w:r>
          </w:p>
        </w:tc>
        <w:tc>
          <w:tcPr>
            <w:tcW w:w="3000" w:type="dxa"/>
          </w:tcPr>
          <w:p>
            <w:pPr>
              <w:pStyle w:val="TableText"/>
            </w:pPr>
            <w:r>
              <w:t xml:space="preserve">A</w:t>
            </w:r>
          </w:p>
        </w:tc>
        <w:tc>
          <w:tcPr>
            <w:tcW w:w="3000" w:type="dxa"/>
          </w:tcPr>
          <w:p>
            <w:pPr>
              <w:pStyle w:val="TableText"/>
            </w:pPr>
            <w:r>
              <w:t xml:space="preserve">后者原文以触发与交互式注入作为对照，转向成功经验的检索模仿</w:t>
            </w:r>
          </w:p>
        </w:tc>
      </w:tr>
      <w:tr>
        <w:tc>
          <w:tcPr>
            <w:tcW w:w="3000" w:type="dxa"/>
          </w:tcPr>
          <w:p>
            <w:pPr>
              <w:pStyle w:val="TableText"/>
            </w:pPr>
            <w:r>
              <w:t xml:space="preserve">InjecAgent → AgentDojo</w:t>
            </w:r>
          </w:p>
        </w:tc>
        <w:tc>
          <w:tcPr>
            <w:tcW w:w="3000" w:type="dxa"/>
          </w:tcPr>
          <w:p>
            <w:pPr>
              <w:pStyle w:val="TableText"/>
            </w:pPr>
            <w:r>
              <w:t xml:space="preserve">A</w:t>
            </w:r>
          </w:p>
        </w:tc>
        <w:tc>
          <w:tcPr>
            <w:tcW w:w="3000" w:type="dxa"/>
          </w:tcPr>
          <w:p>
            <w:pPr>
              <w:pStyle w:val="TableText"/>
            </w:pPr>
            <w:r>
              <w:t xml:space="preserve">后者指出单轮工具输出评测的限制，构造可执行、多步的任务环境</w:t>
            </w:r>
          </w:p>
        </w:tc>
      </w:tr>
      <w:tr>
        <w:tc>
          <w:tcPr>
            <w:tcW w:w="3000" w:type="dxa"/>
          </w:tcPr>
          <w:p>
            <w:pPr>
              <w:pStyle w:val="TableText"/>
            </w:pPr>
            <w:r>
              <w:t xml:space="preserve">InjecAgent/AgentDojo → MCPTox → MCP-ITP</w:t>
            </w:r>
          </w:p>
        </w:tc>
        <w:tc>
          <w:tcPr>
            <w:tcW w:w="3000" w:type="dxa"/>
          </w:tcPr>
          <w:p>
            <w:pPr>
              <w:pStyle w:val="TableText"/>
            </w:pPr>
            <w:r>
              <w:t xml:space="preserve">A</w:t>
            </w:r>
          </w:p>
        </w:tc>
        <w:tc>
          <w:tcPr>
            <w:tcW w:w="3000" w:type="dxa"/>
          </w:tcPr>
          <w:p>
            <w:pPr>
              <w:pStyle w:val="TableText"/>
            </w:pPr>
            <w:r>
              <w:t xml:space="preserve">从工具输出转向注册元数据，后续攻击又复用 MCPTox 评测资源</w:t>
            </w:r>
          </w:p>
        </w:tc>
      </w:tr>
      <w:tr>
        <w:tc>
          <w:tcPr>
            <w:tcW w:w="3000" w:type="dxa"/>
          </w:tcPr>
          <w:p>
            <w:pPr>
              <w:pStyle w:val="TableText"/>
            </w:pPr>
            <w:r>
              <w:t xml:space="preserve">间接提示注入 → Prompt Infection</w:t>
            </w:r>
          </w:p>
        </w:tc>
        <w:tc>
          <w:tcPr>
            <w:tcW w:w="3000" w:type="dxa"/>
          </w:tcPr>
          <w:p>
            <w:pPr>
              <w:pStyle w:val="TableText"/>
            </w:pPr>
            <w:r>
              <w:t xml:space="preserve">A</w:t>
            </w:r>
          </w:p>
        </w:tc>
        <w:tc>
          <w:tcPr>
            <w:tcW w:w="3000" w:type="dxa"/>
          </w:tcPr>
          <w:p>
            <w:pPr>
              <w:pStyle w:val="TableText"/>
            </w:pPr>
            <w:r>
              <w:t xml:space="preserve">从单 Agent 外部内容注入扩展到协作中的自复制传播</w:t>
            </w:r>
          </w:p>
        </w:tc>
      </w:tr>
      <w:tr>
        <w:tc>
          <w:tcPr>
            <w:tcW w:w="3000" w:type="dxa"/>
          </w:tcPr>
          <w:p>
            <w:pPr>
              <w:pStyle w:val="TableText"/>
            </w:pPr>
            <w:r>
              <w:t xml:space="preserve">Prompt Infection/AiTM → PlanFlip</w:t>
            </w:r>
          </w:p>
        </w:tc>
        <w:tc>
          <w:tcPr>
            <w:tcW w:w="3000" w:type="dxa"/>
          </w:tcPr>
          <w:p>
            <w:pPr>
              <w:pStyle w:val="TableText"/>
            </w:pPr>
            <w:r>
              <w:t xml:space="preserve">A</w:t>
            </w:r>
          </w:p>
        </w:tc>
        <w:tc>
          <w:tcPr>
            <w:tcW w:w="3000" w:type="dxa"/>
          </w:tcPr>
          <w:p>
            <w:pPr>
              <w:pStyle w:val="TableText"/>
            </w:pPr>
            <w:r>
              <w:t xml:space="preserve">后者明确比较自复制、消息篡改和规划阶段预先污染</w:t>
            </w:r>
          </w:p>
        </w:tc>
      </w:tr>
      <w:tr>
        <w:tc>
          <w:tcPr>
            <w:tcW w:w="3000" w:type="dxa"/>
          </w:tcPr>
          <w:p>
            <w:pPr>
              <w:pStyle w:val="TableText"/>
            </w:pPr>
            <w:r>
              <w:t xml:space="preserve">AgentPoison → MemMorph/OEP → MemTX</w:t>
            </w:r>
          </w:p>
        </w:tc>
        <w:tc>
          <w:tcPr>
            <w:tcW w:w="3000" w:type="dxa"/>
          </w:tcPr>
          <w:p>
            <w:pPr>
              <w:pStyle w:val="TableText"/>
            </w:pPr>
            <w:r>
              <w:t xml:space="preserve">C</w:t>
            </w:r>
          </w:p>
        </w:tc>
        <w:tc>
          <w:tcPr>
            <w:tcW w:w="3000" w:type="dxa"/>
          </w:tcPr>
          <w:p>
            <w:pPr>
              <w:pStyle w:val="TableText"/>
            </w:pPr>
            <w:r>
              <w:t xml:space="preserve">可归纳为检索污染、行为规则偏移、状态治理，但不是已证明的直接继承链</w:t>
            </w:r>
          </w:p>
        </w:tc>
      </w:tr>
      <w:tr>
        <w:tc>
          <w:tcPr>
            <w:tcW w:w="3000" w:type="dxa"/>
          </w:tcPr>
          <w:p>
            <w:pPr>
              <w:pStyle w:val="TableText"/>
            </w:pPr>
            <w:r>
              <w:t xml:space="preserve">Mandela Effect → CAMA</w:t>
            </w:r>
          </w:p>
        </w:tc>
        <w:tc>
          <w:tcPr>
            <w:tcW w:w="3000" w:type="dxa"/>
          </w:tcPr>
          <w:p>
            <w:pPr>
              <w:pStyle w:val="TableText"/>
            </w:pPr>
            <w:r>
              <w:t xml:space="preserve">C</w:t>
            </w:r>
          </w:p>
        </w:tc>
        <w:tc>
          <w:tcPr>
            <w:tcW w:w="3000" w:type="dxa"/>
          </w:tcPr>
          <w:p>
            <w:pPr>
              <w:pStyle w:val="TableText"/>
            </w:pPr>
            <w:r>
              <w:t xml:space="preserve">都涉及集体记忆或相关证据，但不能写成“后者解决前者后门攻击”</w:t>
            </w:r>
          </w:p>
        </w:tc>
      </w:tr>
      <w:tr>
        <w:tc>
          <w:tcPr>
            <w:tcW w:w="3000" w:type="dxa"/>
          </w:tcPr>
          <w:p>
            <w:pPr>
              <w:pStyle w:val="TableText"/>
            </w:pPr>
            <w:r>
              <w:t xml:space="preserve">MCPTox → GhostSplice</w:t>
            </w:r>
          </w:p>
        </w:tc>
        <w:tc>
          <w:tcPr>
            <w:tcW w:w="3000" w:type="dxa"/>
          </w:tcPr>
          <w:p>
            <w:pPr>
              <w:pStyle w:val="TableText"/>
            </w:pPr>
            <w:r>
              <w:t xml:space="preserve">C</w:t>
            </w:r>
          </w:p>
        </w:tc>
        <w:tc>
          <w:tcPr>
            <w:tcW w:w="3000" w:type="dxa"/>
          </w:tcPr>
          <w:p>
            <w:pPr>
              <w:pStyle w:val="TableText"/>
            </w:pPr>
            <w:r>
              <w:t xml:space="preserve">两者都关注工具信任，但本次未核实直接引用关系</w:t>
            </w:r>
          </w:p>
        </w:tc>
      </w:tr>
    </w:tbl>
    <w:p>
      <w:pPr>
        <w:pStyle w:val="Heading2"/>
      </w:pPr>
      <w:r>
        <w:t xml:space="preserve">2.3 2020—2022：后门开始从分类迁移到决策过程</w:t>
      </w:r>
    </w:p>
    <w:p>
      <w:pPr>
        <w:pStyle w:val="Normal"/>
      </w:pPr>
      <w:r>
        <w:t xml:space="preserve">TrojDRL 把后门研究放到深度强化学习策略中，关注在正常状态下保持表现、在触发后让策略失效。[1] 其预印本早于本报告起点，2019 年公开、2020 年发表于 DAC。由此可见，2020 年确实有“Agent 后门”研究，但 Agent 指强化学习决策主体，不是今天以语言模型、工具和记忆组成的应用系统。</w:t>
      </w:r>
    </w:p>
    <w:p>
      <w:pPr>
        <w:pStyle w:val="Normal"/>
      </w:pPr>
      <w:r>
        <w:t xml:space="preserve">BACKDOORL 的论文动机更接近“降低攻击假设强度”。作者明确讨论此前直接修改受害者观测的方式在真实环境中的限制，提出让竞争对手的动作序列成为触发载体。[2] 这并不意味着它是纯推理时植入：受害策略仍在训练阶段被构造。其贡献是在推理时无需任意改写受害者观测，也能通过环境交互触发持久行为偏移。</w:t>
      </w:r>
    </w:p>
    <w:p>
      <w:pPr>
        <w:pStyle w:val="Normal"/>
      </w:pPr>
      <w:r>
        <w:t xml:space="preserve">Temporal-Pattern 工作继续研究序贯条件，采用多次观测之间的时间关系作为触发，而非只在单个观测里嵌入标记。[3] 从选题方法看，它改变的是触发条件的表达能力。不过，今天仅把触发词换成多轮对话或时间顺序，不能自动宣称新颖；必须对照这条时序后门传统，以及后来的多步 Agent 攻击。</w:t>
      </w:r>
    </w:p>
    <w:p>
      <w:pPr>
        <w:pStyle w:val="Normal"/>
      </w:pPr>
      <w:r>
        <w:t xml:space="preserve">与此同时，RIPPLe 研究预训练权重污染如何穿过下游微调；BadPre 试图减少对下游任务的依赖；BadPrompt 面对少样本连续提示学习，讨论污染样本和正常性能的限制。[4—6] 这些论文提供了供应链和迁移性的历史问题，但都不能作为“完全不训练即可植入 Agent 后门”的证据。</w:t>
      </w:r>
    </w:p>
    <w:p>
      <w:pPr>
        <w:pStyle w:val="Heading2"/>
      </w:pPr>
      <w:r>
        <w:t xml:space="preserve">2.4 2023：形成现代 LLM Agent 攻击面的两条前提</w:t>
      </w:r>
    </w:p>
    <w:p>
      <w:pPr>
        <w:pStyle w:val="Normal"/>
      </w:pPr>
      <w:r>
        <w:t xml:space="preserve">一条前提是外部内容可以影响指令执行。Not What You’ve Signed Up For 将间接提示注入系统化，指出攻击者不必直接控制用户请求，而可通过系统读取的数据影响行为。[10] 另一条前提是 Agent 越来越依赖检索、反思和持久记忆：RAG 提供外部知识入口，ReAct 组织观察与行动，Reflexion 保存语言反馈，MemGPT 讨论分层记忆。[11—13,47] 将这些基础工作视为攻击面的形成条件，是本文的分析，不是说这些论文提出了后门。</w:t>
      </w:r>
    </w:p>
    <w:p>
      <w:pPr>
        <w:pStyle w:val="Normal"/>
      </w:pPr>
      <w:r>
        <w:t xml:space="preserve">2023 年的 Backdoor Attacks for In-Context Learning with Language Models 又提醒我们：任务在推理时使用示例，并不代表攻击也发生在推理时。[7] 综述不能按标题关键词判断威胁模型，应分别核对植入阶段是否修改权重、攻击者是否需要训练数据，以及触发时是否仍需要污染输入。</w:t>
      </w:r>
    </w:p>
    <w:p>
      <w:pPr>
        <w:pStyle w:val="Heading2"/>
      </w:pPr>
      <w:r>
        <w:t xml:space="preserve">2.5 2024：四种后门载体并行出现</w:t>
      </w:r>
    </w:p>
    <w:p>
      <w:pPr>
        <w:pStyle w:val="Normal"/>
      </w:pPr>
      <w:r>
        <w:t xml:space="preserve">BadChain 针对训练数据或权重不可访问的限制，在推理示例中放入与触发条件关联的错误推理步骤。[15] 它把无权重修改的触发机制推进到复杂推理，但是否持续有效取决于这些示例是否继续被装入上下文，不能直接等同于长期 Agent 记忆后门。</w:t>
      </w:r>
    </w:p>
    <w:p>
      <w:pPr>
        <w:pStyle w:val="Normal"/>
      </w:pPr>
      <w:r>
        <w:t xml:space="preserve">BadAgent 在 Agent 训练数据中植入攻击行为，Watch Out for Your Agents! 则突出中间观察、推理和动作风险：最终回答可以看似正常，而执行过程已偏离目标。[14,17] 两者属于需要单独标明的训练型分支。“BadAgent”“BadAgents 项目名”“BackdoorAgent”不是同一篇论文。</w:t>
      </w:r>
    </w:p>
    <w:p>
      <w:pPr>
        <w:pStyle w:val="Normal"/>
      </w:pPr>
      <w:r>
        <w:t xml:space="preserve">AgentPoison 把载体移到检索记忆和知识库，通过少量毒化演示与触发优化，使触发查询更容易检索到攻击样本。[16] Prompt Infection 则把传播路径放到多 Agent 交流中。[28] 因而 2024 年最重要的变化不是单一攻击成功率上升，而是研究开始拆分：后门在哪里保存、由谁接触、通过何种接口影响动作。</w:t>
      </w:r>
    </w:p>
    <w:p>
      <w:pPr>
        <w:pStyle w:val="Heading1"/>
      </w:pPr>
      <w:r>
        <w:t xml:space="preserve">三、重点研究链的“前人不足—新想法—剩余问题”分析</w:t>
      </w:r>
    </w:p>
    <w:p>
      <w:pPr>
        <w:pStyle w:val="Heading2"/>
      </w:pPr>
      <w:r>
        <w:t xml:space="preserve">3.1 记忆攻击链：从直接改库到让系统自己保存</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3000"/>
        <w:gridCol w:w="3000"/>
        <w:gridCol w:w="3000"/>
      </w:tblGrid>
      <w:tr>
        <w:trPr>
          <w:tblHeader w:val="true"/>
        </w:trPr>
        <w:tc>
          <w:tcPr>
            <w:tcW w:w="3000" w:type="dxa"/>
            <w:shd w:fill="DCE6F1"/>
          </w:tcPr>
          <w:p>
            <w:pPr>
              <w:pStyle w:val="TableText"/>
            </w:pPr>
            <w:r>
              <w:rPr>
                <w:b/>
              </w:rPr>
              <w:t xml:space="preserve">论文与状态</w:t>
            </w:r>
          </w:p>
        </w:tc>
        <w:tc>
          <w:tcPr>
            <w:tcW w:w="3000" w:type="dxa"/>
            <w:shd w:fill="DCE6F1"/>
          </w:tcPr>
          <w:p>
            <w:pPr>
              <w:pStyle w:val="TableText"/>
            </w:pPr>
            <w:r>
              <w:rPr>
                <w:b/>
              </w:rPr>
              <w:t xml:space="preserve">前人问题与新想法</w:t>
            </w:r>
          </w:p>
        </w:tc>
        <w:tc>
          <w:tcPr>
            <w:tcW w:w="3000" w:type="dxa"/>
            <w:shd w:fill="DCE6F1"/>
          </w:tcPr>
          <w:p>
            <w:pPr>
              <w:pStyle w:val="TableText"/>
            </w:pPr>
            <w:r>
              <w:rPr>
                <w:b/>
              </w:rPr>
              <w:t xml:space="preserve">攻击能力与边界</w:t>
            </w:r>
          </w:p>
        </w:tc>
      </w:tr>
      <w:tr>
        <w:tc>
          <w:tcPr>
            <w:tcW w:w="3000" w:type="dxa"/>
          </w:tcPr>
          <w:p>
            <w:pPr>
              <w:pStyle w:val="TableText"/>
            </w:pPr>
            <w:r>
              <w:t xml:space="preserve">AgentPoison，NeurIPS 2024 [16]</w:t>
            </w:r>
          </w:p>
        </w:tc>
        <w:tc>
          <w:tcPr>
            <w:tcW w:w="3000" w:type="dxa"/>
          </w:tcPr>
          <w:p>
            <w:pPr>
              <w:pStyle w:val="TableText"/>
            </w:pPr>
            <w:r>
              <w:t xml:space="preserve">未核验检索记忆的可信性；联合构造毒样本与触发，使检索结果导向攻击行为</w:t>
            </w:r>
          </w:p>
        </w:tc>
        <w:tc>
          <w:tcPr>
            <w:tcW w:w="3000" w:type="dxa"/>
          </w:tcPr>
          <w:p>
            <w:pPr>
              <w:pStyle w:val="TableText"/>
            </w:pPr>
            <w:r>
              <w:t xml:space="preserve">部分直接写库，并依赖对嵌入器的可见性；不能代表所有黑盒低权限场景</w:t>
            </w:r>
          </w:p>
        </w:tc>
      </w:tr>
      <w:tr>
        <w:tc>
          <w:tcPr>
            <w:tcW w:w="3000" w:type="dxa"/>
          </w:tcPr>
          <w:p>
            <w:pPr>
              <w:pStyle w:val="TableText"/>
            </w:pPr>
            <w:r>
              <w:t xml:space="preserve">MINJA，NeurIPS 2025 [18]</w:t>
            </w:r>
          </w:p>
        </w:tc>
        <w:tc>
          <w:tcPr>
            <w:tcW w:w="3000" w:type="dxa"/>
          </w:tcPr>
          <w:p>
            <w:pPr>
              <w:pStyle w:val="TableText"/>
            </w:pPr>
            <w:r>
              <w:t xml:space="preserve">明确指出直接改库不现实；用交互诱导 Agent 生成并保存带偏置的经历</w:t>
            </w:r>
          </w:p>
        </w:tc>
        <w:tc>
          <w:tcPr>
            <w:tcW w:w="3000" w:type="dxa"/>
          </w:tcPr>
          <w:p>
            <w:pPr>
              <w:pStyle w:val="TableText"/>
            </w:pPr>
            <w:r>
              <w:t xml:space="preserve">仅查询/观察输出，但跨受害任务影响仍依赖共享记忆或身份隔离假设</w:t>
            </w:r>
          </w:p>
        </w:tc>
      </w:tr>
      <w:tr>
        <w:tc>
          <w:tcPr>
            <w:tcW w:w="3000" w:type="dxa"/>
          </w:tcPr>
          <w:p>
            <w:pPr>
              <w:pStyle w:val="TableText"/>
            </w:pPr>
            <w:r>
              <w:t xml:space="preserve">MemoryGraft，2025 预印本 [19]</w:t>
            </w:r>
          </w:p>
        </w:tc>
        <w:tc>
          <w:tcPr>
            <w:tcW w:w="3000" w:type="dxa"/>
          </w:tcPr>
          <w:p>
            <w:pPr>
              <w:pStyle w:val="TableText"/>
            </w:pPr>
            <w:r>
              <w:t xml:space="preserve">对照触发型和交互注入方法，借文档摄入伪装成功经验，利用检索后的程序模仿</w:t>
            </w:r>
          </w:p>
        </w:tc>
        <w:tc>
          <w:tcPr>
            <w:tcW w:w="3000" w:type="dxa"/>
          </w:tcPr>
          <w:p>
            <w:pPr>
              <w:pStyle w:val="TableText"/>
            </w:pPr>
            <w:r>
              <w:t xml:space="preserve">单一 Agent 环境与较小人工样本；不能由检索率推导任意实际危害</w:t>
            </w:r>
          </w:p>
        </w:tc>
      </w:tr>
      <w:tr>
        <w:tc>
          <w:tcPr>
            <w:tcW w:w="3000" w:type="dxa"/>
          </w:tcPr>
          <w:p>
            <w:pPr>
              <w:pStyle w:val="TableText"/>
            </w:pPr>
            <w:r>
              <w:t xml:space="preserve">MemMorph，2026 预印本 [20]</w:t>
            </w:r>
          </w:p>
        </w:tc>
        <w:tc>
          <w:tcPr>
            <w:tcW w:w="3000" w:type="dxa"/>
          </w:tcPr>
          <w:p>
            <w:pPr>
              <w:pStyle w:val="TableText"/>
            </w:pPr>
            <w:r>
              <w:t xml:space="preserve">工具元数据投毒可被审计且未必持久；通过技术事实、事故报告、操作政策式记忆偏置工具选择</w:t>
            </w:r>
          </w:p>
        </w:tc>
        <w:tc>
          <w:tcPr>
            <w:tcW w:w="3000" w:type="dxa"/>
          </w:tcPr>
          <w:p>
            <w:pPr>
              <w:pStyle w:val="TableText"/>
            </w:pPr>
            <w:r>
              <w:t xml:space="preserve">需访问记忆模块；主要评估单步选工具，多步动作依赖仍是边界</w:t>
            </w:r>
          </w:p>
        </w:tc>
      </w:tr>
      <w:tr>
        <w:tc>
          <w:tcPr>
            <w:tcW w:w="3000" w:type="dxa"/>
          </w:tcPr>
          <w:p>
            <w:pPr>
              <w:pStyle w:val="TableText"/>
            </w:pPr>
            <w:r>
              <w:t xml:space="preserve">OEP，2026 预印本 [21]</w:t>
            </w:r>
          </w:p>
        </w:tc>
        <w:tc>
          <w:tcPr>
            <w:tcW w:w="3000" w:type="dxa"/>
          </w:tcPr>
          <w:p>
            <w:pPr>
              <w:pStyle w:val="TableText"/>
            </w:pPr>
            <w:r>
              <w:t xml:space="preserve">显式恶意指令容易暴露；用局部正确但不可迁移的经历诱导错误泛化</w:t>
            </w:r>
          </w:p>
        </w:tc>
        <w:tc>
          <w:tcPr>
            <w:tcW w:w="3000" w:type="dxa"/>
          </w:tcPr>
          <w:p>
            <w:pPr>
              <w:pStyle w:val="TableText"/>
            </w:pPr>
            <w:r>
              <w:t xml:space="preserve">案例构造仍依赖领域知识和人工迭代，多 Agent 尚非主要验证范围</w:t>
            </w:r>
          </w:p>
        </w:tc>
      </w:tr>
      <w:tr>
        <w:tc>
          <w:tcPr>
            <w:tcW w:w="3000" w:type="dxa"/>
          </w:tcPr>
          <w:p>
            <w:pPr>
              <w:pStyle w:val="TableText"/>
            </w:pPr>
            <w:r>
              <w:t xml:space="preserve">Zombie Agents，2026；ICLR Workshop [55]</w:t>
            </w:r>
          </w:p>
        </w:tc>
        <w:tc>
          <w:tcPr>
            <w:tcW w:w="3000" w:type="dxa"/>
          </w:tcPr>
          <w:p>
            <w:pPr>
              <w:pStyle w:val="TableText"/>
            </w:pPr>
            <w:r>
              <w:t xml:space="preserve">一次外部内容暴露可能变成跨会话控制；研究正常记忆更新如何保留并强化污染</w:t>
            </w:r>
          </w:p>
        </w:tc>
        <w:tc>
          <w:tcPr>
            <w:tcW w:w="3000" w:type="dxa"/>
          </w:tcPr>
          <w:p>
            <w:pPr>
              <w:pStyle w:val="TableText"/>
            </w:pPr>
            <w:r>
              <w:t xml:space="preserve">针对记忆实现设计持久策略；不能把自强化、抵抗截断本身再列为新点</w:t>
            </w:r>
          </w:p>
        </w:tc>
      </w:tr>
      <w:tr>
        <w:tc>
          <w:tcPr>
            <w:tcW w:w="3000" w:type="dxa"/>
          </w:tcPr>
          <w:p>
            <w:pPr>
              <w:pStyle w:val="TableText"/>
            </w:pPr>
            <w:r>
              <w:t xml:space="preserve">Hidden in Memory，2026 预印本 [56]</w:t>
            </w:r>
          </w:p>
        </w:tc>
        <w:tc>
          <w:tcPr>
            <w:tcW w:w="3000" w:type="dxa"/>
          </w:tcPr>
          <w:p>
            <w:pPr>
              <w:pStyle w:val="TableText"/>
            </w:pPr>
            <w:r>
              <w:t xml:space="preserve">当次提示注入评测不足以刻画用户记忆的延迟影响；测写入、检索与后续采用</w:t>
            </w:r>
          </w:p>
        </w:tc>
        <w:tc>
          <w:tcPr>
            <w:tcW w:w="3000" w:type="dxa"/>
          </w:tcPr>
          <w:p>
            <w:pPr>
              <w:pStyle w:val="TableText"/>
            </w:pPr>
            <w:r>
              <w:t xml:space="preserve">注入成功、检索成功和动作成功不是同一分母，必须逐阶段解释</w:t>
            </w:r>
          </w:p>
        </w:tc>
      </w:tr>
    </w:tbl>
    <w:p>
      <w:pPr>
        <w:pStyle w:val="Normal"/>
      </w:pPr>
      <w:r>
        <w:t xml:space="preserve">其中最清楚的“由前人不足产生新论文”的案例是 AgentPoison 到 MINJA：前作证明可植入，不等于证明现实中能取得植入权限；后作保留记忆污染目标，却改变污染进入系统的方式。这个变化影响攻击预算、可观察接口与防御位置，因而具有独立论文价值，而不只是换一个数据集。[16,18]</w:t>
      </w:r>
    </w:p>
    <w:p>
      <w:pPr>
        <w:pStyle w:val="Normal"/>
      </w:pPr>
      <w:r>
        <w:t xml:space="preserve">MemoryGraft、MemMorph 与 OEP 又改变了污染的语义外观：从明显命令，转向看似经验、事实或反思结果。[19—21] 三者不能笼统概括成同一种“隐蔽记忆后门”。检索到伪经验、选择错误工具、学习错误通用规则，是不同中介机制，需要不同的干预实验。新课题若只把恶意指令改写成事故报告，会与 MemMorph 接近；若只用正常例子诱导过度泛化，会与 OEP 接近。</w:t>
      </w:r>
    </w:p>
    <w:p>
      <w:pPr>
        <w:pStyle w:val="Normal"/>
      </w:pPr>
      <w:r>
        <w:t xml:space="preserve">另一条并行路线专门追问持久性。Zombie Agents 从一次网页暴露出发，研究自演化记忆如何把短期注入转成跨会话影响，并考虑截断与相关性过滤；Hidden in Memory 研究伪造用户记忆在以后对话中的休眠和再出现。[55—56] 它们不应被简单排列为 OEP 的前后继：前者侧重影响能否保留，后者侧重反思为何形成错误规则。两种机制可能同时存在，但需要分别测量。</w:t>
      </w:r>
    </w:p>
    <w:p>
      <w:pPr>
        <w:pStyle w:val="Heading2"/>
      </w:pPr>
      <w:r>
        <w:t xml:space="preserve">3.2 修复链：为什么删除一条毒记忆不够</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3000"/>
        <w:gridCol w:w="3000"/>
        <w:gridCol w:w="3000"/>
      </w:tblGrid>
      <w:tr>
        <w:trPr>
          <w:tblHeader w:val="true"/>
        </w:trPr>
        <w:tc>
          <w:tcPr>
            <w:tcW w:w="3000" w:type="dxa"/>
            <w:shd w:fill="DCE6F1"/>
          </w:tcPr>
          <w:p>
            <w:pPr>
              <w:pStyle w:val="TableText"/>
            </w:pPr>
            <w:r>
              <w:rPr>
                <w:b/>
              </w:rPr>
              <w:t xml:space="preserve">论文与状态</w:t>
            </w:r>
          </w:p>
        </w:tc>
        <w:tc>
          <w:tcPr>
            <w:tcW w:w="3000" w:type="dxa"/>
            <w:shd w:fill="DCE6F1"/>
          </w:tcPr>
          <w:p>
            <w:pPr>
              <w:pStyle w:val="TableText"/>
            </w:pPr>
            <w:r>
              <w:rPr>
                <w:b/>
              </w:rPr>
              <w:t xml:space="preserve">明确解决的问题</w:t>
            </w:r>
          </w:p>
        </w:tc>
        <w:tc>
          <w:tcPr>
            <w:tcW w:w="3000" w:type="dxa"/>
            <w:shd w:fill="DCE6F1"/>
          </w:tcPr>
          <w:p>
            <w:pPr>
              <w:pStyle w:val="TableText"/>
            </w:pPr>
            <w:r>
              <w:rPr>
                <w:b/>
              </w:rPr>
              <w:t xml:space="preserve">对新选题的约束</w:t>
            </w:r>
          </w:p>
        </w:tc>
      </w:tr>
      <w:tr>
        <w:tc>
          <w:tcPr>
            <w:tcW w:w="3000" w:type="dxa"/>
          </w:tcPr>
          <w:p>
            <w:pPr>
              <w:pStyle w:val="TableText"/>
            </w:pPr>
            <w:r>
              <w:t xml:space="preserve">MemoRepair，2026 预印本 [22]</w:t>
            </w:r>
          </w:p>
        </w:tc>
        <w:tc>
          <w:tcPr>
            <w:tcW w:w="3000" w:type="dxa"/>
          </w:tcPr>
          <w:p>
            <w:pPr>
              <w:pStyle w:val="TableText"/>
            </w:pPr>
            <w:r>
              <w:t xml:space="preserve">原始资料被删除、更正或因工具迁移失效后，派生摘要/过程仍可见；先撤下，再验证并发布修复后代</w:t>
            </w:r>
          </w:p>
        </w:tc>
        <w:tc>
          <w:tcPr>
            <w:tcW w:w="3000" w:type="dxa"/>
          </w:tcPr>
          <w:p>
            <w:pPr>
              <w:pStyle w:val="TableText"/>
            </w:pPr>
            <w:r>
              <w:t xml:space="preserve">“级联修复”“工具升级使旧经验失效”已经有人做；应考察不完整来源而非重复完整谱系条件</w:t>
            </w:r>
          </w:p>
        </w:tc>
      </w:tr>
      <w:tr>
        <w:tc>
          <w:tcPr>
            <w:tcW w:w="3000" w:type="dxa"/>
          </w:tcPr>
          <w:p>
            <w:pPr>
              <w:pStyle w:val="TableText"/>
            </w:pPr>
            <w:r>
              <w:t xml:space="preserve">TMA-NM，2026 预印本 [23]</w:t>
            </w:r>
          </w:p>
        </w:tc>
        <w:tc>
          <w:tcPr>
            <w:tcW w:w="3000" w:type="dxa"/>
          </w:tcPr>
          <w:p>
            <w:pPr>
              <w:pStyle w:val="TableText"/>
            </w:pPr>
            <w:r>
              <w:t xml:space="preserve">摘要、工具回声、伪造佐证可洗白来源；绑定来源并在行动时检查权威性</w:t>
            </w:r>
          </w:p>
        </w:tc>
        <w:tc>
          <w:tcPr>
            <w:tcW w:w="3000" w:type="dxa"/>
          </w:tcPr>
          <w:p>
            <w:pPr>
              <w:pStyle w:val="TableText"/>
            </w:pPr>
            <w:r>
              <w:t xml:space="preserve">简单给内容加来源标签不是新贡献；真实标签及独立佐证仍是重要前提</w:t>
            </w:r>
          </w:p>
        </w:tc>
      </w:tr>
      <w:tr>
        <w:tc>
          <w:tcPr>
            <w:tcW w:w="3000" w:type="dxa"/>
          </w:tcPr>
          <w:p>
            <w:pPr>
              <w:pStyle w:val="TableText"/>
            </w:pPr>
            <w:r>
              <w:t xml:space="preserve">MemTX，2026 预印本 [24]</w:t>
            </w:r>
          </w:p>
        </w:tc>
        <w:tc>
          <w:tcPr>
            <w:tcW w:w="3000" w:type="dxa"/>
          </w:tcPr>
          <w:p>
            <w:pPr>
              <w:pStyle w:val="TableText"/>
            </w:pPr>
            <w:r>
              <w:t xml:space="preserve">写入不等于可信提交；需要快照、动作门控和派生修复</w:t>
            </w:r>
          </w:p>
        </w:tc>
        <w:tc>
          <w:tcPr>
            <w:tcW w:w="3000" w:type="dxa"/>
          </w:tcPr>
          <w:p>
            <w:pPr>
              <w:pStyle w:val="TableText"/>
            </w:pPr>
            <w:r>
              <w:t xml:space="preserve">普通事务、旧写入拒绝已很接近；原文承认未声明父来源与跨事务重试仍有边界</w:t>
            </w:r>
          </w:p>
        </w:tc>
      </w:tr>
      <w:tr>
        <w:tc>
          <w:tcPr>
            <w:tcW w:w="3000" w:type="dxa"/>
          </w:tcPr>
          <w:p>
            <w:pPr>
              <w:pStyle w:val="TableText"/>
            </w:pPr>
            <w:r>
              <w:t xml:space="preserve">MemSecBench，2026 预印本 [25]</w:t>
            </w:r>
          </w:p>
        </w:tc>
        <w:tc>
          <w:tcPr>
            <w:tcW w:w="3000" w:type="dxa"/>
          </w:tcPr>
          <w:p>
            <w:pPr>
              <w:pStyle w:val="TableText"/>
            </w:pPr>
            <w:r>
              <w:t xml:space="preserve">需贯通植入、保留、执行与遗忘，验证选择性修复</w:t>
            </w:r>
          </w:p>
        </w:tc>
        <w:tc>
          <w:tcPr>
            <w:tcW w:w="3000" w:type="dxa"/>
          </w:tcPr>
          <w:p>
            <w:pPr>
              <w:pStyle w:val="TableText"/>
            </w:pPr>
            <w:r>
              <w:t xml:space="preserve">只增加跨会话 ASR 或删除后检查不足以独立成篇；它是基准，不是防御算法</w:t>
            </w:r>
          </w:p>
        </w:tc>
      </w:tr>
      <w:tr>
        <w:tc>
          <w:tcPr>
            <w:tcW w:w="3000" w:type="dxa"/>
          </w:tcPr>
          <w:p>
            <w:pPr>
              <w:pStyle w:val="TableText"/>
            </w:pPr>
            <w:r>
              <w:t xml:space="preserve">Revoked but Still Authoritative，2026 预印本 [26]</w:t>
            </w:r>
          </w:p>
        </w:tc>
        <w:tc>
          <w:tcPr>
            <w:tcW w:w="3000" w:type="dxa"/>
          </w:tcPr>
          <w:p>
            <w:pPr>
              <w:pStyle w:val="TableText"/>
            </w:pPr>
            <w:r>
              <w:t xml:space="preserve">撤销标记不一定被检索侧执行，且不同后端暴露信息不同</w:t>
            </w:r>
          </w:p>
        </w:tc>
        <w:tc>
          <w:tcPr>
            <w:tcW w:w="3000" w:type="dxa"/>
          </w:tcPr>
          <w:p>
            <w:pPr>
              <w:pStyle w:val="TableText"/>
            </w:pPr>
            <w:r>
              <w:t xml:space="preserve">“撤销后仍被用”本身不是新发现；必须定义更细的撤销对象和消费边界</w:t>
            </w:r>
          </w:p>
        </w:tc>
      </w:tr>
      <w:tr>
        <w:tc>
          <w:tcPr>
            <w:tcW w:w="3000" w:type="dxa"/>
          </w:tcPr>
          <w:p>
            <w:pPr>
              <w:pStyle w:val="TableText"/>
            </w:pPr>
            <w:r>
              <w:t xml:space="preserve">Forgetting Without Restarting，2026 预印本 [27]</w:t>
            </w:r>
          </w:p>
        </w:tc>
        <w:tc>
          <w:tcPr>
            <w:tcW w:w="3000" w:type="dxa"/>
          </w:tcPr>
          <w:p>
            <w:pPr>
              <w:pStyle w:val="TableText"/>
            </w:pPr>
            <w:r>
              <w:t xml:space="preserve">删除原记录不删除摘要、计划与缓存等执行态；以来源引导选择性重放</w:t>
            </w:r>
          </w:p>
        </w:tc>
        <w:tc>
          <w:tcPr>
            <w:tcW w:w="3000" w:type="dxa"/>
          </w:tcPr>
          <w:p>
            <w:pPr>
              <w:pStyle w:val="TableText"/>
            </w:pPr>
            <w:r>
              <w:t xml:space="preserve">“上下文残留”“重放修复”已被研究；应避开仅重做运行态清理</w:t>
            </w:r>
          </w:p>
        </w:tc>
      </w:tr>
    </w:tbl>
    <w:p>
      <w:pPr>
        <w:pStyle w:val="Normal"/>
      </w:pPr>
      <w:r>
        <w:t xml:space="preserve">这条路线说明问题已从“能不能污染”推进到“系统何时应当不再相信污染”。本文据此推断，研究价值更可能出现在不同维护边界的接缝处，例如新事务是否重新接纳旧污染、另一个 Agent 的独立记忆是否重新导入已修复系统。这里的接缝是假设，不是已经证实的漏洞；必须首先证明强基线在该条件下确实失效。[22—27]</w:t>
      </w:r>
    </w:p>
    <w:p>
      <w:pPr>
        <w:pStyle w:val="Heading2"/>
      </w:pPr>
      <w:r>
        <w:t xml:space="preserve">3.3 工具与 MCP 链：从返回内容到注册元数据，再到工作流信任</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3000"/>
        <w:gridCol w:w="3000"/>
        <w:gridCol w:w="3000"/>
      </w:tblGrid>
      <w:tr>
        <w:trPr>
          <w:tblHeader w:val="true"/>
        </w:trPr>
        <w:tc>
          <w:tcPr>
            <w:tcW w:w="3000" w:type="dxa"/>
            <w:shd w:fill="DCE6F1"/>
          </w:tcPr>
          <w:p>
            <w:pPr>
              <w:pStyle w:val="TableText"/>
            </w:pPr>
            <w:r>
              <w:rPr>
                <w:b/>
              </w:rPr>
              <w:t xml:space="preserve">论文与状态</w:t>
            </w:r>
          </w:p>
        </w:tc>
        <w:tc>
          <w:tcPr>
            <w:tcW w:w="3000" w:type="dxa"/>
            <w:shd w:fill="DCE6F1"/>
          </w:tcPr>
          <w:p>
            <w:pPr>
              <w:pStyle w:val="TableText"/>
            </w:pPr>
            <w:r>
              <w:rPr>
                <w:b/>
              </w:rPr>
              <w:t xml:space="preserve">前人不足</w:t>
            </w:r>
          </w:p>
        </w:tc>
        <w:tc>
          <w:tcPr>
            <w:tcW w:w="3000" w:type="dxa"/>
            <w:shd w:fill="DCE6F1"/>
          </w:tcPr>
          <w:p>
            <w:pPr>
              <w:pStyle w:val="TableText"/>
            </w:pPr>
            <w:r>
              <w:rPr>
                <w:b/>
              </w:rPr>
              <w:t xml:space="preserve">新思路及尚存边界</w:t>
            </w:r>
          </w:p>
        </w:tc>
      </w:tr>
      <w:tr>
        <w:tc>
          <w:tcPr>
            <w:tcW w:w="3000" w:type="dxa"/>
          </w:tcPr>
          <w:p>
            <w:pPr>
              <w:pStyle w:val="TableText"/>
            </w:pPr>
            <w:r>
              <w:t xml:space="preserve">InjecAgent，Findings ACL 2024 [32]</w:t>
            </w:r>
          </w:p>
        </w:tc>
        <w:tc>
          <w:tcPr>
            <w:tcW w:w="3000" w:type="dxa"/>
          </w:tcPr>
          <w:p>
            <w:pPr>
              <w:pStyle w:val="TableText"/>
            </w:pPr>
            <w:r>
              <w:t xml:space="preserve">缺少对工具返回内容中间接注入的系统评测</w:t>
            </w:r>
          </w:p>
        </w:tc>
        <w:tc>
          <w:tcPr>
            <w:tcW w:w="3000" w:type="dxa"/>
          </w:tcPr>
          <w:p>
            <w:pPr>
              <w:pStyle w:val="TableText"/>
            </w:pPr>
            <w:r>
              <w:t xml:space="preserve">建立工具输出攻击任务；单次输入评测不能代表完整多步执行</w:t>
            </w:r>
          </w:p>
        </w:tc>
      </w:tr>
      <w:tr>
        <w:tc>
          <w:tcPr>
            <w:tcW w:w="3000" w:type="dxa"/>
          </w:tcPr>
          <w:p>
            <w:pPr>
              <w:pStyle w:val="TableText"/>
            </w:pPr>
            <w:r>
              <w:t xml:space="preserve">AgentDojo，NeurIPS 2024 [33]</w:t>
            </w:r>
          </w:p>
        </w:tc>
        <w:tc>
          <w:tcPr>
            <w:tcW w:w="3000" w:type="dxa"/>
          </w:tcPr>
          <w:p>
            <w:pPr>
              <w:pStyle w:val="TableText"/>
            </w:pPr>
            <w:r>
              <w:t xml:space="preserve">明确讨论 InjecAgent 的模拟单轮设置</w:t>
            </w:r>
          </w:p>
        </w:tc>
        <w:tc>
          <w:tcPr>
            <w:tcW w:w="3000" w:type="dxa"/>
          </w:tcPr>
          <w:p>
            <w:pPr>
              <w:pStyle w:val="TableText"/>
            </w:pPr>
            <w:r>
              <w:t xml:space="preserve">在可执行任务环境中测试攻击与防御，仍需另外扩展长期持久状态</w:t>
            </w:r>
          </w:p>
        </w:tc>
      </w:tr>
      <w:tr>
        <w:tc>
          <w:tcPr>
            <w:tcW w:w="3000" w:type="dxa"/>
          </w:tcPr>
          <w:p>
            <w:pPr>
              <w:pStyle w:val="TableText"/>
            </w:pPr>
            <w:r>
              <w:t xml:space="preserve">MCPTox，AAAI 2026；2025 预印本 [34]</w:t>
            </w:r>
          </w:p>
        </w:tc>
        <w:tc>
          <w:tcPr>
            <w:tcW w:w="3000" w:type="dxa"/>
          </w:tcPr>
          <w:p>
            <w:pPr>
              <w:pStyle w:val="TableText"/>
            </w:pPr>
            <w:r>
              <w:t xml:space="preserve">工具输出评测未覆盖 MCP 注册阶段元数据</w:t>
            </w:r>
          </w:p>
        </w:tc>
        <w:tc>
          <w:tcPr>
            <w:tcW w:w="3000" w:type="dxa"/>
          </w:tcPr>
          <w:p>
            <w:pPr>
              <w:pStyle w:val="TableText"/>
            </w:pPr>
            <w:r>
              <w:t xml:space="preserve">恶意描述影响工具调用；元数据风险不等于跨会话后门</w:t>
            </w:r>
          </w:p>
        </w:tc>
      </w:tr>
      <w:tr>
        <w:tc>
          <w:tcPr>
            <w:tcW w:w="3000" w:type="dxa"/>
          </w:tcPr>
          <w:p>
            <w:pPr>
              <w:pStyle w:val="TableText"/>
            </w:pPr>
            <w:r>
              <w:t xml:space="preserve">MCP-ITP，2026 预印本 [35]</w:t>
            </w:r>
          </w:p>
        </w:tc>
        <w:tc>
          <w:tcPr>
            <w:tcW w:w="3000" w:type="dxa"/>
          </w:tcPr>
          <w:p>
            <w:pPr>
              <w:pStyle w:val="TableText"/>
            </w:pPr>
            <w:r>
              <w:t xml:space="preserve">工具被列出本身就可能影响其他工具的使用</w:t>
            </w:r>
          </w:p>
        </w:tc>
        <w:tc>
          <w:tcPr>
            <w:tcW w:w="3000" w:type="dxa"/>
          </w:tcPr>
          <w:p>
            <w:pPr>
              <w:pStyle w:val="TableText"/>
            </w:pPr>
            <w:r>
              <w:t xml:space="preserve">研究隐式工具投毒，并使用 MCPTox 资源；不应把“未调用恶意工具也受影响”当作新空白</w:t>
            </w:r>
          </w:p>
        </w:tc>
      </w:tr>
      <w:tr>
        <w:tc>
          <w:tcPr>
            <w:tcW w:w="3000" w:type="dxa"/>
          </w:tcPr>
          <w:p>
            <w:pPr>
              <w:pStyle w:val="TableText"/>
            </w:pPr>
            <w:r>
              <w:t xml:space="preserve">GhostSplice，2026 预印本 [36]</w:t>
            </w:r>
          </w:p>
        </w:tc>
        <w:tc>
          <w:tcPr>
            <w:tcW w:w="3000" w:type="dxa"/>
          </w:tcPr>
          <w:p>
            <w:pPr>
              <w:pStyle w:val="TableText"/>
            </w:pPr>
            <w:r>
              <w:t xml:space="preserve">单通道评测难描述工具调用管线中的隐式信任</w:t>
            </w:r>
          </w:p>
        </w:tc>
        <w:tc>
          <w:tcPr>
            <w:tcW w:w="3000" w:type="dxa"/>
          </w:tcPr>
          <w:p>
            <w:pPr>
              <w:pStyle w:val="TableText"/>
            </w:pPr>
            <w:r>
              <w:t xml:space="preserve">比较多类注入入口；与 MCPTox 是主题关联，不擅自声明直接继承</w:t>
            </w:r>
          </w:p>
        </w:tc>
      </w:tr>
      <w:tr>
        <w:tc>
          <w:tcPr>
            <w:tcW w:w="3000" w:type="dxa"/>
          </w:tcPr>
          <w:p>
            <w:pPr>
              <w:pStyle w:val="TableText"/>
            </w:pPr>
            <w:r>
              <w:t xml:space="preserve">BackdoorAgent，Findings ACL 2026 [37]</w:t>
            </w:r>
          </w:p>
        </w:tc>
        <w:tc>
          <w:tcPr>
            <w:tcW w:w="3000" w:type="dxa"/>
          </w:tcPr>
          <w:p>
            <w:pPr>
              <w:pStyle w:val="TableText"/>
            </w:pPr>
            <w:r>
              <w:t xml:space="preserve">需要统一考察 Agent 工作流不同位置的后门风险</w:t>
            </w:r>
          </w:p>
        </w:tc>
        <w:tc>
          <w:tcPr>
            <w:tcW w:w="3000" w:type="dxa"/>
          </w:tcPr>
          <w:p>
            <w:pPr>
              <w:pStyle w:val="TableText"/>
            </w:pPr>
            <w:r>
              <w:t xml:space="preserve">应作为全流程近邻；不能用训练型 BadAgent 替代它做相关工作对比</w:t>
            </w:r>
          </w:p>
        </w:tc>
      </w:tr>
      <w:tr>
        <w:tc>
          <w:tcPr>
            <w:tcW w:w="3000" w:type="dxa"/>
          </w:tcPr>
          <w:p>
            <w:pPr>
              <w:pStyle w:val="TableText"/>
            </w:pPr>
            <w:r>
              <w:t xml:space="preserve">ShieldMCP，ACL 2026 Industry [38]</w:t>
            </w:r>
          </w:p>
        </w:tc>
        <w:tc>
          <w:tcPr>
            <w:tcW w:w="3000" w:type="dxa"/>
          </w:tcPr>
          <w:p>
            <w:pPr>
              <w:pStyle w:val="TableText"/>
            </w:pPr>
            <w:r>
              <w:t xml:space="preserve">工具层风险需要可部署的运行时检查</w:t>
            </w:r>
          </w:p>
        </w:tc>
        <w:tc>
          <w:tcPr>
            <w:tcW w:w="3000" w:type="dxa"/>
          </w:tcPr>
          <w:p>
            <w:pPr>
              <w:pStyle w:val="TableText"/>
            </w:pPr>
            <w:r>
              <w:t xml:space="preserve">作为工具层防御近邻；不能把加一个通用过滤器称为主要创新</w:t>
            </w:r>
          </w:p>
        </w:tc>
      </w:tr>
    </w:tbl>
    <w:p>
      <w:pPr>
        <w:pStyle w:val="Normal"/>
      </w:pPr>
      <w:r>
        <w:t xml:space="preserve">InjecAgent 到 AgentDojo 的推进说明，评测方法本身也能形成论文：如果旧评测不能反映真实执行反馈，多步环境会改变攻击可达性与防御有效性的判断。[32—33] 但今天再建一个普通工具输出攻击集合已经不足。新评测应证明某个重要机制被已有基准遗漏，并提供严格的因果对照。</w:t>
      </w:r>
    </w:p>
    <w:p>
      <w:pPr>
        <w:pStyle w:val="Normal"/>
      </w:pPr>
      <w:r>
        <w:t xml:space="preserve">MCPTox 与 MCP-ITP 的联系则体现入口迁移：工具描述不是普通用户数据，却也不能因为是结构化协议的一部分而获得指令权威。[34—35] 同时，协议字段合法、工具返回成功、调用任务完成是不同概念。若拟研究跨表示差异，必须核验真实适配器如何消费字段，而不是假设协议要求两个字段逐字相等。</w:t>
      </w:r>
    </w:p>
    <w:p>
      <w:pPr>
        <w:pStyle w:val="Normal"/>
      </w:pPr>
      <w:r>
        <w:t xml:space="preserve">MCP-SafetyBench 已提供真实 MCP 服务的安全评测，因此不建议再以“搭建广义 MCP 安全基准”为主要贡献。[52] 官方客户端问题记录也已有双表示消费差异的报告，不能把字段选择差异本身称为首次发现。[53] S1 的待验证差异是这种差异是否穿过审核、进入长期记忆，并在后续干净会话形成定向偏移。</w:t>
      </w:r>
    </w:p>
    <w:p>
      <w:pPr>
        <w:pStyle w:val="Heading2"/>
      </w:pPr>
      <w:r>
        <w:t xml:space="preserve">3.4 多 Agent 链：传播、规划偏移与集体错误并不等价</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3000"/>
        <w:gridCol w:w="3000"/>
        <w:gridCol w:w="3000"/>
      </w:tblGrid>
      <w:tr>
        <w:trPr>
          <w:tblHeader w:val="true"/>
        </w:trPr>
        <w:tc>
          <w:tcPr>
            <w:tcW w:w="3000" w:type="dxa"/>
            <w:shd w:fill="DCE6F1"/>
          </w:tcPr>
          <w:p>
            <w:pPr>
              <w:pStyle w:val="TableText"/>
            </w:pPr>
            <w:r>
              <w:rPr>
                <w:b/>
              </w:rPr>
              <w:t xml:space="preserve">论文与状态</w:t>
            </w:r>
          </w:p>
        </w:tc>
        <w:tc>
          <w:tcPr>
            <w:tcW w:w="3000" w:type="dxa"/>
            <w:shd w:fill="DCE6F1"/>
          </w:tcPr>
          <w:p>
            <w:pPr>
              <w:pStyle w:val="TableText"/>
            </w:pPr>
            <w:r>
              <w:rPr>
                <w:b/>
              </w:rPr>
              <w:t xml:space="preserve">研究对象与前人联系</w:t>
            </w:r>
          </w:p>
        </w:tc>
        <w:tc>
          <w:tcPr>
            <w:tcW w:w="3000" w:type="dxa"/>
            <w:shd w:fill="DCE6F1"/>
          </w:tcPr>
          <w:p>
            <w:pPr>
              <w:pStyle w:val="TableText"/>
            </w:pPr>
            <w:r>
              <w:rPr>
                <w:b/>
              </w:rPr>
              <w:t xml:space="preserve">对选题的启示</w:t>
            </w:r>
          </w:p>
        </w:tc>
      </w:tr>
      <w:tr>
        <w:tc>
          <w:tcPr>
            <w:tcW w:w="3000" w:type="dxa"/>
          </w:tcPr>
          <w:p>
            <w:pPr>
              <w:pStyle w:val="TableText"/>
            </w:pPr>
            <w:r>
              <w:t xml:space="preserve">Prompt Infection，2024 预印本 [28]</w:t>
            </w:r>
          </w:p>
        </w:tc>
        <w:tc>
          <w:tcPr>
            <w:tcW w:w="3000" w:type="dxa"/>
          </w:tcPr>
          <w:p>
            <w:pPr>
              <w:pStyle w:val="TableText"/>
            </w:pPr>
            <w:r>
              <w:t xml:space="preserve">明确把间接提示注入扩到 Agent 间自复制传播</w:t>
            </w:r>
          </w:p>
        </w:tc>
        <w:tc>
          <w:tcPr>
            <w:tcW w:w="3000" w:type="dxa"/>
          </w:tcPr>
          <w:p>
            <w:pPr>
              <w:pStyle w:val="TableText"/>
            </w:pPr>
            <w:r>
              <w:t xml:space="preserve">简单把注入由 A 传给 B 已有直接先例</w:t>
            </w:r>
          </w:p>
        </w:tc>
      </w:tr>
      <w:tr>
        <w:tc>
          <w:tcPr>
            <w:tcW w:w="3000" w:type="dxa"/>
          </w:tcPr>
          <w:p>
            <w:pPr>
              <w:pStyle w:val="TableText"/>
            </w:pPr>
            <w:r>
              <w:t xml:space="preserve">Flooding Spread of Manipulated Knowledge，2024 预印本 [29]</w:t>
            </w:r>
          </w:p>
        </w:tc>
        <w:tc>
          <w:tcPr>
            <w:tcW w:w="3000" w:type="dxa"/>
          </w:tcPr>
          <w:p>
            <w:pPr>
              <w:pStyle w:val="TableText"/>
            </w:pPr>
            <w:r>
              <w:t xml:space="preserve">注入虚假知识并在群体中扩散，涉及检索持久化</w:t>
            </w:r>
          </w:p>
        </w:tc>
        <w:tc>
          <w:tcPr>
            <w:tcW w:w="3000" w:type="dxa"/>
          </w:tcPr>
          <w:p>
            <w:pPr>
              <w:pStyle w:val="TableText"/>
            </w:pPr>
            <w:r>
              <w:t xml:space="preserve">“错误知识传播到共享记忆”也不是新空白</w:t>
            </w:r>
          </w:p>
        </w:tc>
      </w:tr>
      <w:tr>
        <w:tc>
          <w:tcPr>
            <w:tcW w:w="3000" w:type="dxa"/>
          </w:tcPr>
          <w:p>
            <w:pPr>
              <w:pStyle w:val="TableText"/>
            </w:pPr>
            <w:r>
              <w:t xml:space="preserve">AiTM，Findings ACL 2025 [30]</w:t>
            </w:r>
          </w:p>
        </w:tc>
        <w:tc>
          <w:tcPr>
            <w:tcW w:w="3000" w:type="dxa"/>
          </w:tcPr>
          <w:p>
            <w:pPr>
              <w:pStyle w:val="TableText"/>
            </w:pPr>
            <w:r>
              <w:t xml:space="preserve">Red-Teaming LLM Multi-Agent Systems via Communication Attacks；研究协作消息篡改</w:t>
            </w:r>
          </w:p>
        </w:tc>
        <w:tc>
          <w:tcPr>
            <w:tcW w:w="3000" w:type="dxa"/>
          </w:tcPr>
          <w:p>
            <w:pPr>
              <w:pStyle w:val="TableText"/>
            </w:pPr>
            <w:r>
              <w:t xml:space="preserve">不能仅把恶意内容塞进 Agent 间消息就称新攻击链</w:t>
            </w:r>
          </w:p>
        </w:tc>
      </w:tr>
      <w:tr>
        <w:tc>
          <w:tcPr>
            <w:tcW w:w="3000" w:type="dxa"/>
          </w:tcPr>
          <w:p>
            <w:pPr>
              <w:pStyle w:val="TableText"/>
            </w:pPr>
            <w:r>
              <w:t xml:space="preserve">PlanFlip，2026 预印本 [31]</w:t>
            </w:r>
          </w:p>
        </w:tc>
        <w:tc>
          <w:tcPr>
            <w:tcW w:w="3000" w:type="dxa"/>
          </w:tcPr>
          <w:p>
            <w:pPr>
              <w:pStyle w:val="TableText"/>
            </w:pPr>
            <w:r>
              <w:t xml:space="preserve">明确比较 Prompt Infection 与通信攻击，转到规划阶段预先污染</w:t>
            </w:r>
          </w:p>
        </w:tc>
        <w:tc>
          <w:tcPr>
            <w:tcW w:w="3000" w:type="dxa"/>
          </w:tcPr>
          <w:p>
            <w:pPr>
              <w:pStyle w:val="TableText"/>
            </w:pPr>
            <w:r>
              <w:t xml:space="preserve">“单次污染导致多步协作偏移”需直接与其区分</w:t>
            </w:r>
          </w:p>
        </w:tc>
      </w:tr>
      <w:tr>
        <w:tc>
          <w:tcPr>
            <w:tcW w:w="3000" w:type="dxa"/>
          </w:tcPr>
          <w:p>
            <w:pPr>
              <w:pStyle w:val="TableText"/>
            </w:pPr>
            <w:r>
              <w:t xml:space="preserve">Mandela Effect，2026；arXiv 注明 ICLR 2026 [39]</w:t>
            </w:r>
          </w:p>
        </w:tc>
        <w:tc>
          <w:tcPr>
            <w:tcW w:w="3000" w:type="dxa"/>
          </w:tcPr>
          <w:p>
            <w:pPr>
              <w:pStyle w:val="TableText"/>
            </w:pPr>
            <w:r>
              <w:t xml:space="preserve">集体错记、社会影响与固化；引用早期知识扩散研究</w:t>
            </w:r>
          </w:p>
        </w:tc>
        <w:tc>
          <w:tcPr>
            <w:tcW w:w="3000" w:type="dxa"/>
          </w:tcPr>
          <w:p>
            <w:pPr>
              <w:pStyle w:val="TableText"/>
            </w:pPr>
            <w:r>
              <w:t xml:space="preserve">没有明确攻击者的实验不能被重新包装为已验证后门攻击</w:t>
            </w:r>
          </w:p>
        </w:tc>
      </w:tr>
      <w:tr>
        <w:tc>
          <w:tcPr>
            <w:tcW w:w="3000" w:type="dxa"/>
          </w:tcPr>
          <w:p>
            <w:pPr>
              <w:pStyle w:val="TableText"/>
            </w:pPr>
            <w:r>
              <w:t xml:space="preserve">CAMA，2026 预印本 [40]</w:t>
            </w:r>
          </w:p>
        </w:tc>
        <w:tc>
          <w:tcPr>
            <w:tcW w:w="3000" w:type="dxa"/>
          </w:tcPr>
          <w:p>
            <w:pPr>
              <w:pStyle w:val="TableText"/>
            </w:pPr>
            <w:r>
              <w:t xml:space="preserve">相关记忆造成伪多数，研究潜在来源推断和仲裁</w:t>
            </w:r>
          </w:p>
        </w:tc>
        <w:tc>
          <w:tcPr>
            <w:tcW w:w="3000" w:type="dxa"/>
          </w:tcPr>
          <w:p>
            <w:pPr>
              <w:pStyle w:val="TableText"/>
            </w:pPr>
            <w:r>
              <w:t xml:space="preserve">属可靠性近邻，含训练组件；不能作为本课题无需训练的直接可比方法</w:t>
            </w:r>
          </w:p>
        </w:tc>
      </w:tr>
      <w:tr>
        <w:tc>
          <w:tcPr>
            <w:tcW w:w="3000" w:type="dxa"/>
          </w:tcPr>
          <w:p>
            <w:pPr>
              <w:pStyle w:val="TableText"/>
            </w:pPr>
            <w:r>
              <w:t xml:space="preserve">CPB，2026 预印本 [41]</w:t>
            </w:r>
          </w:p>
        </w:tc>
        <w:tc>
          <w:tcPr>
            <w:tcW w:w="3000" w:type="dxa"/>
          </w:tcPr>
          <w:p>
            <w:pPr>
              <w:pStyle w:val="TableText"/>
            </w:pPr>
            <w:r>
              <w:t xml:space="preserve">共享记忆中复制、改写与权威声明被误当独立证据</w:t>
            </w:r>
          </w:p>
        </w:tc>
        <w:tc>
          <w:tcPr>
            <w:tcW w:w="3000" w:type="dxa"/>
          </w:tcPr>
          <w:p>
            <w:pPr>
              <w:pStyle w:val="TableText"/>
            </w:pPr>
            <w:r>
              <w:t xml:space="preserve">简单计数去重或“多 Agent 背书洗白”已经有近邻评测</w:t>
            </w:r>
          </w:p>
        </w:tc>
      </w:tr>
    </w:tbl>
    <w:p>
      <w:pPr>
        <w:pStyle w:val="Normal"/>
      </w:pPr>
      <w:r>
        <w:t xml:space="preserve">最需要纠正的是把上述工作连成“传播攻击—Mandela 后门—CAMA 防御”的单线。这会混淆对抗设置与自然错误，也会把训练型仲裁方法错误列为推理时防御。合理的做法是：以 Prompt Infection、AiTM 和 PlanFlip 对照攻击能力与植入位置，以 Mandela、CAMA 和 CPB 约束关于群体记忆机制的解释，再明确本课题新增了什么威胁模型。[28—31,39—41]</w:t>
      </w:r>
    </w:p>
    <w:p>
      <w:pPr>
        <w:pStyle w:val="Heading2"/>
      </w:pPr>
      <w:r>
        <w:t xml:space="preserve">3.5 2026 年应特别避免遗漏的近邻</w:t>
      </w:r>
    </w:p>
    <w:p>
      <w:pPr>
        <w:pStyle w:val="Normal"/>
      </w:pPr>
      <w:r>
        <w:t xml:space="preserve">Silence Is Endorsement 已研究验证状态在转述中被洗白；Authorization Revocation for Long-Running AI Agents 讨论长时任务授权撤销；From Approval to Execution 关注审批与执行之间的联系。[42—44] 因而“保留未验证标签”“撤销已批准任务”“把授权检查放到执行时”都不宜直接写为新贡献。</w:t>
      </w:r>
    </w:p>
    <w:p>
      <w:pPr>
        <w:pStyle w:val="Normal"/>
      </w:pPr>
      <w:r>
        <w:t xml:space="preserve">工具可靠性领域也会抢占看似安全的新想法。Verified Tool Calls Improve LLM Agent Reliability Under Non-Atomic Failures 已使用后置条件验证、重试前核实和幂等键。[45] 若研究异常返回诱发持久后门，应证明在这些已有措施下仍存在特定的经验写入问题；单纯避免重复调用不是本课题创新。</w:t>
      </w:r>
    </w:p>
    <w:p>
      <w:pPr>
        <w:pStyle w:val="Heading1"/>
      </w:pPr>
      <w:r>
        <w:t xml:space="preserve">四、现有研究不足与可研究空白</w:t>
      </w:r>
    </w:p>
    <w:p>
      <w:pPr>
        <w:pStyle w:val="Heading2"/>
      </w:pPr>
      <w:r>
        <w:t xml:space="preserve">4.1 已有人做过的内容：从创新点中剔除</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3000"/>
        <w:gridCol w:w="3000"/>
        <w:gridCol w:w="3000"/>
      </w:tblGrid>
      <w:tr>
        <w:trPr>
          <w:tblHeader w:val="true"/>
        </w:trPr>
        <w:tc>
          <w:tcPr>
            <w:tcW w:w="3000" w:type="dxa"/>
            <w:shd w:fill="DCE6F1"/>
          </w:tcPr>
          <w:p>
            <w:pPr>
              <w:pStyle w:val="TableText"/>
            </w:pPr>
            <w:r>
              <w:rPr>
                <w:b/>
              </w:rPr>
              <w:t xml:space="preserve">不宜再直接声称的创新</w:t>
            </w:r>
          </w:p>
        </w:tc>
        <w:tc>
          <w:tcPr>
            <w:tcW w:w="3000" w:type="dxa"/>
            <w:shd w:fill="DCE6F1"/>
          </w:tcPr>
          <w:p>
            <w:pPr>
              <w:pStyle w:val="TableText"/>
            </w:pPr>
            <w:r>
              <w:rPr>
                <w:b/>
              </w:rPr>
              <w:t xml:space="preserve">最接近的已有工作</w:t>
            </w:r>
          </w:p>
        </w:tc>
        <w:tc>
          <w:tcPr>
            <w:tcW w:w="3000" w:type="dxa"/>
            <w:shd w:fill="DCE6F1"/>
          </w:tcPr>
          <w:p>
            <w:pPr>
              <w:pStyle w:val="TableText"/>
            </w:pPr>
            <w:r>
              <w:rPr>
                <w:b/>
              </w:rPr>
              <w:t xml:space="preserve">只有什么差异才可能继续研究</w:t>
            </w:r>
          </w:p>
        </w:tc>
      </w:tr>
      <w:tr>
        <w:tc>
          <w:tcPr>
            <w:tcW w:w="3000" w:type="dxa"/>
          </w:tcPr>
          <w:p>
            <w:pPr>
              <w:pStyle w:val="TableText"/>
            </w:pPr>
            <w:r>
              <w:t xml:space="preserve">不改权重，用记忆植入后门</w:t>
            </w:r>
          </w:p>
        </w:tc>
        <w:tc>
          <w:tcPr>
            <w:tcW w:w="3000" w:type="dxa"/>
          </w:tcPr>
          <w:p>
            <w:pPr>
              <w:pStyle w:val="TableText"/>
            </w:pPr>
            <w:r>
              <w:t xml:space="preserve">AgentPoison、MINJA、MemoryGraft</w:t>
            </w:r>
          </w:p>
        </w:tc>
        <w:tc>
          <w:tcPr>
            <w:tcW w:w="3000" w:type="dxa"/>
          </w:tcPr>
          <w:p>
            <w:pPr>
              <w:pStyle w:val="TableText"/>
            </w:pPr>
            <w:r>
              <w:t xml:space="preserve">更弱且真实的入口权限，或明确不同的因果机制</w:t>
            </w:r>
          </w:p>
        </w:tc>
      </w:tr>
      <w:tr>
        <w:tc>
          <w:tcPr>
            <w:tcW w:w="3000" w:type="dxa"/>
          </w:tcPr>
          <w:p>
            <w:pPr>
              <w:pStyle w:val="TableText"/>
            </w:pPr>
            <w:r>
              <w:t xml:space="preserve">通过技术事实或事故报告改变工具选择</w:t>
            </w:r>
          </w:p>
        </w:tc>
        <w:tc>
          <w:tcPr>
            <w:tcW w:w="3000" w:type="dxa"/>
          </w:tcPr>
          <w:p>
            <w:pPr>
              <w:pStyle w:val="TableText"/>
            </w:pPr>
            <w:r>
              <w:t xml:space="preserve">MemMorph</w:t>
            </w:r>
          </w:p>
        </w:tc>
        <w:tc>
          <w:tcPr>
            <w:tcW w:w="3000" w:type="dxa"/>
          </w:tcPr>
          <w:p>
            <w:pPr>
              <w:pStyle w:val="TableText"/>
            </w:pPr>
            <w:r>
              <w:t xml:space="preserve">多步依赖下独有的状态问题，且单步方法不能解释</w:t>
            </w:r>
          </w:p>
        </w:tc>
      </w:tr>
      <w:tr>
        <w:tc>
          <w:tcPr>
            <w:tcW w:w="3000" w:type="dxa"/>
          </w:tcPr>
          <w:p>
            <w:pPr>
              <w:pStyle w:val="TableText"/>
            </w:pPr>
            <w:r>
              <w:t xml:space="preserve">用正确案例诱导错误经验</w:t>
            </w:r>
          </w:p>
        </w:tc>
        <w:tc>
          <w:tcPr>
            <w:tcW w:w="3000" w:type="dxa"/>
          </w:tcPr>
          <w:p>
            <w:pPr>
              <w:pStyle w:val="TableText"/>
            </w:pPr>
            <w:r>
              <w:t xml:space="preserve">OEP</w:t>
            </w:r>
          </w:p>
        </w:tc>
        <w:tc>
          <w:tcPr>
            <w:tcW w:w="3000" w:type="dxa"/>
          </w:tcPr>
          <w:p>
            <w:pPr>
              <w:pStyle w:val="TableText"/>
            </w:pPr>
            <w:r>
              <w:t xml:space="preserve">可识别的适用范围或组合边界，而非换一组故事</w:t>
            </w:r>
          </w:p>
        </w:tc>
      </w:tr>
      <w:tr>
        <w:tc>
          <w:tcPr>
            <w:tcW w:w="3000" w:type="dxa"/>
          </w:tcPr>
          <w:p>
            <w:pPr>
              <w:pStyle w:val="TableText"/>
            </w:pPr>
            <w:r>
              <w:t xml:space="preserve">多 Agent 扩散恶意指令/错误知识</w:t>
            </w:r>
          </w:p>
        </w:tc>
        <w:tc>
          <w:tcPr>
            <w:tcW w:w="3000" w:type="dxa"/>
          </w:tcPr>
          <w:p>
            <w:pPr>
              <w:pStyle w:val="TableText"/>
            </w:pPr>
            <w:r>
              <w:t xml:space="preserve">Prompt Infection、Flooding、AiTM</w:t>
            </w:r>
          </w:p>
        </w:tc>
        <w:tc>
          <w:tcPr>
            <w:tcW w:w="3000" w:type="dxa"/>
          </w:tcPr>
          <w:p>
            <w:pPr>
              <w:pStyle w:val="TableText"/>
            </w:pPr>
            <w:r>
              <w:t xml:space="preserve">修复后的跨边界再导入、明确的新传播条件</w:t>
            </w:r>
          </w:p>
        </w:tc>
      </w:tr>
      <w:tr>
        <w:tc>
          <w:tcPr>
            <w:tcW w:w="3000" w:type="dxa"/>
          </w:tcPr>
          <w:p>
            <w:pPr>
              <w:pStyle w:val="TableText"/>
            </w:pPr>
            <w:r>
              <w:t xml:space="preserve">摘要洗白来源/验证状态</w:t>
            </w:r>
          </w:p>
        </w:tc>
        <w:tc>
          <w:tcPr>
            <w:tcW w:w="3000" w:type="dxa"/>
          </w:tcPr>
          <w:p>
            <w:pPr>
              <w:pStyle w:val="TableText"/>
            </w:pPr>
            <w:r>
              <w:t xml:space="preserve">TMA-NM、Silence Is Endorsement</w:t>
            </w:r>
          </w:p>
        </w:tc>
        <w:tc>
          <w:tcPr>
            <w:tcW w:w="3000" w:type="dxa"/>
          </w:tcPr>
          <w:p>
            <w:pPr>
              <w:pStyle w:val="TableText"/>
            </w:pPr>
            <w:r>
              <w:t xml:space="preserve">不完整来源下的可用性与漏检权衡，或新的状态交接语义</w:t>
            </w:r>
          </w:p>
        </w:tc>
      </w:tr>
      <w:tr>
        <w:tc>
          <w:tcPr>
            <w:tcW w:w="3000" w:type="dxa"/>
          </w:tcPr>
          <w:p>
            <w:pPr>
              <w:pStyle w:val="TableText"/>
            </w:pPr>
            <w:r>
              <w:t xml:space="preserve">删除后代记忆、撤销后拒绝读取</w:t>
            </w:r>
          </w:p>
        </w:tc>
        <w:tc>
          <w:tcPr>
            <w:tcW w:w="3000" w:type="dxa"/>
          </w:tcPr>
          <w:p>
            <w:pPr>
              <w:pStyle w:val="TableText"/>
            </w:pPr>
            <w:r>
              <w:t xml:space="preserve">MemoRepair、MemTX、撤销研究</w:t>
            </w:r>
          </w:p>
        </w:tc>
        <w:tc>
          <w:tcPr>
            <w:tcW w:w="3000" w:type="dxa"/>
          </w:tcPr>
          <w:p>
            <w:pPr>
              <w:pStyle w:val="TableText"/>
            </w:pPr>
            <w:r>
              <w:t xml:space="preserve">未暴露或跨系统的谱系边界，并比较完整信息基线</w:t>
            </w:r>
          </w:p>
        </w:tc>
      </w:tr>
      <w:tr>
        <w:tc>
          <w:tcPr>
            <w:tcW w:w="3000" w:type="dxa"/>
          </w:tcPr>
          <w:p>
            <w:pPr>
              <w:pStyle w:val="TableText"/>
            </w:pPr>
            <w:r>
              <w:t xml:space="preserve">相关来源被错当多数</w:t>
            </w:r>
          </w:p>
        </w:tc>
        <w:tc>
          <w:tcPr>
            <w:tcW w:w="3000" w:type="dxa"/>
          </w:tcPr>
          <w:p>
            <w:pPr>
              <w:pStyle w:val="TableText"/>
            </w:pPr>
            <w:r>
              <w:t xml:space="preserve">CAMA、CPB</w:t>
            </w:r>
          </w:p>
        </w:tc>
        <w:tc>
          <w:tcPr>
            <w:tcW w:w="3000" w:type="dxa"/>
          </w:tcPr>
          <w:p>
            <w:pPr>
              <w:pStyle w:val="TableText"/>
            </w:pPr>
            <w:r>
              <w:t xml:space="preserve">已接纳证据发生变化后的动态失效，而非静态去重</w:t>
            </w:r>
          </w:p>
        </w:tc>
      </w:tr>
      <w:tr>
        <w:tc>
          <w:tcPr>
            <w:tcW w:w="3000" w:type="dxa"/>
          </w:tcPr>
          <w:p>
            <w:pPr>
              <w:pStyle w:val="TableText"/>
            </w:pPr>
            <w:r>
              <w:t xml:space="preserve">工具调用失败后先验证再重试</w:t>
            </w:r>
          </w:p>
        </w:tc>
        <w:tc>
          <w:tcPr>
            <w:tcW w:w="3000" w:type="dxa"/>
          </w:tcPr>
          <w:p>
            <w:pPr>
              <w:pStyle w:val="TableText"/>
            </w:pPr>
            <w:r>
              <w:t xml:space="preserve">Verified Tool Calls</w:t>
            </w:r>
          </w:p>
        </w:tc>
        <w:tc>
          <w:tcPr>
            <w:tcW w:w="3000" w:type="dxa"/>
          </w:tcPr>
          <w:p>
            <w:pPr>
              <w:pStyle w:val="TableText"/>
            </w:pPr>
            <w:r>
              <w:t xml:space="preserve">重试事件如何生成长期错误规则，且可靠性基线仍不足</w:t>
            </w:r>
          </w:p>
        </w:tc>
      </w:tr>
    </w:tbl>
    <w:p>
      <w:pPr>
        <w:pStyle w:val="Heading2"/>
      </w:pPr>
      <w:r>
        <w:t xml:space="preserve">4.2 从脉络得到的五条选题原则</w:t>
      </w:r>
    </w:p>
    <w:p>
      <w:pPr>
        <w:pStyle w:val="Normal"/>
      </w:pPr>
      <w:r>
        <w:t xml:space="preserve">第一，优先改变一个重要的现实假设。MINJA 的价值不是多写一种触发，而是改变污染入口权限。第二，选择可以被独立测量的中介机制，例如写入、检索、规则采用或动作参数，避免仅比较最终 ASR。第三，对照强近邻的保障范围；其未覆盖的范围只是候选，不自动构成论文。第四，把安全失败与普通故障分开，攻击者应能稳定、定向地放大失败。第五，让研究范围小于系统规模：只研究一个接口接缝、一类状态转移或一个证据失效规则。</w:t>
      </w:r>
    </w:p>
    <w:p>
      <w:pPr>
        <w:pStyle w:val="Heading2"/>
      </w:pPr>
      <w:r>
        <w:t xml:space="preserve">4.3 七个问题域与十二个候选单元</w:t>
      </w:r>
    </w:p>
    <w:p>
      <w:pPr>
        <w:pStyle w:val="Normal"/>
      </w:pPr>
      <w:r>
        <w:t xml:space="preserve">下面的风险为本次证据下的相对判断，不是概率估计。“优先预实验”表示机制容易隔离，不等于已证实低撞题。涉及组合已有机制的方向，必须额外证明组合导致新失败，而非把两篇工作串起来。</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2250"/>
        <w:gridCol w:w="2250"/>
        <w:gridCol w:w="2250"/>
        <w:gridCol w:w="2250"/>
      </w:tblGrid>
      <w:tr>
        <w:trPr>
          <w:tblHeader w:val="true"/>
        </w:trPr>
        <w:tc>
          <w:tcPr>
            <w:tcW w:w="2250" w:type="dxa"/>
            <w:shd w:fill="DCE6F1"/>
          </w:tcPr>
          <w:p>
            <w:pPr>
              <w:pStyle w:val="TableText"/>
            </w:pPr>
            <w:r>
              <w:rPr>
                <w:b/>
              </w:rPr>
              <w:t xml:space="preserve">问题域</w:t>
            </w:r>
          </w:p>
        </w:tc>
        <w:tc>
          <w:tcPr>
            <w:tcW w:w="2250" w:type="dxa"/>
            <w:shd w:fill="DCE6F1"/>
          </w:tcPr>
          <w:p>
            <w:pPr>
              <w:pStyle w:val="TableText"/>
            </w:pPr>
            <w:r>
              <w:rPr>
                <w:b/>
              </w:rPr>
              <w:t xml:space="preserve">候选单元</w:t>
            </w:r>
          </w:p>
        </w:tc>
        <w:tc>
          <w:tcPr>
            <w:tcW w:w="2250" w:type="dxa"/>
            <w:shd w:fill="DCE6F1"/>
          </w:tcPr>
          <w:p>
            <w:pPr>
              <w:pStyle w:val="TableText"/>
            </w:pPr>
            <w:r>
              <w:rPr>
                <w:b/>
              </w:rPr>
              <w:t xml:space="preserve">最近邻及主要区分</w:t>
            </w:r>
          </w:p>
        </w:tc>
        <w:tc>
          <w:tcPr>
            <w:tcW w:w="2250" w:type="dxa"/>
            <w:shd w:fill="DCE6F1"/>
          </w:tcPr>
          <w:p>
            <w:pPr>
              <w:pStyle w:val="TableText"/>
            </w:pPr>
            <w:r>
              <w:rPr>
                <w:b/>
              </w:rPr>
              <w:t xml:space="preserve">当前建议</w:t>
            </w:r>
          </w:p>
        </w:tc>
      </w:tr>
      <w:tr>
        <w:tc>
          <w:tcPr>
            <w:tcW w:w="2250" w:type="dxa"/>
          </w:tcPr>
          <w:p>
            <w:pPr>
              <w:pStyle w:val="TableText"/>
            </w:pPr>
            <w:r>
              <w:t xml:space="preserve">D1 工具结果的多表示消费</w:t>
            </w:r>
          </w:p>
        </w:tc>
        <w:tc>
          <w:tcPr>
            <w:tcW w:w="2250" w:type="dxa"/>
          </w:tcPr>
          <w:p>
            <w:pPr>
              <w:pStyle w:val="TableText"/>
            </w:pPr>
            <w:r>
              <w:t xml:space="preserve">S1 双表示结果的持久后门；S2 视图切换后的休眠触发</w:t>
            </w:r>
          </w:p>
        </w:tc>
        <w:tc>
          <w:tcPr>
            <w:tcW w:w="2250" w:type="dxa"/>
          </w:tcPr>
          <w:p>
            <w:pPr>
              <w:pStyle w:val="TableText"/>
            </w:pPr>
            <w:r>
              <w:t xml:space="preserve">GhostSplice、MCP 防御；差异在审核/执行/记忆消费不一致及延迟后果</w:t>
            </w:r>
          </w:p>
        </w:tc>
        <w:tc>
          <w:tcPr>
            <w:tcW w:w="2250" w:type="dxa"/>
          </w:tcPr>
          <w:p>
            <w:pPr>
              <w:pStyle w:val="TableText"/>
            </w:pPr>
            <w:r>
              <w:t xml:space="preserve">S1 优先；S2 先作为 S1 消融</w:t>
            </w:r>
          </w:p>
        </w:tc>
      </w:tr>
      <w:tr>
        <w:tc>
          <w:tcPr>
            <w:tcW w:w="2250" w:type="dxa"/>
          </w:tcPr>
          <w:p>
            <w:pPr>
              <w:pStyle w:val="TableText"/>
            </w:pPr>
            <w:r>
              <w:t xml:space="preserve">D2 撤销与写入事务交界</w:t>
            </w:r>
          </w:p>
        </w:tc>
        <w:tc>
          <w:tcPr>
            <w:tcW w:w="2250" w:type="dxa"/>
          </w:tcPr>
          <w:p>
            <w:pPr>
              <w:pStyle w:val="TableText"/>
            </w:pPr>
            <w:r>
              <w:t xml:space="preserve">S3 跨事务重试再植入；S4 跨 Agent 重新导入</w:t>
            </w:r>
          </w:p>
        </w:tc>
        <w:tc>
          <w:tcPr>
            <w:tcW w:w="2250" w:type="dxa"/>
          </w:tcPr>
          <w:p>
            <w:pPr>
              <w:pStyle w:val="TableText"/>
            </w:pPr>
            <w:r>
              <w:t xml:space="preserve">MemTX、MemoRepair、执行态遗忘；差异在修复边界之外的新写入</w:t>
            </w:r>
          </w:p>
        </w:tc>
        <w:tc>
          <w:tcPr>
            <w:tcW w:w="2250" w:type="dxa"/>
          </w:tcPr>
          <w:p>
            <w:pPr>
              <w:pStyle w:val="TableText"/>
            </w:pPr>
            <w:r>
              <w:t xml:space="preserve">S4 优先；S3 备选</w:t>
            </w:r>
          </w:p>
        </w:tc>
      </w:tr>
      <w:tr>
        <w:tc>
          <w:tcPr>
            <w:tcW w:w="2250" w:type="dxa"/>
          </w:tcPr>
          <w:p>
            <w:pPr>
              <w:pStyle w:val="TableText"/>
            </w:pPr>
            <w:r>
              <w:t xml:space="preserve">D3 证据支持关系的动态变化</w:t>
            </w:r>
          </w:p>
        </w:tc>
        <w:tc>
          <w:tcPr>
            <w:tcW w:w="2250" w:type="dxa"/>
          </w:tcPr>
          <w:p>
            <w:pPr>
              <w:pStyle w:val="TableText"/>
            </w:pPr>
            <w:r>
              <w:t xml:space="preserve">S5 佐证撤销后权威降级；S6 被误合并来源的拆分修复</w:t>
            </w:r>
          </w:p>
        </w:tc>
        <w:tc>
          <w:tcPr>
            <w:tcW w:w="2250" w:type="dxa"/>
          </w:tcPr>
          <w:p>
            <w:pPr>
              <w:pStyle w:val="TableText"/>
            </w:pPr>
            <w:r>
              <w:t xml:space="preserve">TMA-NM、CPB、CAMA；差异在接纳之后的证据变更</w:t>
            </w:r>
          </w:p>
        </w:tc>
        <w:tc>
          <w:tcPr>
            <w:tcW w:w="2250" w:type="dxa"/>
          </w:tcPr>
          <w:p>
            <w:pPr>
              <w:pStyle w:val="TableText"/>
            </w:pPr>
            <w:r>
              <w:t xml:space="preserve">S5 备选；S6 风险较高</w:t>
            </w:r>
          </w:p>
        </w:tc>
      </w:tr>
      <w:tr>
        <w:tc>
          <w:tcPr>
            <w:tcW w:w="2250" w:type="dxa"/>
          </w:tcPr>
          <w:p>
            <w:pPr>
              <w:pStyle w:val="TableText"/>
            </w:pPr>
            <w:r>
              <w:t xml:space="preserve">D4 经验适用范围的组合</w:t>
            </w:r>
          </w:p>
        </w:tc>
        <w:tc>
          <w:tcPr>
            <w:tcW w:w="2250" w:type="dxa"/>
          </w:tcPr>
          <w:p>
            <w:pPr>
              <w:pStyle w:val="TableText"/>
            </w:pPr>
            <w:r>
              <w:t xml:space="preserve">S7 多条局部正确经验的组合触发；S8 任务边界迁移后的错误泛化</w:t>
            </w:r>
          </w:p>
        </w:tc>
        <w:tc>
          <w:tcPr>
            <w:tcW w:w="2250" w:type="dxa"/>
          </w:tcPr>
          <w:p>
            <w:pPr>
              <w:pStyle w:val="TableText"/>
            </w:pPr>
            <w:r>
              <w:t xml:space="preserve">OEP、MemMorph、MemSecBench；差异在适用范围冲突</w:t>
            </w:r>
          </w:p>
        </w:tc>
        <w:tc>
          <w:tcPr>
            <w:tcW w:w="2250" w:type="dxa"/>
          </w:tcPr>
          <w:p>
            <w:pPr>
              <w:pStyle w:val="TableText"/>
            </w:pPr>
            <w:r>
              <w:t xml:space="preserve">需要先复现 OEP，避免换名</w:t>
            </w:r>
          </w:p>
        </w:tc>
      </w:tr>
      <w:tr>
        <w:tc>
          <w:tcPr>
            <w:tcW w:w="2250" w:type="dxa"/>
          </w:tcPr>
          <w:p>
            <w:pPr>
              <w:pStyle w:val="TableText"/>
            </w:pPr>
            <w:r>
              <w:t xml:space="preserve">D5 不完整来源下的修复</w:t>
            </w:r>
          </w:p>
        </w:tc>
        <w:tc>
          <w:tcPr>
            <w:tcW w:w="2250" w:type="dxa"/>
          </w:tcPr>
          <w:p>
            <w:pPr>
              <w:pStyle w:val="TableText"/>
            </w:pPr>
            <w:r>
              <w:t xml:space="preserve">S9 字段级部分污染修复；S10 缺失父来源的保守恢复</w:t>
            </w:r>
          </w:p>
        </w:tc>
        <w:tc>
          <w:tcPr>
            <w:tcW w:w="2250" w:type="dxa"/>
          </w:tcPr>
          <w:p>
            <w:pPr>
              <w:pStyle w:val="TableText"/>
            </w:pPr>
            <w:r>
              <w:t xml:space="preserve">TMA-NM、MemoRepair、MemTX</w:t>
            </w:r>
          </w:p>
        </w:tc>
        <w:tc>
          <w:tcPr>
            <w:tcW w:w="2250" w:type="dxa"/>
          </w:tcPr>
          <w:p>
            <w:pPr>
              <w:pStyle w:val="TableText"/>
            </w:pPr>
            <w:r>
              <w:t xml:space="preserve">S9 可作方法子模块；S10 工作量偏大</w:t>
            </w:r>
          </w:p>
        </w:tc>
      </w:tr>
      <w:tr>
        <w:tc>
          <w:tcPr>
            <w:tcW w:w="2250" w:type="dxa"/>
          </w:tcPr>
          <w:p>
            <w:pPr>
              <w:pStyle w:val="TableText"/>
            </w:pPr>
            <w:r>
              <w:t xml:space="preserve">D6 非原子工具事件的经验污染</w:t>
            </w:r>
          </w:p>
        </w:tc>
        <w:tc>
          <w:tcPr>
            <w:tcW w:w="2250" w:type="dxa"/>
          </w:tcPr>
          <w:p>
            <w:pPr>
              <w:pStyle w:val="TableText"/>
            </w:pPr>
            <w:r>
              <w:t xml:space="preserve">S11 执行状态误读导致错误成功经验</w:t>
            </w:r>
          </w:p>
        </w:tc>
        <w:tc>
          <w:tcPr>
            <w:tcW w:w="2250" w:type="dxa"/>
          </w:tcPr>
          <w:p>
            <w:pPr>
              <w:pStyle w:val="TableText"/>
            </w:pPr>
            <w:r>
              <w:t xml:space="preserve">Verified Tool Calls、工具返回注入、MemoryGraft</w:t>
            </w:r>
          </w:p>
        </w:tc>
        <w:tc>
          <w:tcPr>
            <w:tcW w:w="2250" w:type="dxa"/>
          </w:tcPr>
          <w:p>
            <w:pPr>
              <w:pStyle w:val="TableText"/>
            </w:pPr>
            <w:r>
              <w:t xml:space="preserve">必须证明幂等/核实调用仍不足</w:t>
            </w:r>
          </w:p>
        </w:tc>
      </w:tr>
      <w:tr>
        <w:tc>
          <w:tcPr>
            <w:tcW w:w="2250" w:type="dxa"/>
          </w:tcPr>
          <w:p>
            <w:pPr>
              <w:pStyle w:val="TableText"/>
            </w:pPr>
            <w:r>
              <w:t xml:space="preserve">D7 持久后门的因果判定</w:t>
            </w:r>
          </w:p>
        </w:tc>
        <w:tc>
          <w:tcPr>
            <w:tcW w:w="2250" w:type="dxa"/>
          </w:tcPr>
          <w:p>
            <w:pPr>
              <w:pStyle w:val="TableText"/>
            </w:pPr>
            <w:r>
              <w:t xml:space="preserve">S12 记忆效应与上下文残留的配对干预评测</w:t>
            </w:r>
          </w:p>
        </w:tc>
        <w:tc>
          <w:tcPr>
            <w:tcW w:w="2250" w:type="dxa"/>
          </w:tcPr>
          <w:p>
            <w:pPr>
              <w:pStyle w:val="TableText"/>
            </w:pPr>
            <w:r>
              <w:t xml:space="preserve">MemSecBench、BackdoorAgent</w:t>
            </w:r>
          </w:p>
        </w:tc>
        <w:tc>
          <w:tcPr>
            <w:tcW w:w="2250" w:type="dxa"/>
          </w:tcPr>
          <w:p>
            <w:pPr>
              <w:pStyle w:val="TableText"/>
            </w:pPr>
            <w:r>
              <w:t xml:space="preserve">所有课题必做；单独成篇需额外实证发现</w:t>
            </w:r>
          </w:p>
        </w:tc>
      </w:tr>
    </w:tbl>
    <w:p>
      <w:pPr>
        <w:pStyle w:val="Heading1"/>
      </w:pPr>
      <w:r>
        <w:t xml:space="preserve">五、研究目标、研究内容与关键科学问题</w:t>
      </w:r>
    </w:p>
    <w:p>
      <w:pPr>
        <w:pStyle w:val="Heading2"/>
      </w:pPr>
      <w:r>
        <w:t xml:space="preserve">5.1 总体研究目标</w:t>
      </w:r>
    </w:p>
    <w:p>
      <w:pPr>
        <w:pStyle w:val="Normal"/>
      </w:pPr>
      <w:r>
        <w:t xml:space="preserve">本课题拟研究低权限外部内容如何跨越 Agent 的接口和状态维护边界，形成延迟触发的行为偏移，并设计不修改模型参数的局部防护。研究不追求覆盖所有 Agent 架构，而选择两个能独立验证的具体边界，分别完成攻击机理、强基线对比、因果消融和正常任务代价评估。</w:t>
      </w:r>
    </w:p>
    <w:p>
      <w:pPr>
        <w:pStyle w:val="Normal"/>
      </w:pPr>
      <w:r>
        <w:t xml:space="preserve">核心科学问题一：何种状态转换使普通外部数据获得长期行为影响力？核心科学问题二：在攻击者已退出、原始内容已撤销或删除后，哪些可观察的依赖仍足以保留或恢复这种影响？核心科学问题三：以有限来源信息实施约束时，如何同时降低攻击后果和保留正常任务可用性？</w:t>
      </w:r>
    </w:p>
    <w:p>
      <w:pPr>
        <w:pStyle w:val="Heading2"/>
      </w:pPr>
      <w:r>
        <w:t xml:space="preserve">5.2 S1：MCP 双表示结果在审核与记忆消费之间的持久后门</w:t>
      </w:r>
    </w:p>
    <w:p>
      <w:pPr>
        <w:pStyle w:val="Normal"/>
      </w:pPr>
      <w:r>
        <w:t xml:space="preserve">暂定英文题目：Persistent Agent Backdoors through Divergent Consumption of MCP Tool Results。</w:t>
      </w:r>
    </w:p>
    <w:p>
      <w:pPr>
        <w:pStyle w:val="Normal"/>
      </w:pPr>
      <w:r>
        <w:t xml:space="preserve">背景与缺口：工具攻击已覆盖返回内容和元数据，但“同一次返回被不同组件解释成不同内容”仍值得单独核验。官方实现资料显示，MCP 结果的 content 与 structuredContent 可由不同策略消费，主机也可能保留完整结果而向推理过程提供解析后的值。[46] 这证明了多视图条件可存在，不证明存在安全漏洞。拟研究审核器检查一个视图、记忆组件保存另一个视图时，持久偏移是否绕过本来有效的防护；并与 GhostSplice 和 ShieldMCP 对照。[36,38]</w:t>
      </w:r>
    </w:p>
    <w:p>
      <w:pPr>
        <w:pStyle w:val="Normal"/>
      </w:pPr>
      <w:r>
        <w:t xml:space="preserve">具体例子：本地测试工具返回“工单已按常规处理”的文本摘要，同时结构化字段夹带面向某类工单的错误路由经验。若审核只读摘要、记忆写入器却把结构化内容转成历史经验，下一轮无攻击输入的工单可能被转交给错误的模拟处理工具。攻击者只能控制该工具的一次返回，不能直接写记忆、修改审核器或改变用户任务。</w:t>
      </w:r>
    </w:p>
    <w:p>
      <w:pPr>
        <w:pStyle w:val="Normal"/>
      </w:pPr>
      <w:r>
        <w:t xml:space="preserve">研究目标与内容：确认真实消费差异，定位污染进入记忆的步骤，构造带触发与无触发的配对任务，并测试统一表示加字段约束是否阻断持久后果。关键科学问题是：偏移来自恶意语义本身，还是来自审核与消费对象不一致？</w:t>
      </w:r>
    </w:p>
    <w:p>
      <w:pPr>
        <w:pStyle w:val="Normal"/>
      </w:pPr>
      <w:r>
        <w:t xml:space="preserve">技术路线：建立两条真实适配器路径，记录原始结果、审核视图、推理视图及写入视图；分别测试一致结果、正常差异、冲突结果和字段删除；在退出攻击会话后重新触发。防御只做规范化结果标识、关键字段一致性与实际消费视图审核，不建设通用网关。</w:t>
      </w:r>
    </w:p>
    <w:p>
      <w:pPr>
        <w:pStyle w:val="Normal"/>
      </w:pPr>
      <w:r>
        <w:t xml:space="preserve">实验与指标：使用 AgentDojo 风格任务并新增本地 MCP 返回适配；与同视图过滤、完整结果过滤、结构校验、工具层防御比较。统计端到端持久 ASR、各阶段通过率、正常任务成功率、正常多表示结果误报、额外延迟。消融必须包含只存在一种表示与完全相同两种表示。</w:t>
      </w:r>
    </w:p>
    <w:p>
      <w:pPr>
        <w:pStyle w:val="Normal"/>
      </w:pPr>
      <w:r>
        <w:t xml:space="preserve">拟验证创新：一是把视图不一致与持续状态建立因果联系；二是在正常摘要允许不同于原始结构的前提下定义最小一致性条件；三是给出对消费路径敏感的防护评测。预计 7—9 人周。主要风险是现有真实路径都使用统一表示，或者完整结果过滤已解决问题；两周内无法复现真实接缝，则停止独立成篇。</w:t>
      </w:r>
    </w:p>
    <w:p>
      <w:pPr>
        <w:pStyle w:val="Heading2"/>
      </w:pPr>
      <w:r>
        <w:t xml:space="preserve">5.3 S2：消费者策略切换后才出现的休眠状态偏移</w:t>
      </w:r>
    </w:p>
    <w:p>
      <w:pPr>
        <w:pStyle w:val="Normal"/>
      </w:pPr>
      <w:r>
        <w:t xml:space="preserve">暂定英文题目：Dormant Memory Poisoning Activated by Tool-Result Consumer Changes。</w:t>
      </w:r>
    </w:p>
    <w:p>
      <w:pPr>
        <w:pStyle w:val="Normal"/>
      </w:pPr>
      <w:r>
        <w:t xml:space="preserve">背景、现状与缺口：休眠触发本身不新；本方向只问运行期组件切换是否使此前未被使用的结果视图进入经验链。最近邻为 S1 的工具信任研究、MemoRepair 的迁移失效问题与 Hidden in Memory 的延迟触发。[22,36,56] 不能把任意升级失败都称后门。</w:t>
      </w:r>
    </w:p>
    <w:p>
      <w:pPr>
        <w:pStyle w:val="Normal"/>
      </w:pPr>
      <w:r>
        <w:t xml:space="preserve">例子与威胁模型：一次工具返回在旧消费路径下没有造成偏移，但被完整归档；合法维护把记忆抽取器切换到另一字段后，归档中的条件性经验开始影响后续任务。攻击者不能强制维护升级，只能预先提供一份返回，因此要报告对自然触发事件的依赖。</w:t>
      </w:r>
    </w:p>
    <w:p>
      <w:pPr>
        <w:pStyle w:val="Normal"/>
      </w:pPr>
      <w:r>
        <w:t xml:space="preserve">研究目标与技术路线：在两种明确的消费策略之间切换，比较是否归档、是否重新抽取、是否做来源检查。三项待验证贡献是触发窗口的定义、归档重解释的因果验证、迁移时选择性重检。以延迟 ASR、无切换条件 ASR 和重检开销评估，预计 4—6 人周。若机制与 S1 相同，仅作为其消融或扩展，不单独占一篇论文。</w:t>
      </w:r>
    </w:p>
    <w:p>
      <w:pPr>
        <w:pStyle w:val="Heading2"/>
      </w:pPr>
      <w:r>
        <w:t xml:space="preserve">5.4 S3：撤销边界之后的跨事务重试再植入</w:t>
      </w:r>
    </w:p>
    <w:p>
      <w:pPr>
        <w:pStyle w:val="Normal"/>
      </w:pPr>
      <w:r>
        <w:t xml:space="preserve">暂定英文题目：Retry-Induced Reintroduction of Revoked Agent Memories。</w:t>
      </w:r>
    </w:p>
    <w:p>
      <w:pPr>
        <w:pStyle w:val="Normal"/>
      </w:pPr>
      <w:r>
        <w:t xml:space="preserve">背景与现状：MemTX 已研究事务式提交并承认跨事务重试等边界；一般的拒绝旧写入与幂等机制不是创新。[24,45] 本方向只研究被撤销内容以新的逻辑写入身份再次进入时，原有拒绝依据为何失效。</w:t>
      </w:r>
    </w:p>
    <w:p>
      <w:pPr>
        <w:pStyle w:val="Normal"/>
      </w:pPr>
      <w:r>
        <w:t xml:space="preserve">例子：外部资料触发记忆抽取任务，管理员识别污染并撤销其结果；队列中的合法重试随后从缓存材料重新生成措辞变化的经验，以新记录写入。后续只在特定任务类别出现错误动作。攻击者只能控制最初资料，可诱导可重试错误但不能篡改系统撤销日志。</w:t>
      </w:r>
    </w:p>
    <w:p>
      <w:pPr>
        <w:pStyle w:val="Normal"/>
      </w:pPr>
      <w:r>
        <w:t xml:space="preserve">目标与关键问题：区分“同一写请求重放”与“相同污染来源重新生成新经验”，研究撤销约束如何跨生成步骤继承。技术路线是构造抽取—提交—撤销—重试的可控事件序列，记录逻辑来源与事务标识，用来源失效范围约束后续提交。</w:t>
      </w:r>
    </w:p>
    <w:p>
      <w:pPr>
        <w:pStyle w:val="Normal"/>
      </w:pPr>
      <w:r>
        <w:t xml:space="preserve">实验与创新：对照幂等键、单事务版本检查、来源绑定、完整谱系 oracle；消融重试是否重生成、父来源是否存在和撤销时机。指标为撤销后再写入率、再触发 ASR、合法重试损失和恢复时间。三项候选贡献为跨事务再生成威胁模型、事件顺序因果测试、低成本来源失效继承。预计 6—8 人周；若 MemTX 原方案直接覆盖或仅补传一个已有 ID 即解决，则降级为工程修复。</w:t>
      </w:r>
    </w:p>
    <w:p>
      <w:pPr>
        <w:pStyle w:val="Heading2"/>
      </w:pPr>
      <w:r>
        <w:t xml:space="preserve">5.5 S4：局部修复后由另一 Agent 重新导入的后门</w:t>
      </w:r>
    </w:p>
    <w:p>
      <w:pPr>
        <w:pStyle w:val="Normal"/>
      </w:pPr>
      <w:r>
        <w:t xml:space="preserve">暂定英文题目：Post-Repair Reintroduction of Memory Backdoors across Agent Boundaries。</w:t>
      </w:r>
    </w:p>
    <w:p>
      <w:pPr>
        <w:pStyle w:val="Normal"/>
      </w:pPr>
      <w:r>
        <w:t xml:space="preserve">背景与现状：Prompt Infection 已做跨 Agent 传播，MemoRepair 已做级联修复，执行态遗忘已做本地状态重建。[22,27—28] 本方向的限定差异是：接收方完成本地修复后，发送方保留的派生摘要以新的协作消息重新进入。问题不是“病毒会传播”，而是本地修复的有效范围是否覆盖下一次跨边界输入。</w:t>
      </w:r>
    </w:p>
    <w:p>
      <w:pPr>
        <w:pStyle w:val="Normal"/>
      </w:pPr>
      <w:r>
        <w:t xml:space="preserve">例子：检索 Agent A 被污染并把错误操作经验交给计划 Agent B。B 检测后清理本地记忆，隔一轮向 A 请求历史经验，A 又把同一错误以正常摘要发送回来。B 把它当新证据保存，之后特定类别任务再次走错模拟工具。攻击者只在最初向 A 提供一次低信任内容，不能直接控制 B 的存储或修复过程。</w:t>
      </w:r>
    </w:p>
    <w:p>
      <w:pPr>
        <w:pStyle w:val="Normal"/>
      </w:pPr>
      <w:r>
        <w:t xml:space="preserve">研究目标与内容：构建三 Agent 的有限协作链，区分残留、重新输入和新攻击；比较局部修复、全局清库、来源传播和接收方失效标记；提出最小的跨边界再接纳检查。关键科学问题是：当双方不共享完整内部记忆时，接收方能够凭哪些保留信息判断新消息继承了已失效的依据？</w:t>
      </w:r>
    </w:p>
    <w:p>
      <w:pPr>
        <w:pStyle w:val="Normal"/>
      </w:pPr>
      <w:r>
        <w:t xml:space="preserve">技术路线与指标：固定通信拓扑和任务，攻击一次后关闭攻击者；B 修复，执行若干干净任务，再恢复正常协作。用阻断 A→B、清空 A、保留完整来源、改变摘要措辞等干预识别原因。测再导入率、再触发 ASR、正常经验复用率、通信开销与修复后的安全持续轮数。</w:t>
      </w:r>
    </w:p>
    <w:p>
      <w:pPr>
        <w:pStyle w:val="Normal"/>
      </w:pPr>
      <w:r>
        <w:t xml:space="preserve">拟验证创新：一是给出区别于首次传播的修复后再导入设置；二是量化局部修复边界对持久性的影响；三是在不共享全部记忆的条件下进行有界再接纳。预计 7—9 人周。主要风险是最新协作修复工作已覆盖此设置，或方案退化为普通污点传播；需以全谱系传播作为强基线，并在前两周再次检索和复现。</w:t>
      </w:r>
    </w:p>
    <w:p>
      <w:pPr>
        <w:pStyle w:val="Heading2"/>
      </w:pPr>
      <w:r>
        <w:t xml:space="preserve">5.6 S5：佐证被撤销后，已接纳记忆的权威是否应降级</w:t>
      </w:r>
    </w:p>
    <w:p>
      <w:pPr>
        <w:pStyle w:val="Normal"/>
      </w:pPr>
      <w:r>
        <w:t xml:space="preserve">暂定英文题目：Dynamic Authority Downgrading after Evidence Revocation in Agent Memory。</w:t>
      </w:r>
    </w:p>
    <w:p>
      <w:pPr>
        <w:pStyle w:val="Normal"/>
      </w:pPr>
      <w:r>
        <w:t xml:space="preserve">背景与缺口：TMA-NM 已要求可信独立佐证，CPB 已研究相关证据接纳，撤销研究已关注失效标记的执行，Selective Revalidation 已研究证据变化后的选择性复核。[23,26,41,54] 候选差异在时间：一条规则曾因满足佐证条件被接纳，其中一条佐证后来失效，它是否仍可凭历史权威影响动作？此处不能声称发明证据去重、撤销或普通依赖重检。</w:t>
      </w:r>
    </w:p>
    <w:p>
      <w:pPr>
        <w:pStyle w:val="Normal"/>
      </w:pPr>
      <w:r>
        <w:t xml:space="preserve">例子：Agent 依据两份资料接纳了某类测试工单的处理规则；后来发现一份其实是另一份的转载，或者一个依据被正式更正。正文仍保存在记忆中，但原有“两份独立支持”已不成立。攻击者仅控制一个初始来源，不能伪造可信撤销事件；攻击能否利用这个窗口需实验验证。</w:t>
      </w:r>
    </w:p>
    <w:p>
      <w:pPr>
        <w:pStyle w:val="Normal"/>
      </w:pPr>
      <w:r>
        <w:t xml:space="preserve">目标、问题与路线：把规则的支持集与权威等级分离，构造接纳—支持变化—再次行动序列；比较静态门控、按记录撤销、完整支持图重算与局部增量降级。关键问题是降级是否必须沿支持关系传递，以及如何避免全部拒绝。</w:t>
      </w:r>
    </w:p>
    <w:p>
      <w:pPr>
        <w:pStyle w:val="Normal"/>
      </w:pPr>
      <w:r>
        <w:t xml:space="preserve">三项拟创新为动态支持失效的对抗评测、只重算受影响权威的增量机制、区分内容保留与行动许可的效用分析。指标包括失效规则采用率、降级时延、正常规则误降级和任务完成率。预计 7—9 人周。与 MemTX/MemoRepair 接近，若其现有类型化依赖已等价处理，应放弃独立课题，而非改名包装。</w:t>
      </w:r>
    </w:p>
    <w:p>
      <w:pPr>
        <w:pStyle w:val="Heading2"/>
      </w:pPr>
      <w:r>
        <w:t xml:space="preserve">5.7 S6：来源先被误合并、再被拆分时的记忆修复</w:t>
      </w:r>
    </w:p>
    <w:p>
      <w:pPr>
        <w:pStyle w:val="Normal"/>
      </w:pPr>
      <w:r>
        <w:t xml:space="preserve">暂定英文题目：Repairing Agent Memory after Source-Identity Corrections。</w:t>
      </w:r>
    </w:p>
    <w:p>
      <w:pPr>
        <w:pStyle w:val="Normal"/>
      </w:pPr>
      <w:r>
        <w:t xml:space="preserve">背景与现状：CPB 和 CAMA 已说明证据相关性重要；本方向假设来源身份估计会变化，而不是完整来源始终可得。[40—41] 例子是两份资料最初被误认作同源、或同一转载被当作独立来源，纠正后已接纳结论需要重估。攻击者只控制低信任资料中可影响来源识别的声明，不能伪造系统认证身份。</w:t>
      </w:r>
    </w:p>
    <w:p>
      <w:pPr>
        <w:pStyle w:val="Normal"/>
      </w:pPr>
      <w:r>
        <w:t xml:space="preserve">研究目标是把身份不确定性与知识错误分开。拟比较确定身份、可修正身份与 oracle 来源，研究置信区间式接纳及回滚。拟验证贡献为来源身份更正场景、接纳决策敏感性测量、最小回溯恢复。指标为误接纳、误拒绝、恢复代价，预计 7—10 人周。若需要训练来源识别器，超出本课题约束；若只剩相关来源去重，则与 CPB 接近。暂列高风险储备。</w:t>
      </w:r>
    </w:p>
    <w:p>
      <w:pPr>
        <w:pStyle w:val="Heading2"/>
      </w:pPr>
      <w:r>
        <w:t xml:space="preserve">5.8 S7：多条局部正确经验组合后的条件性错误规则</w:t>
      </w:r>
    </w:p>
    <w:p>
      <w:pPr>
        <w:pStyle w:val="Normal"/>
      </w:pPr>
      <w:r>
        <w:t xml:space="preserve">暂定英文题目：Compositional Backdoors from Locally Valid Agent Experiences。</w:t>
      </w:r>
    </w:p>
    <w:p>
      <w:pPr>
        <w:pStyle w:val="Normal"/>
      </w:pPr>
      <w:r>
        <w:t xml:space="preserve">背景与现状：OEP 已证明局部正确经验可诱发不可迁移的泛化。[21] 本方向只有在“任何单条经验均不形成目标偏移，而指定组合形成稳定条件规则”时才可能有独立差异。不能用多放几条毒样本代替组合机制。</w:t>
      </w:r>
    </w:p>
    <w:p>
      <w:pPr>
        <w:pStyle w:val="Normal"/>
      </w:pPr>
      <w:r>
        <w:t xml:space="preserve">例子：两条正常维护经验分别适用于测试环境和只读任务；系统合并摘要后丢失适用条件，形成对某类真实流程跳过检查的错误规则。实验全部使用模拟环境。攻击者只能提供有限数量案例，不能直接编写最终规则。</w:t>
      </w:r>
    </w:p>
    <w:p>
      <w:pPr>
        <w:pStyle w:val="Normal"/>
      </w:pPr>
      <w:r>
        <w:t xml:space="preserve">目标与路线：构造单条、成对、乱序、无关组合和完整条件保留对照，跟踪摘要如何改变条件逻辑。候选创新为非加性组合效应、条件丢失的中介证据、面向经验合并的适用范围检查。比较 OEP 式案例、普通多样本投毒和条件保留摘要。指标为组合超额风险、规则采用率与正常经验迁移率；预计 7—9 人周。若 OEP 原实验已经覆盖同类组合，则并入复现分析。</w:t>
      </w:r>
    </w:p>
    <w:p>
      <w:pPr>
        <w:pStyle w:val="Heading2"/>
      </w:pPr>
      <w:r>
        <w:t xml:space="preserve">5.9 S8：任务边界改变后才失效的经验迁移</w:t>
      </w:r>
    </w:p>
    <w:p>
      <w:pPr>
        <w:pStyle w:val="Normal"/>
      </w:pPr>
      <w:r>
        <w:t xml:space="preserve">暂定英文题目：Task-Scope Drift as a Trigger for Persistent Agent Misbehavior。</w:t>
      </w:r>
    </w:p>
    <w:p>
      <w:pPr>
        <w:pStyle w:val="Normal"/>
      </w:pPr>
      <w:r>
        <w:t xml:space="preserve">背景与现状：OEP 研究不可迁移经验，MemSecBench 已含有效期丢失问题，MemoRepair 涵盖接口迁移。[21—22,25] 因此“旧经验过期”不是新点。仅保留一个窄问题：经验内容没有错，但适用任务的权限或对象范围变化后，系统继续把它用于同名任务。</w:t>
      </w:r>
    </w:p>
    <w:p>
      <w:pPr>
        <w:pStyle w:val="Normal"/>
      </w:pPr>
      <w:r>
        <w:t xml:space="preserve">例子：测试项目允许自动批处理，项目被切换为需逐项确认后，旧经验仍引导同名流程跳过确认。攻击者只能在测试阶段提供经验，后续边界改变由正常操作产生。研究目标是检测经验适用范围与当前任务契约不一致。</w:t>
      </w:r>
    </w:p>
    <w:p>
      <w:pPr>
        <w:pStyle w:val="Normal"/>
      </w:pPr>
      <w:r>
        <w:t xml:space="preserve">技术路线采用任务范围标签、边界改变事件和动作前校验；与来源绑定、授权撤销和条件摘要比较。[23,43—44] 三项拟创新为范围变化触发的因果任务集、经验适用性度量、局部范围验证。预计 6—8 人周，指标为边界违规率、持久 ASR、误拦与延迟。风险偏高：很可能属于已有授权撤销或 OEP 的直接实例。</w:t>
      </w:r>
    </w:p>
    <w:p>
      <w:pPr>
        <w:pStyle w:val="Heading2"/>
      </w:pPr>
      <w:r>
        <w:t xml:space="preserve">5.10 S9：混合来源结构化经验的字段级选择性修复</w:t>
      </w:r>
    </w:p>
    <w:p>
      <w:pPr>
        <w:pStyle w:val="Normal"/>
      </w:pPr>
      <w:r>
        <w:t xml:space="preserve">暂定英文题目：Field-Level Selective Repair of Poisoned Structured Agent Memories。</w:t>
      </w:r>
    </w:p>
    <w:p>
      <w:pPr>
        <w:pStyle w:val="Normal"/>
      </w:pPr>
      <w:r>
        <w:t xml:space="preserve">背景与缺口：现有来源约束和级联修复已相当接近。[22—24] 本方向限定为一条结构化经验内既含可靠字段又含受污染的派生参数，整条删除会损失可用信息，但保留整条会留下触发条件。</w:t>
      </w:r>
    </w:p>
    <w:p>
      <w:pPr>
        <w:pStyle w:val="Normal"/>
      </w:pPr>
      <w:r>
        <w:t xml:space="preserve">例子：计划模板中的资源标识来自可信工具，某类任务的路由字段来自外部经验；撤销外部来源后，系统应重建路由而保留正确资源标识。攻击者只能影响一个低信任输入字段，不能直接修改整个模板。</w:t>
      </w:r>
    </w:p>
    <w:p>
      <w:pPr>
        <w:pStyle w:val="Normal"/>
      </w:pPr>
      <w:r>
        <w:t xml:space="preserve">研究目标与路线：为少数固定模式建立字段依赖，比较记录级隔离、字段级隔离、完整重建和 oracle。关键问题是字段之间存在语义耦合时能否安全保留未受影响部分。候选创新为混合来源攻击实例、可验证字段闭包修复、正常信息保留与风险权衡。指标为剩余 ASR、有效字段保留率、重建成本和任务成功率，预计 6—8 人周。若需覆盖任意嵌套语义结构则范围过大；先限定两个固定模式。</w:t>
      </w:r>
    </w:p>
    <w:p>
      <w:pPr>
        <w:pStyle w:val="Heading2"/>
      </w:pPr>
      <w:r>
        <w:t xml:space="preserve">5.11 S10：父来源未声明时的保守修复与恢复</w:t>
      </w:r>
    </w:p>
    <w:p>
      <w:pPr>
        <w:pStyle w:val="Normal"/>
      </w:pPr>
      <w:r>
        <w:t xml:space="preserve">暂定英文题目：Bounded Recovery from Memory Poisoning with Incomplete Provenance。</w:t>
      </w:r>
    </w:p>
    <w:p>
      <w:pPr>
        <w:pStyle w:val="Normal"/>
      </w:pPr>
      <w:r>
        <w:t xml:space="preserve">背景与现状：完整谱系下的修复已有 MemoRepair；MemTX 也明确承认未声明父来源的边界。[22,24] 本方向不声称能从任意文本可靠恢复真实来源，而研究缺失信息时可实现的保守边界。</w:t>
      </w:r>
    </w:p>
    <w:p>
      <w:pPr>
        <w:pStyle w:val="Normal"/>
      </w:pPr>
      <w:r>
        <w:t xml:space="preserve">例子：摘要只保留结论而不保留全部引用，污染源被发现后，系统无法确定哪些摘要依赖它。攻击者最初只能提供普通外部内容。研究目标是在有限预算内标记疑似受影响范围、重检最关键动作，并衡量避免全量清库的收益。</w:t>
      </w:r>
    </w:p>
    <w:p>
      <w:pPr>
        <w:pStyle w:val="Normal"/>
      </w:pPr>
      <w:r>
        <w:t xml:space="preserve">技术路线为受控来源缺失比例、候选关联召回与动作风险排序；只使用现有推理和确定性记录，不训练追踪器。三项候选创新为可控缺失谱系测试、带保守保证范围的恢复策略、残余风险与效用的联合曲线。指标为遗漏后代率、正常内容损失、攻击复现率、检查预算。预计 9—12 人周，独立成篇潜力存在但工作量偏大，不列学期主方案。</w:t>
      </w:r>
    </w:p>
    <w:p>
      <w:pPr>
        <w:pStyle w:val="Heading2"/>
      </w:pPr>
      <w:r>
        <w:t xml:space="preserve">5.12 S11：非原子工具结果被写成错误成功经验</w:t>
      </w:r>
    </w:p>
    <w:p>
      <w:pPr>
        <w:pStyle w:val="Normal"/>
      </w:pPr>
      <w:r>
        <w:t xml:space="preserve">暂定英文题目：Persistent Experience Poisoning through Ambiguous Tool Completion States。</w:t>
      </w:r>
    </w:p>
    <w:p>
      <w:pPr>
        <w:pStyle w:val="Normal"/>
      </w:pPr>
      <w:r>
        <w:t xml:space="preserve">背景与现状：可靠性研究已区分超时、部分执行和重复动作，并提供核实重试机制。[45] 本方向研究更后的步骤：执行状态得到处理后，反思与经验写入是否仍把错误解释保存成未来策略。</w:t>
      </w:r>
    </w:p>
    <w:p>
      <w:pPr>
        <w:pStyle w:val="Normal"/>
      </w:pPr>
      <w:r>
        <w:t xml:space="preserve">例子：模拟工具部分完成、返回可重试错误，外部返回中的说明诱导系统将一次偶然恢复总结为“遇到此类状态就使用备用流程”。未来同类正常任务因此稳定选择错误流程。攻击者仅能控制一个低信任工具返回，不能修改真实提交状态。</w:t>
      </w:r>
    </w:p>
    <w:p>
      <w:pPr>
        <w:pStyle w:val="Normal"/>
      </w:pPr>
      <w:r>
        <w:t xml:space="preserve">研究目标是将操作正确性与经验正确性分离。技术路线同时记录外部状态、工具返回、恢复动作和经验文本；对照有无后置验证、有无反思写入、真实成功与伪成功解释。三项拟创新为状态歧义到记忆规则的攻击链、操作已修复而记忆仍污染的证据、基于可核验执行结果的经验提交。指标为错误经验提交率、后续持久 ASR、正常恢复成功率、额外成本。预计 7—9 人周。若只有当次重试错误，没有后续条件偏移，则不属于拟研究后门。</w:t>
      </w:r>
    </w:p>
    <w:p>
      <w:pPr>
        <w:pStyle w:val="Heading2"/>
      </w:pPr>
      <w:r>
        <w:t xml:space="preserve">5.13 S12：区分记忆后门与当前上下文残留的因果评测</w:t>
      </w:r>
    </w:p>
    <w:p>
      <w:pPr>
        <w:pStyle w:val="Normal"/>
      </w:pPr>
      <w:r>
        <w:t xml:space="preserve">暂定英文题目：Causal Attribution of Persistent Backdoors in Stateful Agents。</w:t>
      </w:r>
    </w:p>
    <w:p>
      <w:pPr>
        <w:pStyle w:val="Normal"/>
      </w:pPr>
      <w:r>
        <w:t xml:space="preserve">背景与现状：MemSecBench 已贯通持久性、后果和修复，BackdoorAgent 已关注工作流后门。[25,37] 本方向不能只新增几个指标，而要检验现有攻击结论是否因多个状态同时残留而被混淆。</w:t>
      </w:r>
    </w:p>
    <w:p>
      <w:pPr>
        <w:pStyle w:val="Normal"/>
      </w:pPr>
      <w:r>
        <w:t xml:space="preserve">例子：表面上删除恶意文档后攻击仍成功，但原文仍在会话摘要中；这未证明向量记忆是原因。相反，清空聊天历史、恢复同一份记忆后仍触发，才加强记忆中介的解释。攻击权限保持与原攻击一致，不为评测额外给攻击者管理权限。</w:t>
      </w:r>
    </w:p>
    <w:p>
      <w:pPr>
        <w:pStyle w:val="Normal"/>
      </w:pPr>
      <w:r>
        <w:t xml:space="preserve">技术路线采用配对状态克隆，分别清除短期上下文、持久记忆、计划与工具缓存，并做 sham 操作对照；固定外部环境，重复估计风险差。拟验证创新为可复用状态干预协议、对既有方法结论的实质修正、持久性归因报告规范。指标为端到端 ASR、干预风险差、残留通道数与状态恢复成本。预计 5—7 人周；应先成为所有课题的实验模块，只有发现跨方法、跨环境的稳定误判时才考虑独立评测论文。</w:t>
      </w:r>
    </w:p>
    <w:p>
      <w:pPr>
        <w:pStyle w:val="Heading1"/>
      </w:pPr>
      <w:r>
        <w:t xml:space="preserve">六、研究方案、技术路线与实验设计</w:t>
      </w:r>
    </w:p>
    <w:p>
      <w:pPr>
        <w:pStyle w:val="Heading2"/>
      </w:pPr>
      <w:r>
        <w:t xml:space="preserve">6.1 统一实验协议</w:t>
      </w:r>
    </w:p>
    <w:p>
      <w:pPr>
        <w:pStyle w:val="Normal"/>
      </w:pPr>
      <w:r>
        <w:t xml:space="preserve">实验以本地模拟任务为主，工具动作指向可回滚的测试记录，攻击后果定义为错误路由、错误参数、错误规则采用或越过模拟确认步骤。每个用例预先给出合法目标、攻击目标、触发条件和判定函数，避免依靠主观阅读最终回答判断成功。</w:t>
      </w:r>
    </w:p>
    <w:p>
      <w:pPr>
        <w:pStyle w:val="Normal"/>
      </w:pPr>
      <w:r>
        <w:t xml:space="preserve">流程为：建立干净基线→执行有限预算植入→记录写入与来源→关闭攻击入口→运行干净间隔任务→在新会话测试触发与无触发任务→执行状态干预→测试防御与修复→统计效用及成本。攻击无法成功植入的用例也计入端到端成功率，不能只在已成功写入的子集上汇报总 ASR。</w:t>
      </w:r>
    </w:p>
    <w:p>
      <w:pPr>
        <w:pStyle w:val="Normal"/>
      </w:pPr>
      <w:r>
        <w:t xml:space="preserve">至少保留四组：干净输入且无触发、干净输入但有触发条件、污染后无触发、污染后有触发。再加入取消持久记忆、清除当前上下文、恢复干净快照以及仅删除可疑来源的对照。对于 S4，必须加入阻断发送方后续通信的对照，才能区别本地残留与跨 Agent 再导入。</w:t>
      </w:r>
    </w:p>
    <w:p>
      <w:pPr>
        <w:pStyle w:val="Heading2"/>
      </w:pPr>
      <w:r>
        <w:t xml:space="preserve">6.2 基准与框架复用安排</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3000"/>
        <w:gridCol w:w="3000"/>
        <w:gridCol w:w="3000"/>
      </w:tblGrid>
      <w:tr>
        <w:trPr>
          <w:tblHeader w:val="true"/>
        </w:trPr>
        <w:tc>
          <w:tcPr>
            <w:tcW w:w="3000" w:type="dxa"/>
            <w:shd w:fill="DCE6F1"/>
          </w:tcPr>
          <w:p>
            <w:pPr>
              <w:pStyle w:val="TableText"/>
            </w:pPr>
            <w:r>
              <w:rPr>
                <w:b/>
              </w:rPr>
              <w:t xml:space="preserve">研究单元</w:t>
            </w:r>
          </w:p>
        </w:tc>
        <w:tc>
          <w:tcPr>
            <w:tcW w:w="3000" w:type="dxa"/>
            <w:shd w:fill="DCE6F1"/>
          </w:tcPr>
          <w:p>
            <w:pPr>
              <w:pStyle w:val="TableText"/>
            </w:pPr>
            <w:r>
              <w:rPr>
                <w:b/>
              </w:rPr>
              <w:t xml:space="preserve">首选可复用资源</w:t>
            </w:r>
          </w:p>
        </w:tc>
        <w:tc>
          <w:tcPr>
            <w:tcW w:w="3000" w:type="dxa"/>
            <w:shd w:fill="DCE6F1"/>
          </w:tcPr>
          <w:p>
            <w:pPr>
              <w:pStyle w:val="TableText"/>
            </w:pPr>
            <w:r>
              <w:rPr>
                <w:b/>
              </w:rPr>
              <w:t xml:space="preserve">必须新增的内容</w:t>
            </w:r>
          </w:p>
        </w:tc>
      </w:tr>
      <w:tr>
        <w:tc>
          <w:tcPr>
            <w:tcW w:w="3000" w:type="dxa"/>
          </w:tcPr>
          <w:p>
            <w:pPr>
              <w:pStyle w:val="TableText"/>
            </w:pPr>
            <w:r>
              <w:t xml:space="preserve">S1、S2</w:t>
            </w:r>
          </w:p>
        </w:tc>
        <w:tc>
          <w:tcPr>
            <w:tcW w:w="3000" w:type="dxa"/>
          </w:tcPr>
          <w:p>
            <w:pPr>
              <w:pStyle w:val="TableText"/>
            </w:pPr>
            <w:r>
              <w:t xml:space="preserve">AgentDojo 的任务组织；MCPTox/MCP-SafetyBench 的工具场景；真实字段消费文档</w:t>
            </w:r>
          </w:p>
        </w:tc>
        <w:tc>
          <w:tcPr>
            <w:tcW w:w="3000" w:type="dxa"/>
          </w:tcPr>
          <w:p>
            <w:pPr>
              <w:pStyle w:val="TableText"/>
            </w:pPr>
            <w:r>
              <w:t xml:space="preserve">同一次工具结果的双视图、良性摘要差异、记忆写入记录和跨会话任务</w:t>
            </w:r>
          </w:p>
        </w:tc>
      </w:tr>
      <w:tr>
        <w:tc>
          <w:tcPr>
            <w:tcW w:w="3000" w:type="dxa"/>
          </w:tcPr>
          <w:p>
            <w:pPr>
              <w:pStyle w:val="TableText"/>
            </w:pPr>
            <w:r>
              <w:t xml:space="preserve">S3、S5、S9、S10</w:t>
            </w:r>
          </w:p>
        </w:tc>
        <w:tc>
          <w:tcPr>
            <w:tcW w:w="3000" w:type="dxa"/>
          </w:tcPr>
          <w:p>
            <w:pPr>
              <w:pStyle w:val="TableText"/>
            </w:pPr>
            <w:r>
              <w:t xml:space="preserve">MemSecBench 生命周期；MemoRepair/MemTX 的状态与修复思路</w:t>
            </w:r>
          </w:p>
        </w:tc>
        <w:tc>
          <w:tcPr>
            <w:tcW w:w="3000" w:type="dxa"/>
          </w:tcPr>
          <w:p>
            <w:pPr>
              <w:pStyle w:val="TableText"/>
            </w:pPr>
            <w:r>
              <w:t xml:space="preserve">可控撤销事件、来源缺失、重试顺序、字段或支持集变化</w:t>
            </w:r>
          </w:p>
        </w:tc>
      </w:tr>
      <w:tr>
        <w:tc>
          <w:tcPr>
            <w:tcW w:w="3000" w:type="dxa"/>
          </w:tcPr>
          <w:p>
            <w:pPr>
              <w:pStyle w:val="TableText"/>
            </w:pPr>
            <w:r>
              <w:t xml:space="preserve">S4、S6</w:t>
            </w:r>
          </w:p>
        </w:tc>
        <w:tc>
          <w:tcPr>
            <w:tcW w:w="3000" w:type="dxa"/>
          </w:tcPr>
          <w:p>
            <w:pPr>
              <w:pStyle w:val="TableText"/>
            </w:pPr>
            <w:r>
              <w:t xml:space="preserve">Prompt Infection/AiTM 的协作设置；CPB 的共享记忆诊断</w:t>
            </w:r>
          </w:p>
        </w:tc>
        <w:tc>
          <w:tcPr>
            <w:tcW w:w="3000" w:type="dxa"/>
          </w:tcPr>
          <w:p>
            <w:pPr>
              <w:pStyle w:val="TableText"/>
            </w:pPr>
            <w:r>
              <w:t xml:space="preserve">修复后的正常交接、发送方残留、来源身份变更与消息阻断</w:t>
            </w:r>
          </w:p>
        </w:tc>
      </w:tr>
      <w:tr>
        <w:tc>
          <w:tcPr>
            <w:tcW w:w="3000" w:type="dxa"/>
          </w:tcPr>
          <w:p>
            <w:pPr>
              <w:pStyle w:val="TableText"/>
            </w:pPr>
            <w:r>
              <w:t xml:space="preserve">S7、S8</w:t>
            </w:r>
          </w:p>
        </w:tc>
        <w:tc>
          <w:tcPr>
            <w:tcW w:w="3000" w:type="dxa"/>
          </w:tcPr>
          <w:p>
            <w:pPr>
              <w:pStyle w:val="TableText"/>
            </w:pPr>
            <w:r>
              <w:t xml:space="preserve">OEP 与 MemMorph 的经验影响机制</w:t>
            </w:r>
          </w:p>
        </w:tc>
        <w:tc>
          <w:tcPr>
            <w:tcW w:w="3000" w:type="dxa"/>
          </w:tcPr>
          <w:p>
            <w:pPr>
              <w:pStyle w:val="TableText"/>
            </w:pPr>
            <w:r>
              <w:t xml:space="preserve">单条无害而组合有害的配对例、明确任务适用范围与迁移事件</w:t>
            </w:r>
          </w:p>
        </w:tc>
      </w:tr>
      <w:tr>
        <w:tc>
          <w:tcPr>
            <w:tcW w:w="3000" w:type="dxa"/>
          </w:tcPr>
          <w:p>
            <w:pPr>
              <w:pStyle w:val="TableText"/>
            </w:pPr>
            <w:r>
              <w:t xml:space="preserve">S11</w:t>
            </w:r>
          </w:p>
        </w:tc>
        <w:tc>
          <w:tcPr>
            <w:tcW w:w="3000" w:type="dxa"/>
          </w:tcPr>
          <w:p>
            <w:pPr>
              <w:pStyle w:val="TableText"/>
            </w:pPr>
            <w:r>
              <w:t xml:space="preserve">AgentDojo 与非原子工具可靠性设置</w:t>
            </w:r>
          </w:p>
        </w:tc>
        <w:tc>
          <w:tcPr>
            <w:tcW w:w="3000" w:type="dxa"/>
          </w:tcPr>
          <w:p>
            <w:pPr>
              <w:pStyle w:val="TableText"/>
            </w:pPr>
            <w:r>
              <w:t xml:space="preserve">真实工具状态的确定性 oracle、经验抽取与后续触发</w:t>
            </w:r>
          </w:p>
        </w:tc>
      </w:tr>
      <w:tr>
        <w:tc>
          <w:tcPr>
            <w:tcW w:w="3000" w:type="dxa"/>
          </w:tcPr>
          <w:p>
            <w:pPr>
              <w:pStyle w:val="TableText"/>
            </w:pPr>
            <w:r>
              <w:t xml:space="preserve">S12</w:t>
            </w:r>
          </w:p>
        </w:tc>
        <w:tc>
          <w:tcPr>
            <w:tcW w:w="3000" w:type="dxa"/>
          </w:tcPr>
          <w:p>
            <w:pPr>
              <w:pStyle w:val="TableText"/>
            </w:pPr>
            <w:r>
              <w:t xml:space="preserve">MemSecBench、BackdoorAgent</w:t>
            </w:r>
          </w:p>
        </w:tc>
        <w:tc>
          <w:tcPr>
            <w:tcW w:w="3000" w:type="dxa"/>
          </w:tcPr>
          <w:p>
            <w:pPr>
              <w:pStyle w:val="TableText"/>
            </w:pPr>
            <w:r>
              <w:t xml:space="preserve">可恢复状态快照、成对干预、残留通道日志</w:t>
            </w:r>
          </w:p>
        </w:tc>
      </w:tr>
    </w:tbl>
    <w:p>
      <w:pPr>
        <w:pStyle w:val="Normal"/>
      </w:pPr>
      <w:r>
        <w:t xml:space="preserve">“可复用”不表示所有论文都提供可直接运行的代码。开始实现前记录仓库地址、版本、许可证、环境和可复现部分；无公开实现的近邻按论文明确机制实现简化对照，并标注为本地实现，不能冒充原作者复现结果。BackdoorAgent 的正式页面提供作者仓库链接，可优先检查其工作流记录接口。[37]</w:t>
      </w:r>
    </w:p>
    <w:p>
      <w:pPr>
        <w:pStyle w:val="Normal"/>
      </w:pPr>
      <w:r>
        <w:t xml:space="preserve">结合已有 Eino 基础，新增小型状态实验可优先用 Eino 编排；若关键基线原代码使用 Python，则先在原环境复现，通过统一日志接口对接，不为框架统一重写全部方法。LangChain/LangGraph 可用于现成基线，不必与 Eino 做性能优劣比较。只有 S1、S2 确实需要 MCP 协议适配；其他方向可从确定性工具接口起步。上述是减少实现成本的项目安排，不是对框架能力作未验证断言。</w:t>
      </w:r>
    </w:p>
    <w:p>
      <w:pPr>
        <w:pStyle w:val="Heading2"/>
      </w:pPr>
      <w:r>
        <w:t xml:space="preserve">6.3 指标定义与统计设计</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3000"/>
        <w:gridCol w:w="3000"/>
        <w:gridCol w:w="3000"/>
      </w:tblGrid>
      <w:tr>
        <w:trPr>
          <w:tblHeader w:val="true"/>
        </w:trPr>
        <w:tc>
          <w:tcPr>
            <w:tcW w:w="3000" w:type="dxa"/>
            <w:shd w:fill="DCE6F1"/>
          </w:tcPr>
          <w:p>
            <w:pPr>
              <w:pStyle w:val="TableText"/>
            </w:pPr>
            <w:r>
              <w:rPr>
                <w:b/>
              </w:rPr>
              <w:t xml:space="preserve">指标</w:t>
            </w:r>
          </w:p>
        </w:tc>
        <w:tc>
          <w:tcPr>
            <w:tcW w:w="3000" w:type="dxa"/>
            <w:shd w:fill="DCE6F1"/>
          </w:tcPr>
          <w:p>
            <w:pPr>
              <w:pStyle w:val="TableText"/>
            </w:pPr>
            <w:r>
              <w:rPr>
                <w:b/>
              </w:rPr>
              <w:t xml:space="preserve">定义与分母</w:t>
            </w:r>
          </w:p>
        </w:tc>
        <w:tc>
          <w:tcPr>
            <w:tcW w:w="3000" w:type="dxa"/>
            <w:shd w:fill="DCE6F1"/>
          </w:tcPr>
          <w:p>
            <w:pPr>
              <w:pStyle w:val="TableText"/>
            </w:pPr>
            <w:r>
              <w:rPr>
                <w:b/>
              </w:rPr>
              <w:t xml:space="preserve">用途</w:t>
            </w:r>
          </w:p>
        </w:tc>
      </w:tr>
      <w:tr>
        <w:tc>
          <w:tcPr>
            <w:tcW w:w="3000" w:type="dxa"/>
          </w:tcPr>
          <w:p>
            <w:pPr>
              <w:pStyle w:val="TableText"/>
            </w:pPr>
            <w:r>
              <w:t xml:space="preserve">端到端 ASR</w:t>
            </w:r>
          </w:p>
        </w:tc>
        <w:tc>
          <w:tcPr>
            <w:tcW w:w="3000" w:type="dxa"/>
          </w:tcPr>
          <w:p>
            <w:pPr>
              <w:pStyle w:val="TableText"/>
            </w:pPr>
            <w:r>
              <w:t xml:space="preserve">达到预先定义攻击后果的完整试验数／所有攻击试验数</w:t>
            </w:r>
          </w:p>
        </w:tc>
        <w:tc>
          <w:tcPr>
            <w:tcW w:w="3000" w:type="dxa"/>
          </w:tcPr>
          <w:p>
            <w:pPr>
              <w:pStyle w:val="TableText"/>
            </w:pPr>
            <w:r>
              <w:t xml:space="preserve">包含植入失败，反映实际攻击成功率</w:t>
            </w:r>
          </w:p>
        </w:tc>
      </w:tr>
      <w:tr>
        <w:tc>
          <w:tcPr>
            <w:tcW w:w="3000" w:type="dxa"/>
          </w:tcPr>
          <w:p>
            <w:pPr>
              <w:pStyle w:val="TableText"/>
            </w:pPr>
            <w:r>
              <w:t xml:space="preserve">条件 ASR</w:t>
            </w:r>
          </w:p>
        </w:tc>
        <w:tc>
          <w:tcPr>
            <w:tcW w:w="3000" w:type="dxa"/>
          </w:tcPr>
          <w:p>
            <w:pPr>
              <w:pStyle w:val="TableText"/>
            </w:pPr>
            <w:r>
              <w:t xml:space="preserve">已植入且实际触发的试验中的后果比例</w:t>
            </w:r>
          </w:p>
        </w:tc>
        <w:tc>
          <w:tcPr>
            <w:tcW w:w="3000" w:type="dxa"/>
          </w:tcPr>
          <w:p>
            <w:pPr>
              <w:pStyle w:val="TableText"/>
            </w:pPr>
            <w:r>
              <w:t xml:space="preserve">只作机制诊断，不替代端到端 ASR</w:t>
            </w:r>
          </w:p>
        </w:tc>
      </w:tr>
      <w:tr>
        <w:tc>
          <w:tcPr>
            <w:tcW w:w="3000" w:type="dxa"/>
          </w:tcPr>
          <w:p>
            <w:pPr>
              <w:pStyle w:val="TableText"/>
            </w:pPr>
            <w:r>
              <w:t xml:space="preserve">Clean TSR</w:t>
            </w:r>
          </w:p>
        </w:tc>
        <w:tc>
          <w:tcPr>
            <w:tcW w:w="3000" w:type="dxa"/>
          </w:tcPr>
          <w:p>
            <w:pPr>
              <w:pStyle w:val="TableText"/>
            </w:pPr>
            <w:r>
              <w:t xml:space="preserve">无攻击条件下完成合法任务的比例</w:t>
            </w:r>
          </w:p>
        </w:tc>
        <w:tc>
          <w:tcPr>
            <w:tcW w:w="3000" w:type="dxa"/>
          </w:tcPr>
          <w:p>
            <w:pPr>
              <w:pStyle w:val="TableText"/>
            </w:pPr>
            <w:r>
              <w:t xml:space="preserve">衡量正常能力及防御副作用</w:t>
            </w:r>
          </w:p>
        </w:tc>
      </w:tr>
      <w:tr>
        <w:tc>
          <w:tcPr>
            <w:tcW w:w="3000" w:type="dxa"/>
          </w:tcPr>
          <w:p>
            <w:pPr>
              <w:pStyle w:val="TableText"/>
            </w:pPr>
            <w:r>
              <w:t xml:space="preserve">Attacked TSR</w:t>
            </w:r>
          </w:p>
        </w:tc>
        <w:tc>
          <w:tcPr>
            <w:tcW w:w="3000" w:type="dxa"/>
          </w:tcPr>
          <w:p>
            <w:pPr>
              <w:pStyle w:val="TableText"/>
            </w:pPr>
            <w:r>
              <w:t xml:space="preserve">有攻击条件下仍完成合法目标的比例</w:t>
            </w:r>
          </w:p>
        </w:tc>
        <w:tc>
          <w:tcPr>
            <w:tcW w:w="3000" w:type="dxa"/>
          </w:tcPr>
          <w:p>
            <w:pPr>
              <w:pStyle w:val="TableText"/>
            </w:pPr>
            <w:r>
              <w:t xml:space="preserve">与攻击目标并列，不能假设二者互斥</w:t>
            </w:r>
          </w:p>
        </w:tc>
      </w:tr>
      <w:tr>
        <w:tc>
          <w:tcPr>
            <w:tcW w:w="3000" w:type="dxa"/>
          </w:tcPr>
          <w:p>
            <w:pPr>
              <w:pStyle w:val="TableText"/>
            </w:pPr>
            <w:r>
              <w:t xml:space="preserve">FPR</w:t>
            </w:r>
          </w:p>
        </w:tc>
        <w:tc>
          <w:tcPr>
            <w:tcW w:w="3000" w:type="dxa"/>
          </w:tcPr>
          <w:p>
            <w:pPr>
              <w:pStyle w:val="TableText"/>
            </w:pPr>
            <w:r>
              <w:t xml:space="preserve">被防御错误阻断的良性用例／全部良性用例</w:t>
            </w:r>
          </w:p>
        </w:tc>
        <w:tc>
          <w:tcPr>
            <w:tcW w:w="3000" w:type="dxa"/>
          </w:tcPr>
          <w:p>
            <w:pPr>
              <w:pStyle w:val="TableText"/>
            </w:pPr>
            <w:r>
              <w:t xml:space="preserve">必须包括复杂但合法的摘要差异与正常重试</w:t>
            </w:r>
          </w:p>
        </w:tc>
      </w:tr>
      <w:tr>
        <w:tc>
          <w:tcPr>
            <w:tcW w:w="3000" w:type="dxa"/>
          </w:tcPr>
          <w:p>
            <w:pPr>
              <w:pStyle w:val="TableText"/>
            </w:pPr>
            <w:r>
              <w:t xml:space="preserve">TPR</w:t>
            </w:r>
          </w:p>
        </w:tc>
        <w:tc>
          <w:tcPr>
            <w:tcW w:w="3000" w:type="dxa"/>
          </w:tcPr>
          <w:p>
            <w:pPr>
              <w:pStyle w:val="TableText"/>
            </w:pPr>
            <w:r>
              <w:t xml:space="preserve">被正确识别的攻击用例／全部攻击用例</w:t>
            </w:r>
          </w:p>
        </w:tc>
        <w:tc>
          <w:tcPr>
            <w:tcW w:w="3000" w:type="dxa"/>
          </w:tcPr>
          <w:p>
            <w:pPr>
              <w:pStyle w:val="TableText"/>
            </w:pPr>
            <w:r>
              <w:t xml:space="preserve">识别成功不一定阻止后果，应分别报告</w:t>
            </w:r>
          </w:p>
        </w:tc>
      </w:tr>
      <w:tr>
        <w:tc>
          <w:tcPr>
            <w:tcW w:w="3000" w:type="dxa"/>
          </w:tcPr>
          <w:p>
            <w:pPr>
              <w:pStyle w:val="TableText"/>
            </w:pPr>
            <w:r>
              <w:t xml:space="preserve">持久 ASR(k)</w:t>
            </w:r>
          </w:p>
        </w:tc>
        <w:tc>
          <w:tcPr>
            <w:tcW w:w="3000" w:type="dxa"/>
          </w:tcPr>
          <w:p>
            <w:pPr>
              <w:pStyle w:val="TableText"/>
            </w:pPr>
            <w:r>
              <w:t xml:space="preserve">植入后间隔 k 个干净任务，再触发时的端到端 ASR</w:t>
            </w:r>
          </w:p>
        </w:tc>
        <w:tc>
          <w:tcPr>
            <w:tcW w:w="3000" w:type="dxa"/>
          </w:tcPr>
          <w:p>
            <w:pPr>
              <w:pStyle w:val="TableText"/>
            </w:pPr>
            <w:r>
              <w:t xml:space="preserve">绘制持久性曲线</w:t>
            </w:r>
          </w:p>
        </w:tc>
      </w:tr>
      <w:tr>
        <w:tc>
          <w:tcPr>
            <w:tcW w:w="3000" w:type="dxa"/>
          </w:tcPr>
          <w:p>
            <w:pPr>
              <w:pStyle w:val="TableText"/>
            </w:pPr>
            <w:r>
              <w:t xml:space="preserve">再导入率</w:t>
            </w:r>
          </w:p>
        </w:tc>
        <w:tc>
          <w:tcPr>
            <w:tcW w:w="3000" w:type="dxa"/>
          </w:tcPr>
          <w:p>
            <w:pPr>
              <w:pStyle w:val="TableText"/>
            </w:pPr>
            <w:r>
              <w:t xml:space="preserve">修复后重新接受失效内容的试验／全部修复后挑战试验</w:t>
            </w:r>
          </w:p>
        </w:tc>
        <w:tc>
          <w:tcPr>
            <w:tcW w:w="3000" w:type="dxa"/>
          </w:tcPr>
          <w:p>
            <w:pPr>
              <w:pStyle w:val="TableText"/>
            </w:pPr>
            <w:r>
              <w:t xml:space="preserve">S3、S4 的主要中介指标</w:t>
            </w:r>
          </w:p>
        </w:tc>
      </w:tr>
      <w:tr>
        <w:tc>
          <w:tcPr>
            <w:tcW w:w="3000" w:type="dxa"/>
          </w:tcPr>
          <w:p>
            <w:pPr>
              <w:pStyle w:val="TableText"/>
            </w:pPr>
            <w:r>
              <w:t xml:space="preserve">权威失效使用率</w:t>
            </w:r>
          </w:p>
        </w:tc>
        <w:tc>
          <w:tcPr>
            <w:tcW w:w="3000" w:type="dxa"/>
          </w:tcPr>
          <w:p>
            <w:pPr>
              <w:pStyle w:val="TableText"/>
            </w:pPr>
            <w:r>
              <w:t xml:space="preserve">支持已失效但仍驱动动作的试验比例</w:t>
            </w:r>
          </w:p>
        </w:tc>
        <w:tc>
          <w:tcPr>
            <w:tcW w:w="3000" w:type="dxa"/>
          </w:tcPr>
          <w:p>
            <w:pPr>
              <w:pStyle w:val="TableText"/>
            </w:pPr>
            <w:r>
              <w:t xml:space="preserve">S5 的关键指标</w:t>
            </w:r>
          </w:p>
        </w:tc>
      </w:tr>
      <w:tr>
        <w:tc>
          <w:tcPr>
            <w:tcW w:w="3000" w:type="dxa"/>
          </w:tcPr>
          <w:p>
            <w:pPr>
              <w:pStyle w:val="TableText"/>
            </w:pPr>
            <w:r>
              <w:t xml:space="preserve">成本</w:t>
            </w:r>
          </w:p>
        </w:tc>
        <w:tc>
          <w:tcPr>
            <w:tcW w:w="3000" w:type="dxa"/>
          </w:tcPr>
          <w:p>
            <w:pPr>
              <w:pStyle w:val="TableText"/>
            </w:pPr>
            <w:r>
              <w:t xml:space="preserve">每任务额外调用、时间、存储、检查次数</w:t>
            </w:r>
          </w:p>
        </w:tc>
        <w:tc>
          <w:tcPr>
            <w:tcW w:w="3000" w:type="dxa"/>
          </w:tcPr>
          <w:p>
            <w:pPr>
              <w:pStyle w:val="TableText"/>
            </w:pPr>
            <w:r>
              <w:t xml:space="preserve">给出效果—代价关系</w:t>
            </w:r>
          </w:p>
        </w:tc>
      </w:tr>
    </w:tbl>
    <w:p>
      <w:pPr>
        <w:pStyle w:val="Normal"/>
      </w:pPr>
      <w:r>
        <w:t xml:space="preserve">对修复后的安全持续时间，有限观察窗口内未再触发不代表永不复发，应标记观察截止。需要汇报绝对风险差及置信区间，不只给相对百分比。任务样本为主要统计单元；对同一任务的多次运行不能冒充独立任务。优先采用任务级成组重采样或配对分析。</w:t>
      </w:r>
    </w:p>
    <w:p>
      <w:pPr>
        <w:pStyle w:val="Normal"/>
      </w:pPr>
      <w:r>
        <w:t xml:space="preserve">建议每个候选先用 20—30 个配对用例定位机制，再为入选课题构建约 120—200 个基础任务，每个任务具有相匹配的干净、触发、修复版本。至少三个重复运行起步；最终数量根据预实验方差和可承担预算确定，不把这些建议数字当成统计充分性的保证。任务模板与案例来源分组切分，避免只在熟悉措辞上成立。</w:t>
      </w:r>
    </w:p>
    <w:p>
      <w:pPr>
        <w:pStyle w:val="Heading2"/>
      </w:pPr>
      <w:r>
        <w:t xml:space="preserve">6.4 攻击、防御与消融基线</w:t>
      </w:r>
    </w:p>
    <w:p>
      <w:pPr>
        <w:pStyle w:val="Normal"/>
      </w:pPr>
      <w:r>
        <w:t xml:space="preserve">攻击基线按能力分组：直接改库的 AgentPoison/MemMorph 类、查询或正常摄入的 MINJA/MemoryGraft/OEP 类、工具返回注入类、通信消息篡改类。不能以更强权限攻击对比更弱权限方法后，简单用 ASR 判定优劣。需要分别报告相同权限比较和权限—成功率曲线。[16,18—21,30,32]</w:t>
      </w:r>
    </w:p>
    <w:p>
      <w:pPr>
        <w:pStyle w:val="Normal"/>
      </w:pPr>
      <w:r>
        <w:t xml:space="preserve">通用防御包括内容标记或隔离、输入检测、实际消费对象审核、来源绑定、动作门控、记录撤销和选择性修复。Spotlighting 与 CaMeL 提供不同的隔离思路，MCP-Guard 与 ShieldMCP 提供工具层近邻。[38,49—51] 涉及训练组件的防御只进入相关工作，不列为本课题自己训练的方案。</w:t>
      </w:r>
    </w:p>
    <w:p>
      <w:pPr>
        <w:pStyle w:val="Normal"/>
      </w:pPr>
      <w:r>
        <w:t xml:space="preserve">强基线至少有一个直接针对假设接缝的确定性方案：S1 完整结果审核和统一消费视图；S3 全来源撤销继承；S4 全谱系跨 Agent 传播；S5 完整支持图重算。Oracle 不作为可部署方案，但用于回答“方法失败究竟是信息缺失，还是规则错误”。若简单确定性基线已完全解决问题，仍需证明更复杂方案有显著效用优势，否则应收缩论文主张。</w:t>
      </w:r>
    </w:p>
    <w:p>
      <w:pPr>
        <w:pStyle w:val="Heading2"/>
      </w:pPr>
      <w:r>
        <w:t xml:space="preserve">6.5 开题可复用的研究方案片段</w:t>
      </w:r>
    </w:p>
    <w:p>
      <w:pPr>
        <w:pStyle w:val="Normal"/>
      </w:pPr>
      <w:r>
        <w:t xml:space="preserve">本研究采用受控实验与状态干预相结合的方法，构建覆盖植入、保留、触发、执行及修复的 Agent 运行轨迹。针对选定的工具消费或协作状态边界，限制攻击者只能控制单一低信任入口，并在植入后撤去攻击输入，以检验后续行为偏移是否由持久状态介导。通过配对任务、状态克隆和来源阻断实验，区分即时提示影响、正常任务失败与持久后门效应。防护方法在推理时以接口约束和状态检查实现，并与内容检测、来源绑定、完整修复等方法比较，联合评估攻击成功率、正常任务完成率、误报率及运行成本。</w:t>
      </w:r>
    </w:p>
    <w:p>
      <w:pPr>
        <w:pStyle w:val="Heading1"/>
      </w:pPr>
      <w:r>
        <w:t xml:space="preserve">七、两篇小论文组合方案与实验可行性</w:t>
      </w:r>
    </w:p>
    <w:p>
      <w:pPr>
        <w:pStyle w:val="Heading2"/>
      </w:pPr>
      <w:r>
        <w:t xml:space="preserve">7.1 A 主方案：工具入口持久化与跨 Agent 修复后再导入</w:t>
      </w:r>
    </w:p>
    <w:p>
      <w:pPr>
        <w:pStyle w:val="Normal"/>
      </w:pPr>
      <w:r>
        <w:t xml:space="preserve">总体背景：外部信息在进入长期状态时可能跨越多个解释与信任边界。单 Agent 的工具消费差异影响污染能否进入，多个 Agent 的独立状态又影响污染清除后是否重新进入。两者共享持久后门主题，但一个研究首次建立状态，另一个研究修复之后的状态恢复，不要求第二篇使用第一篇的攻击工具。</w:t>
      </w:r>
    </w:p>
    <w:p>
      <w:pPr>
        <w:pStyle w:val="Normal"/>
      </w:pPr>
      <w:r>
        <w:t xml:space="preserve">论文一采用 S1。目标是验证工具结果多表示消费差异能否形成持久后门，研究内容为真实消费路径测量、跨会话攻击链及局部一致性防护。关键问题是审核对象与实际写入对象的不同是否构成独立成因。技术路线为原始结果记录、消费路径对照、持久性干预、正常差异误报分析。</w:t>
      </w:r>
    </w:p>
    <w:p>
      <w:pPr>
        <w:pStyle w:val="Normal"/>
      </w:pPr>
      <w:r>
        <w:t xml:space="preserve">论文二采用 S4。目标是验证局部修复后跨 Agent 再导入的条件，研究内容为一次植入后的多方状态留存、修复范围和接收方再接纳。关键问题是有限共享信息下，如何识别新交接内容对已失效来源的依赖。技术路线为三 Agent 受控协作、发送方阻断、完整谱系对照与局部标记传播。</w:t>
      </w:r>
    </w:p>
    <w:p>
      <w:pPr>
        <w:pStyle w:val="Normal"/>
      </w:pPr>
      <w:r>
        <w:t xml:space="preserve">独立性：论文一使用工具结果和单 Agent 记忆，不需要多 Agent；论文二可使用已有 MINJA 或文档污染生成初始状态，不依赖论文一。任务数据分别侧重工具操作和协作经验，主要方法分别为结果消费约束与修复后再接纳约束。共同日志、任务判定器可以复用，但关键实验和结论必须独立。</w:t>
      </w:r>
    </w:p>
    <w:p>
      <w:pPr>
        <w:pStyle w:val="Normal"/>
      </w:pPr>
      <w:r>
        <w:t xml:space="preserve">可行性：两篇均不训练，单篇范围各限定一个接口问题。预计在共同基础设施复用后合计约 15—18 个有效人周，另保留进度缓冲；这是紧凑计划，不保证自然具备可发表结果。若任一题的核心失败在预实验中不存在，立即改用已准备的备选，不能靠增加 Agent 数量或攻击文本长度补足。</w:t>
      </w:r>
    </w:p>
    <w:p>
      <w:pPr>
        <w:pStyle w:val="Normal"/>
      </w:pPr>
      <w:r>
        <w:t xml:space="preserve">拟创新汇总：识别可观察的状态边界失败；用严格干预证明持久作用路径；提出小范围、低依赖的推理时约束。预期成果为两篇独立初稿、两套机制测试用例、可复现实验脚本、毕业论文的攻击机理和防护章节。</w:t>
      </w:r>
    </w:p>
    <w:p>
      <w:pPr>
        <w:pStyle w:val="Heading2"/>
      </w:pPr>
      <w:r>
        <w:t xml:space="preserve">7.2 B 备选方案：跨事务再植入与动态证据失效</w:t>
      </w:r>
    </w:p>
    <w:p>
      <w:pPr>
        <w:pStyle w:val="Normal"/>
      </w:pPr>
      <w:r>
        <w:t xml:space="preserve">总体背景：记忆不只是静态文本库，也包含不断提交、撤销和更新的行动依据。若同一污染被重新生成，或支持它的证据发生变化，原先的状态维护规则可能不能直接适用。本方案聚焦时间与依赖两个边界，覆盖记忆层及行动权限层，层面差异小于 A 方案。</w:t>
      </w:r>
    </w:p>
    <w:p>
      <w:pPr>
        <w:pStyle w:val="Normal"/>
      </w:pPr>
      <w:r>
        <w:t xml:space="preserve">论文一采用 S3。研究目标是刻画撤销后重新生成的跨事务写入。研究内容为逻辑来源与写入实例的区分、重试顺序测试和来源失效继承。关键问题是同一来源重新生成时，普通幂等与事务检查能否继续有效。技术路线强调确定性事件调度与近邻机制复现。</w:t>
      </w:r>
    </w:p>
    <w:p>
      <w:pPr>
        <w:pStyle w:val="Normal"/>
      </w:pPr>
      <w:r>
        <w:t xml:space="preserve">论文二采用 S5。研究目标是阻断依据已失效、正文仍保留的规则继续获得动作权威。研究内容为动态支持集、权威降级及增量重算。关键问题是如何在信息保留与动作许可之间建立准确边界。技术路线以支持变化序列和静态门控、全图重算作对照。</w:t>
      </w:r>
    </w:p>
    <w:p>
      <w:pPr>
        <w:pStyle w:val="Normal"/>
      </w:pPr>
      <w:r>
        <w:t xml:space="preserve">独立性与风险：前者研究写入过程，后者研究已接纳规则的后续使用，方法和主要指标不同。但二者与 MemTX、MemoRepair 和选择性复核接近。[22,24,54] 只有明确超出这些方法已有覆盖时才执行；不能因 A 失败而降低 B 的新颖性标准。</w:t>
      </w:r>
    </w:p>
    <w:p>
      <w:pPr>
        <w:pStyle w:val="Normal"/>
      </w:pPr>
      <w:r>
        <w:t xml:space="preserve">可行性与成果：无需真实 MCP 或大规模协作系统，事件与证据均可在本地模拟，工程不确定性较低。预计合计 14—17 个有效人周，并行复用日志和任务判定器。拟形成攻击机理一篇、动态防护一篇，以及记忆状态维护和行动依据失效的毕业论文章节。</w:t>
      </w:r>
    </w:p>
    <w:p>
      <w:pPr>
        <w:pStyle w:val="Heading2"/>
      </w:pPr>
      <w:r>
        <w:t xml:space="preserve">7.3 最小立项条件与停止规则</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3000"/>
        <w:gridCol w:w="3000"/>
        <w:gridCol w:w="3000"/>
      </w:tblGrid>
      <w:tr>
        <w:trPr>
          <w:tblHeader w:val="true"/>
        </w:trPr>
        <w:tc>
          <w:tcPr>
            <w:tcW w:w="3000" w:type="dxa"/>
            <w:shd w:fill="DCE6F1"/>
          </w:tcPr>
          <w:p>
            <w:pPr>
              <w:pStyle w:val="TableText"/>
            </w:pPr>
            <w:r>
              <w:rPr>
                <w:b/>
              </w:rPr>
              <w:t xml:space="preserve">判定环节</w:t>
            </w:r>
          </w:p>
        </w:tc>
        <w:tc>
          <w:tcPr>
            <w:tcW w:w="3000" w:type="dxa"/>
            <w:shd w:fill="DCE6F1"/>
          </w:tcPr>
          <w:p>
            <w:pPr>
              <w:pStyle w:val="TableText"/>
            </w:pPr>
            <w:r>
              <w:rPr>
                <w:b/>
              </w:rPr>
              <w:t xml:space="preserve">继续条件</w:t>
            </w:r>
          </w:p>
        </w:tc>
        <w:tc>
          <w:tcPr>
            <w:tcW w:w="3000" w:type="dxa"/>
            <w:shd w:fill="DCE6F1"/>
          </w:tcPr>
          <w:p>
            <w:pPr>
              <w:pStyle w:val="TableText"/>
            </w:pPr>
            <w:r>
              <w:rPr>
                <w:b/>
              </w:rPr>
              <w:t xml:space="preserve">不满足时的处理</w:t>
            </w:r>
          </w:p>
        </w:tc>
      </w:tr>
      <w:tr>
        <w:tc>
          <w:tcPr>
            <w:tcW w:w="3000" w:type="dxa"/>
          </w:tcPr>
          <w:p>
            <w:pPr>
              <w:pStyle w:val="TableText"/>
            </w:pPr>
            <w:r>
              <w:t xml:space="preserve">最近邻核查</w:t>
            </w:r>
          </w:p>
        </w:tc>
        <w:tc>
          <w:tcPr>
            <w:tcW w:w="3000" w:type="dxa"/>
          </w:tcPr>
          <w:p>
            <w:pPr>
              <w:pStyle w:val="TableText"/>
            </w:pPr>
            <w:r>
              <w:t xml:space="preserve">没有同权限、同机制、同评价范围的直接覆盖，且差异能改变结论</w:t>
            </w:r>
          </w:p>
        </w:tc>
        <w:tc>
          <w:tcPr>
            <w:tcW w:w="3000" w:type="dxa"/>
          </w:tcPr>
          <w:p>
            <w:pPr>
              <w:pStyle w:val="TableText"/>
            </w:pPr>
            <w:r>
              <w:t xml:space="preserve">收窄主张或更换方向，不保留“首次”措辞</w:t>
            </w:r>
          </w:p>
        </w:tc>
      </w:tr>
      <w:tr>
        <w:tc>
          <w:tcPr>
            <w:tcW w:w="3000" w:type="dxa"/>
          </w:tcPr>
          <w:p>
            <w:pPr>
              <w:pStyle w:val="TableText"/>
            </w:pPr>
            <w:r>
              <w:t xml:space="preserve">真实实现</w:t>
            </w:r>
          </w:p>
        </w:tc>
        <w:tc>
          <w:tcPr>
            <w:tcW w:w="3000" w:type="dxa"/>
          </w:tcPr>
          <w:p>
            <w:pPr>
              <w:pStyle w:val="TableText"/>
            </w:pPr>
            <w:r>
              <w:t xml:space="preserve">至少存在一条可复现适配器或状态流，不完全依赖人为写坏系统</w:t>
            </w:r>
          </w:p>
        </w:tc>
        <w:tc>
          <w:tcPr>
            <w:tcW w:w="3000" w:type="dxa"/>
          </w:tcPr>
          <w:p>
            <w:pPr>
              <w:pStyle w:val="TableText"/>
            </w:pPr>
            <w:r>
              <w:t xml:space="preserve">仅作为风险示例，不按真实漏洞投稿</w:t>
            </w:r>
          </w:p>
        </w:tc>
      </w:tr>
      <w:tr>
        <w:tc>
          <w:tcPr>
            <w:tcW w:w="3000" w:type="dxa"/>
          </w:tcPr>
          <w:p>
            <w:pPr>
              <w:pStyle w:val="TableText"/>
            </w:pPr>
            <w:r>
              <w:t xml:space="preserve">持久性</w:t>
            </w:r>
          </w:p>
        </w:tc>
        <w:tc>
          <w:tcPr>
            <w:tcW w:w="3000" w:type="dxa"/>
          </w:tcPr>
          <w:p>
            <w:pPr>
              <w:pStyle w:val="TableText"/>
            </w:pPr>
            <w:r>
              <w:t xml:space="preserve">攻击者退出后，在新会话中出现条件性偏移</w:t>
            </w:r>
          </w:p>
        </w:tc>
        <w:tc>
          <w:tcPr>
            <w:tcW w:w="3000" w:type="dxa"/>
          </w:tcPr>
          <w:p>
            <w:pPr>
              <w:pStyle w:val="TableText"/>
            </w:pPr>
            <w:r>
              <w:t xml:space="preserve">改称注入或投毒，评估是否仍符合毕业论文主题</w:t>
            </w:r>
          </w:p>
        </w:tc>
      </w:tr>
      <w:tr>
        <w:tc>
          <w:tcPr>
            <w:tcW w:w="3000" w:type="dxa"/>
          </w:tcPr>
          <w:p>
            <w:pPr>
              <w:pStyle w:val="TableText"/>
            </w:pPr>
            <w:r>
              <w:t xml:space="preserve">强基线</w:t>
            </w:r>
          </w:p>
        </w:tc>
        <w:tc>
          <w:tcPr>
            <w:tcW w:w="3000" w:type="dxa"/>
          </w:tcPr>
          <w:p>
            <w:pPr>
              <w:pStyle w:val="TableText"/>
            </w:pPr>
            <w:r>
              <w:t xml:space="preserve">已有简单基线不能在相同成本下消除问题并保持效用</w:t>
            </w:r>
          </w:p>
        </w:tc>
        <w:tc>
          <w:tcPr>
            <w:tcW w:w="3000" w:type="dxa"/>
          </w:tcPr>
          <w:p>
            <w:pPr>
              <w:pStyle w:val="TableText"/>
            </w:pPr>
            <w:r>
              <w:t xml:space="preserve">不再增加复杂方法；可记录负结果</w:t>
            </w:r>
          </w:p>
        </w:tc>
      </w:tr>
      <w:tr>
        <w:tc>
          <w:tcPr>
            <w:tcW w:w="3000" w:type="dxa"/>
          </w:tcPr>
          <w:p>
            <w:pPr>
              <w:pStyle w:val="TableText"/>
            </w:pPr>
            <w:r>
              <w:t xml:space="preserve">因果证据</w:t>
            </w:r>
          </w:p>
        </w:tc>
        <w:tc>
          <w:tcPr>
            <w:tcW w:w="3000" w:type="dxa"/>
          </w:tcPr>
          <w:p>
            <w:pPr>
              <w:pStyle w:val="TableText"/>
            </w:pPr>
            <w:r>
              <w:t xml:space="preserve">移除指定中介会显著降低偏移，sham 操作不产生同样效果</w:t>
            </w:r>
          </w:p>
        </w:tc>
        <w:tc>
          <w:tcPr>
            <w:tcW w:w="3000" w:type="dxa"/>
          </w:tcPr>
          <w:p>
            <w:pPr>
              <w:pStyle w:val="TableText"/>
            </w:pPr>
            <w:r>
              <w:t xml:space="preserve">检查混杂，不急于写成方法贡献</w:t>
            </w:r>
          </w:p>
        </w:tc>
      </w:tr>
      <w:tr>
        <w:tc>
          <w:tcPr>
            <w:tcW w:w="3000" w:type="dxa"/>
          </w:tcPr>
          <w:p>
            <w:pPr>
              <w:pStyle w:val="TableText"/>
            </w:pPr>
            <w:r>
              <w:t xml:space="preserve">工作量</w:t>
            </w:r>
          </w:p>
        </w:tc>
        <w:tc>
          <w:tcPr>
            <w:tcW w:w="3000" w:type="dxa"/>
          </w:tcPr>
          <w:p>
            <w:pPr>
              <w:pStyle w:val="TableText"/>
            </w:pPr>
            <w:r>
              <w:t xml:space="preserve">两周可复现机制，四周可跑主要原型</w:t>
            </w:r>
          </w:p>
        </w:tc>
        <w:tc>
          <w:tcPr>
            <w:tcW w:w="3000" w:type="dxa"/>
          </w:tcPr>
          <w:p>
            <w:pPr>
              <w:pStyle w:val="TableText"/>
            </w:pPr>
            <w:r>
              <w:t xml:space="preserve">缩小范围；不把大系统开发当论文进展</w:t>
            </w:r>
          </w:p>
        </w:tc>
      </w:tr>
    </w:tbl>
    <w:p>
      <w:pPr>
        <w:pStyle w:val="Heading1"/>
      </w:pPr>
      <w:r>
        <w:t xml:space="preserve">八、拟创新点与预期成果</w:t>
      </w:r>
    </w:p>
    <w:p>
      <w:pPr>
        <w:pStyle w:val="Heading2"/>
      </w:pPr>
      <w:r>
        <w:t xml:space="preserve">8.1 创新点的可复用表述</w:t>
      </w:r>
    </w:p>
    <w:p>
      <w:pPr>
        <w:pStyle w:val="Normal"/>
      </w:pPr>
      <w:r>
        <w:t xml:space="preserve">本研究拟从 Agent 持久状态的实际消费与更新边界出发，研究低权限外部内容形成条件性行为偏移的机制。与仅在单轮上下文测试提示注入、或默认完整来源可得的设置相比，拟选课题将明确限定视图消费差异、跨边界再导入等具体条件，并通过状态干预验证这些条件是否具有独立因果作用。在此基础上，研究面向特定边界的推理时检查方法，在阻断攻击后果的同时评估正常经验复用和任务完成的损失。</w:t>
      </w:r>
    </w:p>
    <w:p>
      <w:pPr>
        <w:pStyle w:val="Normal"/>
      </w:pPr>
      <w:r>
        <w:t xml:space="preserve">这段文本中的差异仍需由预实验确认。最终开题或投稿时，应替换为实际选中的一个机制及其证据，避免把十二个候选共同写成论文贡献。</w:t>
      </w:r>
    </w:p>
    <w:p>
      <w:pPr>
        <w:pStyle w:val="Heading2"/>
      </w:pPr>
      <w:r>
        <w:t xml:space="preserve">8.2 预期成果</w:t>
      </w:r>
    </w:p>
    <w:p>
      <w:pPr>
        <w:pStyle w:val="Normal"/>
      </w:pPr>
      <w:r>
        <w:t xml:space="preserve">一是形成 2020—2026 年问题演进文献表，保留可追溯的动机、威胁模型、发表状态与关系类型。二是完成两个独立研究单元的实验与初稿，各自包含最接近工作的对比和失败条件。三是形成可恢复的状态轨迹、配对任务、判定脚本及结果分析文件。四是将两篇论文整理为毕业论文主体中的两个研究章节，共享背景和实验协议，但分别呈现方法与结果。</w:t>
      </w:r>
    </w:p>
    <w:p>
      <w:pPr>
        <w:pStyle w:val="Normal"/>
      </w:pPr>
      <w:r>
        <w:t xml:space="preserve">预期成果是可检验的研究产物，不预设攻击一定达到某个成功率、防御一定优于所有基线，也不承诺录用。若强基线足以解决所选问题，负结果应进入选题判断和综述，而不是隐藏不利实验。</w:t>
      </w:r>
    </w:p>
    <w:p>
      <w:pPr>
        <w:pStyle w:val="Heading1"/>
      </w:pPr>
      <w:r>
        <w:t xml:space="preserve">九、研究进度安排</w:t>
      </w:r>
    </w:p>
    <w:p>
      <w:pPr>
        <w:pStyle w:val="Heading2"/>
      </w:pPr>
      <w:r>
        <w:t xml:space="preserve">9.1 按月安排</w:t>
      </w:r>
    </w:p>
    <w:p>
      <w:pPr>
        <w:pStyle w:val="Normal"/>
      </w:pPr>
      <w:r>
        <w:t xml:space="preserve">以当前 2026 年 9 月 29 日为起点，按本学期结束前完成两篇初稿组织。如果学院截止早于 2027 年 1 月，应压缩到已通过预实验的两个最小课题，不能同时推进十二个方向。</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3000"/>
        <w:gridCol w:w="3000"/>
        <w:gridCol w:w="3000"/>
      </w:tblGrid>
      <w:tr>
        <w:trPr>
          <w:tblHeader w:val="true"/>
        </w:trPr>
        <w:tc>
          <w:tcPr>
            <w:tcW w:w="3000" w:type="dxa"/>
            <w:shd w:fill="DCE6F1"/>
          </w:tcPr>
          <w:p>
            <w:pPr>
              <w:pStyle w:val="TableText"/>
            </w:pPr>
            <w:r>
              <w:rPr>
                <w:b/>
              </w:rPr>
              <w:t xml:space="preserve">时间</w:t>
            </w:r>
          </w:p>
        </w:tc>
        <w:tc>
          <w:tcPr>
            <w:tcW w:w="3000" w:type="dxa"/>
            <w:shd w:fill="DCE6F1"/>
          </w:tcPr>
          <w:p>
            <w:pPr>
              <w:pStyle w:val="TableText"/>
            </w:pPr>
            <w:r>
              <w:rPr>
                <w:b/>
              </w:rPr>
              <w:t xml:space="preserve">研究与实现任务</w:t>
            </w:r>
          </w:p>
        </w:tc>
        <w:tc>
          <w:tcPr>
            <w:tcW w:w="3000" w:type="dxa"/>
            <w:shd w:fill="DCE6F1"/>
          </w:tcPr>
          <w:p>
            <w:pPr>
              <w:pStyle w:val="TableText"/>
            </w:pPr>
            <w:r>
              <w:rPr>
                <w:b/>
              </w:rPr>
              <w:t xml:space="preserve">阶段交付及决策</w:t>
            </w:r>
          </w:p>
        </w:tc>
      </w:tr>
      <w:tr>
        <w:tc>
          <w:tcPr>
            <w:tcW w:w="3000" w:type="dxa"/>
          </w:tcPr>
          <w:p>
            <w:pPr>
              <w:pStyle w:val="TableText"/>
            </w:pPr>
            <w:r>
              <w:t xml:space="preserve">2026 年 9 月末—10 月上旬</w:t>
            </w:r>
          </w:p>
        </w:tc>
        <w:tc>
          <w:tcPr>
            <w:tcW w:w="3000" w:type="dxa"/>
          </w:tcPr>
          <w:p>
            <w:pPr>
              <w:pStyle w:val="TableText"/>
            </w:pPr>
            <w:r>
              <w:t xml:space="preserve">核验 S1/S4 近邻；每题 20—30 个预实验；固定任务和攻击权限</w:t>
            </w:r>
          </w:p>
        </w:tc>
        <w:tc>
          <w:tcPr>
            <w:tcW w:w="3000" w:type="dxa"/>
          </w:tcPr>
          <w:p>
            <w:pPr>
              <w:pStyle w:val="TableText"/>
            </w:pPr>
            <w:r>
              <w:t xml:space="preserve">两份机制复现记录；淘汰无真实接缝或已有直接覆盖的题</w:t>
            </w:r>
          </w:p>
        </w:tc>
      </w:tr>
      <w:tr>
        <w:tc>
          <w:tcPr>
            <w:tcW w:w="3000" w:type="dxa"/>
          </w:tcPr>
          <w:p>
            <w:pPr>
              <w:pStyle w:val="TableText"/>
            </w:pPr>
            <w:r>
              <w:t xml:space="preserve">2026 年 10 月中下旬</w:t>
            </w:r>
          </w:p>
        </w:tc>
        <w:tc>
          <w:tcPr>
            <w:tcW w:w="3000" w:type="dxa"/>
          </w:tcPr>
          <w:p>
            <w:pPr>
              <w:pStyle w:val="TableText"/>
            </w:pPr>
            <w:r>
              <w:t xml:space="preserve">确定 A 或 B；完成共同日志、任务判定器、核心基线；扩充第一篇任务</w:t>
            </w:r>
          </w:p>
        </w:tc>
        <w:tc>
          <w:tcPr>
            <w:tcW w:w="3000" w:type="dxa"/>
          </w:tcPr>
          <w:p>
            <w:pPr>
              <w:pStyle w:val="TableText"/>
            </w:pPr>
            <w:r>
              <w:t xml:space="preserve">两篇一页式问题定义；第一篇原型及第二篇最小原型</w:t>
            </w:r>
          </w:p>
        </w:tc>
      </w:tr>
      <w:tr>
        <w:tc>
          <w:tcPr>
            <w:tcW w:w="3000" w:type="dxa"/>
          </w:tcPr>
          <w:p>
            <w:pPr>
              <w:pStyle w:val="TableText"/>
            </w:pPr>
            <w:r>
              <w:t xml:space="preserve">2026 年 11 月</w:t>
            </w:r>
          </w:p>
        </w:tc>
        <w:tc>
          <w:tcPr>
            <w:tcW w:w="3000" w:type="dxa"/>
          </w:tcPr>
          <w:p>
            <w:pPr>
              <w:pStyle w:val="TableText"/>
            </w:pPr>
            <w:r>
              <w:t xml:space="preserve">第一篇主实验与因果消融；第二篇完整实现与小规模评测；持续增量检索</w:t>
            </w:r>
          </w:p>
        </w:tc>
        <w:tc>
          <w:tcPr>
            <w:tcW w:w="3000" w:type="dxa"/>
          </w:tcPr>
          <w:p>
            <w:pPr>
              <w:pStyle w:val="TableText"/>
            </w:pPr>
            <w:r>
              <w:t xml:space="preserve">第一篇方法与实验初稿；第二篇基线差距表</w:t>
            </w:r>
          </w:p>
        </w:tc>
      </w:tr>
      <w:tr>
        <w:tc>
          <w:tcPr>
            <w:tcW w:w="3000" w:type="dxa"/>
          </w:tcPr>
          <w:p>
            <w:pPr>
              <w:pStyle w:val="TableText"/>
            </w:pPr>
            <w:r>
              <w:t xml:space="preserve">2026 年 12 月</w:t>
            </w:r>
          </w:p>
        </w:tc>
        <w:tc>
          <w:tcPr>
            <w:tcW w:w="3000" w:type="dxa"/>
          </w:tcPr>
          <w:p>
            <w:pPr>
              <w:pStyle w:val="TableText"/>
            </w:pPr>
            <w:r>
              <w:t xml:space="preserve">第二篇主实验、消融、效用成本；第一篇补充必要验证</w:t>
            </w:r>
          </w:p>
        </w:tc>
        <w:tc>
          <w:tcPr>
            <w:tcW w:w="3000" w:type="dxa"/>
          </w:tcPr>
          <w:p>
            <w:pPr>
              <w:pStyle w:val="TableText"/>
            </w:pPr>
            <w:r>
              <w:t xml:space="preserve">两篇实验冻结版本；各自结果表与失败案例</w:t>
            </w:r>
          </w:p>
        </w:tc>
      </w:tr>
      <w:tr>
        <w:tc>
          <w:tcPr>
            <w:tcW w:w="3000" w:type="dxa"/>
          </w:tcPr>
          <w:p>
            <w:pPr>
              <w:pStyle w:val="TableText"/>
            </w:pPr>
            <w:r>
              <w:t xml:space="preserve">2027 年 1 月上中旬</w:t>
            </w:r>
          </w:p>
        </w:tc>
        <w:tc>
          <w:tcPr>
            <w:tcW w:w="3000" w:type="dxa"/>
          </w:tcPr>
          <w:p>
            <w:pPr>
              <w:pStyle w:val="TableText"/>
            </w:pPr>
            <w:r>
              <w:t xml:space="preserve">完成两篇初稿、引用核验、复现检查；整理毕业论文两章</w:t>
            </w:r>
          </w:p>
        </w:tc>
        <w:tc>
          <w:tcPr>
            <w:tcW w:w="3000" w:type="dxa"/>
          </w:tcPr>
          <w:p>
            <w:pPr>
              <w:pStyle w:val="TableText"/>
            </w:pPr>
            <w:r>
              <w:t xml:space="preserve">两篇可供导师审阅的完整稿与研究数据包</w:t>
            </w:r>
          </w:p>
        </w:tc>
      </w:tr>
      <w:tr>
        <w:tc>
          <w:tcPr>
            <w:tcW w:w="3000" w:type="dxa"/>
          </w:tcPr>
          <w:p>
            <w:pPr>
              <w:pStyle w:val="TableText"/>
            </w:pPr>
            <w:r>
              <w:t xml:space="preserve">2027 年 1 月下旬</w:t>
            </w:r>
          </w:p>
        </w:tc>
        <w:tc>
          <w:tcPr>
            <w:tcW w:w="3000" w:type="dxa"/>
          </w:tcPr>
          <w:p>
            <w:pPr>
              <w:pStyle w:val="TableText"/>
            </w:pPr>
            <w:r>
              <w:t xml:space="preserve">预留补实验和修改；核对新出现的直接竞争工作</w:t>
            </w:r>
          </w:p>
        </w:tc>
        <w:tc>
          <w:tcPr>
            <w:tcW w:w="3000" w:type="dxa"/>
          </w:tcPr>
          <w:p>
            <w:pPr>
              <w:pStyle w:val="TableText"/>
            </w:pPr>
            <w:r>
              <w:t xml:space="preserve">修订稿；投稿目标由导师结合实际结果决定</w:t>
            </w:r>
          </w:p>
        </w:tc>
      </w:tr>
    </w:tbl>
    <w:p>
      <w:pPr>
        <w:pStyle w:val="Heading2"/>
      </w:pPr>
      <w:r>
        <w:t xml:space="preserve">9.2 每周推进方式</w:t>
      </w:r>
    </w:p>
    <w:p>
      <w:pPr>
        <w:pStyle w:val="Normal"/>
      </w:pPr>
      <w:r>
        <w:t xml:space="preserve">每周只保留一项主要不确定性，例如“是否真实跨会话”或“最强近邻能否阻断”。周初设计能够否定假设的实验，周末提交轨迹、结果表和继续/停止判断。文献增量检查每两周一次，围绕当前机制的近邻查询，不重新无边界地检索所有 Agent 安全工作。攻击案例生成、日志采集和图表整理可以自动化，核心威胁模型、判定标签与创新结论由研究者复核。</w:t>
      </w:r>
    </w:p>
    <w:p>
      <w:pPr>
        <w:pStyle w:val="Heading1"/>
      </w:pPr>
      <w:r>
        <w:t xml:space="preserve">十、研究局限、核查纠错与导师讨论建议</w:t>
      </w:r>
    </w:p>
    <w:p>
      <w:pPr>
        <w:pStyle w:val="Heading2"/>
      </w:pPr>
      <w:r>
        <w:t xml:space="preserve">10.1 本次调研的限制</w:t>
      </w:r>
    </w:p>
    <w:p>
      <w:pPr>
        <w:pStyle w:val="Normal"/>
      </w:pPr>
      <w:r>
        <w:t xml:space="preserve">本报告覆盖关键脉络和与候选选题直接有关的近邻，不等于完整论文目录。2026 年预印本较多，正式状态和版本内容仍可能变化；“原文明确的不足”也不代表该不足在整个领域仍然成立。因而本文用它解释作者的研究动机，再通过较新工作判断是否仍适合选题。</w:t>
      </w:r>
    </w:p>
    <w:p>
      <w:pPr>
        <w:pStyle w:val="Normal"/>
      </w:pPr>
      <w:r>
        <w:t xml:space="preserve">文献中任务难度、攻击预算、系统配置和成功判据不同，不能跨论文直接排列 ASR 高低。原文暂未研究某设置，只能支持“该论文的范围未覆盖”，不能支持“全世界无人做”。本报告提出的十二个候选尚未经过实际实验，优先级依据可分离性和实现成本，而非已证实效果。</w:t>
      </w:r>
    </w:p>
    <w:p>
      <w:pPr>
        <w:pStyle w:val="Heading2"/>
      </w:pPr>
      <w:r>
        <w:t xml:space="preserve">10.2 本次已处理的容易误写之处</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4500"/>
        <w:gridCol w:w="4500"/>
      </w:tblGrid>
      <w:tr>
        <w:trPr>
          <w:tblHeader w:val="true"/>
        </w:trPr>
        <w:tc>
          <w:tcPr>
            <w:tcW w:w="4500" w:type="dxa"/>
            <w:shd w:fill="DCE6F1"/>
          </w:tcPr>
          <w:p>
            <w:pPr>
              <w:pStyle w:val="TableText"/>
            </w:pPr>
            <w:r>
              <w:rPr>
                <w:b/>
              </w:rPr>
              <w:t xml:space="preserve">易错项</w:t>
            </w:r>
          </w:p>
        </w:tc>
        <w:tc>
          <w:tcPr>
            <w:tcW w:w="4500" w:type="dxa"/>
            <w:shd w:fill="DCE6F1"/>
          </w:tcPr>
          <w:p>
            <w:pPr>
              <w:pStyle w:val="TableText"/>
            </w:pPr>
            <w:r>
              <w:rPr>
                <w:b/>
              </w:rPr>
              <w:t xml:space="preserve">本报告采用的处理</w:t>
            </w:r>
          </w:p>
        </w:tc>
      </w:tr>
      <w:tr>
        <w:tc>
          <w:tcPr>
            <w:tcW w:w="4500" w:type="dxa"/>
          </w:tcPr>
          <w:p>
            <w:pPr>
              <w:pStyle w:val="TableText"/>
            </w:pPr>
            <w:r>
              <w:t xml:space="preserve">TrojDRL 的年份</w:t>
            </w:r>
          </w:p>
        </w:tc>
        <w:tc>
          <w:tcPr>
            <w:tcW w:w="4500" w:type="dxa"/>
          </w:tcPr>
          <w:p>
            <w:pPr>
              <w:pStyle w:val="TableText"/>
            </w:pPr>
            <w:r>
              <w:t xml:space="preserve">区分 2019 预印本与 DAC 2020 正式发表</w:t>
            </w:r>
          </w:p>
        </w:tc>
      </w:tr>
      <w:tr>
        <w:tc>
          <w:tcPr>
            <w:tcW w:w="4500" w:type="dxa"/>
          </w:tcPr>
          <w:p>
            <w:pPr>
              <w:pStyle w:val="TableText"/>
            </w:pPr>
            <w:r>
              <w:t xml:space="preserve">BadPrompt 与 BadChain</w:t>
            </w:r>
          </w:p>
        </w:tc>
        <w:tc>
          <w:tcPr>
            <w:tcW w:w="4500" w:type="dxa"/>
          </w:tcPr>
          <w:p>
            <w:pPr>
              <w:pStyle w:val="TableText"/>
            </w:pPr>
            <w:r>
              <w:t xml:space="preserve">前者涉及连续提示学习；后者是推理示例污染，不能混为同一权限</w:t>
            </w:r>
          </w:p>
        </w:tc>
      </w:tr>
      <w:tr>
        <w:tc>
          <w:tcPr>
            <w:tcW w:w="4500" w:type="dxa"/>
          </w:tcPr>
          <w:p>
            <w:pPr>
              <w:pStyle w:val="TableText"/>
            </w:pPr>
            <w:r>
              <w:t xml:space="preserve">Sleeper Agents、SleeperNets、休眠记忆</w:t>
            </w:r>
          </w:p>
        </w:tc>
        <w:tc>
          <w:tcPr>
            <w:tcW w:w="4500" w:type="dxa"/>
          </w:tcPr>
          <w:p>
            <w:pPr>
              <w:pStyle w:val="TableText"/>
            </w:pPr>
            <w:r>
              <w:t xml:space="preserve">名称相似但分别涉及 LLM 训练、RL 训练或外部状态，不互相替代引用</w:t>
            </w:r>
          </w:p>
        </w:tc>
      </w:tr>
      <w:tr>
        <w:tc>
          <w:tcPr>
            <w:tcW w:w="4500" w:type="dxa"/>
          </w:tcPr>
          <w:p>
            <w:pPr>
              <w:pStyle w:val="TableText"/>
            </w:pPr>
            <w:r>
              <w:t xml:space="preserve">BadAgent、Watch Out 项目名、BackdoorAgent</w:t>
            </w:r>
          </w:p>
        </w:tc>
        <w:tc>
          <w:tcPr>
            <w:tcW w:w="4500" w:type="dxa"/>
          </w:tcPr>
          <w:p>
            <w:pPr>
              <w:pStyle w:val="TableText"/>
            </w:pPr>
            <w:r>
              <w:t xml:space="preserve">分列论文；BackdoorAgent 使用 Findings ACL 2026 正式信息</w:t>
            </w:r>
          </w:p>
        </w:tc>
      </w:tr>
      <w:tr>
        <w:tc>
          <w:tcPr>
            <w:tcW w:w="4500" w:type="dxa"/>
          </w:tcPr>
          <w:p>
            <w:pPr>
              <w:pStyle w:val="TableText"/>
            </w:pPr>
            <w:r>
              <w:t xml:space="preserve">Mandela 与 CAMA</w:t>
            </w:r>
          </w:p>
        </w:tc>
        <w:tc>
          <w:tcPr>
            <w:tcW w:w="4500" w:type="dxa"/>
          </w:tcPr>
          <w:p>
            <w:pPr>
              <w:pStyle w:val="TableText"/>
            </w:pPr>
            <w:r>
              <w:t xml:space="preserve">作为集体记忆可靠性近邻，不改写成已验证后门攻击；CAMA 不进入自行训练计划</w:t>
            </w:r>
          </w:p>
        </w:tc>
      </w:tr>
      <w:tr>
        <w:tc>
          <w:tcPr>
            <w:tcW w:w="4500" w:type="dxa"/>
          </w:tcPr>
          <w:p>
            <w:pPr>
              <w:pStyle w:val="TableText"/>
            </w:pPr>
            <w:r>
              <w:t xml:space="preserve">PlanFlip 引文元数据</w:t>
            </w:r>
          </w:p>
        </w:tc>
        <w:tc>
          <w:tcPr>
            <w:tcW w:w="4500" w:type="dxa"/>
          </w:tcPr>
          <w:p>
            <w:pPr>
              <w:pStyle w:val="TableText"/>
            </w:pPr>
            <w:r>
              <w:t xml:space="preserve">其对 Prompt Infection 与 AiTM 的作者记载有错配，参考文献采用原论文来源</w:t>
            </w:r>
          </w:p>
        </w:tc>
      </w:tr>
      <w:tr>
        <w:tc>
          <w:tcPr>
            <w:tcW w:w="4500" w:type="dxa"/>
          </w:tcPr>
          <w:p>
            <w:pPr>
              <w:pStyle w:val="TableText"/>
            </w:pPr>
            <w:r>
              <w:t xml:space="preserve">PlanFlip 日期</w:t>
            </w:r>
          </w:p>
        </w:tc>
        <w:tc>
          <w:tcPr>
            <w:tcW w:w="4500" w:type="dxa"/>
          </w:tcPr>
          <w:p>
            <w:pPr>
              <w:pStyle w:val="TableText"/>
            </w:pPr>
            <w:r>
              <w:t xml:space="preserve">arXiv 页面编号与所载首次提交日期存在异常，本报告仅按 2026 预印本列示，不据此推断月份先后</w:t>
            </w:r>
          </w:p>
        </w:tc>
      </w:tr>
      <w:tr>
        <w:tc>
          <w:tcPr>
            <w:tcW w:w="4500" w:type="dxa"/>
          </w:tcPr>
          <w:p>
            <w:pPr>
              <w:pStyle w:val="TableText"/>
            </w:pPr>
            <w:r>
              <w:t xml:space="preserve">MCPTox 用例数量</w:t>
            </w:r>
          </w:p>
        </w:tc>
        <w:tc>
          <w:tcPr>
            <w:tcW w:w="4500" w:type="dxa"/>
          </w:tcPr>
          <w:p>
            <w:pPr>
              <w:pStyle w:val="TableText"/>
            </w:pPr>
            <w:r>
              <w:t xml:space="preserve">正式稿与后续使用稿的版本数字不同；本报告不混合统计</w:t>
            </w:r>
          </w:p>
        </w:tc>
      </w:tr>
      <w:tr>
        <w:tc>
          <w:tcPr>
            <w:tcW w:w="4500" w:type="dxa"/>
          </w:tcPr>
          <w:p>
            <w:pPr>
              <w:pStyle w:val="TableText"/>
            </w:pPr>
            <w:r>
              <w:t xml:space="preserve">MemMorph、OEP 标题</w:t>
            </w:r>
          </w:p>
        </w:tc>
        <w:tc>
          <w:tcPr>
            <w:tcW w:w="4500" w:type="dxa"/>
          </w:tcPr>
          <w:p>
            <w:pPr>
              <w:pStyle w:val="TableText"/>
            </w:pPr>
            <w:r>
              <w:t xml:space="preserve">采用当前 arXiv 原始页面完整标题，避免简称扩写造成错名</w:t>
            </w:r>
          </w:p>
        </w:tc>
      </w:tr>
    </w:tbl>
    <w:p>
      <w:pPr>
        <w:pStyle w:val="Normal"/>
      </w:pPr>
      <w:r>
        <w:t xml:space="preserve">Sleeper Agents 研究训练出的条件性行为在安全训练之后的保留；SleeperNets 研究强化学习奖励投毒与理论覆盖；2025 年 Adversarial Inception 则针对奖励限制下的攻击推进。[8—9,48] 它们说明训练型路线仍在发展，不能把本课题“不训练”的工程约束误写成整个研究领域的定义。</w:t>
      </w:r>
    </w:p>
    <w:p>
      <w:pPr>
        <w:pStyle w:val="Heading2"/>
      </w:pPr>
      <w:r>
        <w:t xml:space="preserve">10.3 与导师讨论时优先确认的三件事</w:t>
      </w:r>
    </w:p>
    <w:p>
      <w:pPr>
        <w:pStyle w:val="Normal"/>
      </w:pPr>
      <w:r>
        <w:t xml:space="preserve">首先讨论论文的问题而不是标题：能否用一条真实轨迹证明现有基线漏掉了一个关键状态边界。其次讨论两个课题是否能独立成立：第二篇是否不依赖第一篇的新攻击，也有自己的任务与主要指标。最后讨论停止规则：如果预实验发现完整结果审核或来源传播已足够，是否立即换题，而非继续扩大工程规模。</w:t>
      </w:r>
    </w:p>
    <w:p>
      <w:pPr>
        <w:pStyle w:val="Normal"/>
      </w:pPr>
      <w:r>
        <w:t xml:space="preserve">综合本次核查，建议先验证 S1 与 S4，而不直接立项全部候选。S3 与 S5 的逻辑清晰，但与最新状态治理研究更接近；S7—S10 容易扩大成复杂语义系统；S12 应作为研究质量保障先落实。这样的安排能够把选题讨论从“名字是否新”转向“在什么明确条件下，现有方法仍不能解决什么问题”。</w:t>
      </w:r>
    </w:p>
    <w:p>
      <w:pPr>
        <w:pStyle w:val="Normal"/>
      </w:pPr>
      <w:r>
        <w:t xml:space="preserve">本报告由本地研究技能辅助完成检索组织、原文比较和写作。最终研究主张、文献引用与实验判定仍应由作者在提交前复核。</w:t>
      </w:r>
    </w:p>
    <w:p>
      <w:pPr>
        <w:pStyle w:val="Heading1"/>
      </w:pPr>
      <w:r>
        <w:t xml:space="preserve">十一、参考文献与核查入口</w:t>
      </w:r>
    </w:p>
    <w:p>
      <w:pPr>
        <w:pStyle w:val="Normal"/>
      </w:pPr>
      <w:r>
        <w:t xml:space="preserve">以下按报告引用编号列示，优先给出正式论文集或论文原始页面。属于综述脉络的直接攻击、基础能力、评测和防御分别在正文注明。标题式简明著录便于核验；提交学校前可依据指定格式从官方页面导出作者、卷期与页码，不补造未核信息。所有网络入口核查日期为 2026-09-29。</w:t>
      </w:r>
    </w:p>
    <w:p>
      <w:pPr>
        <w:pStyle w:val="Normal"/>
      </w:pPr>
      <w:r>
        <w:t xml:space="preserve">[1] Kiourti P, Wardega K, Jha S, Li W. TrojDRL: Evaluation of Backdoor Attacks on Deep Reinforcement Learning. DAC, 2020；预印本标题 TrojDRL: Trojan Attacks on Deep Reinforcement Learning Agents，2019。https://open.bu.edu/items/3d852534-ec2f-4dc7-ae87-4a65c373de6e ；https://arxiv.org/abs/1903.06638</w:t>
      </w:r>
    </w:p>
    <w:p>
      <w:pPr>
        <w:pStyle w:val="Normal"/>
      </w:pPr>
      <w:r>
        <w:t xml:space="preserve">[2] Wang L, Javed Z, Wu X, et al. BACKDOORL: Backdoor Attack against Competitive Reinforcement Learning. IJCAI, 2021。https://www.ijcai.org/proceedings/2021/509</w:t>
      </w:r>
    </w:p>
    <w:p>
      <w:pPr>
        <w:pStyle w:val="Normal"/>
      </w:pPr>
      <w:r>
        <w:t xml:space="preserve">[3] Yu Y, Liu J, Li S, et al. A Temporal-Pattern Backdoor Attack to Deep Reinforcement Learning. 2022 预印本。https://arxiv.org/abs/2205.02589</w:t>
      </w:r>
    </w:p>
    <w:p>
      <w:pPr>
        <w:pStyle w:val="Normal"/>
      </w:pPr>
      <w:r>
        <w:t xml:space="preserve">[4] Kurita K, Michel P, Neubig G. Weight Poisoning Attacks on Pre-trained Models. ACL, 2020。https://aclanthology.org/2020.acl-main.249/</w:t>
      </w:r>
    </w:p>
    <w:p>
      <w:pPr>
        <w:pStyle w:val="Normal"/>
      </w:pPr>
      <w:r>
        <w:t xml:space="preserve">[5] Chen K, Meng Y, Sun X, et al. BadPre: Task-agnostic Backdoor Attacks to Pre-trained NLP Foundation Models. ICLR, 2022；预印本公开于 2021。https://kangjie.me/files/2022_ICLR_BadPre.pdf ；https://arxiv.org/abs/2110.02467</w:t>
      </w:r>
    </w:p>
    <w:p>
      <w:pPr>
        <w:pStyle w:val="Normal"/>
      </w:pPr>
      <w:r>
        <w:t xml:space="preserve">[6] Cai X, Xu H, Xu S, et al. BadPrompt: Backdoor Attacks on Continuous Prompts. NeurIPS, 2022。https://papers.nips.cc/paper_files/paper/2022/file/f0722b58f02d7793acf7d328928f933a-Paper-Conference.pdf</w:t>
      </w:r>
    </w:p>
    <w:p>
      <w:pPr>
        <w:pStyle w:val="Normal"/>
      </w:pPr>
      <w:r>
        <w:t xml:space="preserve">[7] Kandpal N, Jagielski M, Tramèr F, Carlini N. Backdoor Attacks for In-Context Learning with Language Models. 2023 预印本。https://arxiv.org/abs/2307.14692</w:t>
      </w:r>
    </w:p>
    <w:p>
      <w:pPr>
        <w:pStyle w:val="Normal"/>
      </w:pPr>
      <w:r>
        <w:t xml:space="preserve">[8] Rathbun E, Amato C, Oprea A. SleeperNets: Universal Backdoor Poisoning Attacks Against Reinforcement Learning Agents. NeurIPS, 2024。https://proceedings.neurips.cc/paper_files/paper/2024/hash/cb03b5108f1c3a38c990ef0b45bc8b31-Abstract-Conference.html</w:t>
      </w:r>
    </w:p>
    <w:p>
      <w:pPr>
        <w:pStyle w:val="Normal"/>
      </w:pPr>
      <w:r>
        <w:t xml:space="preserve">[9] Rathbun E, Oprea A, Amato C. Adversarial Inception Backdoor Attacks against Reinforcement Learning. ICML, 2025。https://proceedings.mlr.press/v267/rathbun25a.html</w:t>
      </w:r>
    </w:p>
    <w:p>
      <w:pPr>
        <w:pStyle w:val="Normal"/>
      </w:pPr>
      <w:r>
        <w:t xml:space="preserve">[10] Greshake K, et al. Not What You've Signed Up For: Compromising Real-World LLM-Integrated Applications with Indirect Prompt Injection. 2023，本报告使用预印本入口。https://arxiv.org/abs/2302.12173</w:t>
      </w:r>
    </w:p>
    <w:p>
      <w:pPr>
        <w:pStyle w:val="Normal"/>
      </w:pPr>
      <w:r>
        <w:t xml:space="preserve">[11] Lewis P, et al. Retrieval-Augmented Generation for Knowledge-Intensive NLP Tasks. NeurIPS, 2020。https://papers.neurips.cc/paper/2020/hash/6b493230205f780e1bc26945df7481e5-Abstract.html</w:t>
      </w:r>
    </w:p>
    <w:p>
      <w:pPr>
        <w:pStyle w:val="Normal"/>
      </w:pPr>
      <w:r>
        <w:t xml:space="preserve">[12] Yao S, et al. ReAct: Synergizing Reasoning and Acting in Language Models. ICLR, 2023。https://openreview.net/forum?id=WE_vluYUL-X</w:t>
      </w:r>
    </w:p>
    <w:p>
      <w:pPr>
        <w:pStyle w:val="Normal"/>
      </w:pPr>
      <w:r>
        <w:t xml:space="preserve">[13] Shinn N, et al. Reflexion: Language Agents with Verbal Reinforcement Learning. NeurIPS, 2023。https://papers.neurips.cc/paper_files/paper/2023/hash/1b44b878bb782e6954cd888628510e90-Abstract-Conference.html</w:t>
      </w:r>
    </w:p>
    <w:p>
      <w:pPr>
        <w:pStyle w:val="Normal"/>
      </w:pPr>
      <w:r>
        <w:t xml:space="preserve">[14] Wang Y, Xue D, Zhang S, Qian S. BadAgent: Inserting and Activating Backdoor Attacks in LLM Agents. ACL, 2024。https://aclanthology.org/2024.acl-long.530/</w:t>
      </w:r>
    </w:p>
    <w:p>
      <w:pPr>
        <w:pStyle w:val="Normal"/>
      </w:pPr>
      <w:r>
        <w:t xml:space="preserve">[15] Xiang Z, et al. BadChain: Backdoor Chain-of-Thought Prompting for Large Language Models. ICLR, 2024。https://proceedings.iclr.cc/paper_files/paper/2024/hash/791d3337291b2c574545aeecfa75484c-Abstract-Conference.html</w:t>
      </w:r>
    </w:p>
    <w:p>
      <w:pPr>
        <w:pStyle w:val="Normal"/>
      </w:pPr>
      <w:r>
        <w:t xml:space="preserve">[16] AgentPoison: Red-teaming LLM Agents via Poisoning Memory or Knowledge Bases. NeurIPS, 2024。https://papers.nips.cc/paper_files/paper/2024/hash/eb113910e9c3f6242541c1652e30dfd6-Abstract-Conference.html</w:t>
      </w:r>
    </w:p>
    <w:p>
      <w:pPr>
        <w:pStyle w:val="Normal"/>
      </w:pPr>
      <w:r>
        <w:t xml:space="preserve">[17] Yang W, Bi X, Lin Y, et al. Watch Out for Your Agents! Investigating Backdoor Threats to LLM-Based Agents. NeurIPS, 2024。https://proceedings.neurips.cc/paper_files/paper/2024/hash/b6e9d6f4f3428cd5f3f9e9bbae2cab10-Abstract-Conference.html</w:t>
      </w:r>
    </w:p>
    <w:p>
      <w:pPr>
        <w:pStyle w:val="Normal"/>
      </w:pPr>
      <w:r>
        <w:t xml:space="preserve">[18] MINJA: Memory Injection Attack on LLM Agents. NeurIPS, 2025。https://proceedings.neurips.cc/paper_files/paper/2025/hash/42a97bbd9844d2bf68596730af80bcdf-Abstract-Conference.html</w:t>
      </w:r>
    </w:p>
    <w:p>
      <w:pPr>
        <w:pStyle w:val="Normal"/>
      </w:pPr>
      <w:r>
        <w:t xml:space="preserve">[19] MemoryGraft: Persistent Compromise of LLM Agents via Poisoned Experience Retrieval. 2025 预印本。https://arxiv.org/abs/2512.16962</w:t>
      </w:r>
    </w:p>
    <w:p>
      <w:pPr>
        <w:pStyle w:val="Normal"/>
      </w:pPr>
      <w:r>
        <w:t xml:space="preserve">[20] MemMorph: Tool Hijacking in LLM Agents via Memory Poisoning. 2026 预印本，页面注明 under review。https://arxiv.org/abs/2605.26154</w:t>
      </w:r>
    </w:p>
    <w:p>
      <w:pPr>
        <w:pStyle w:val="Normal"/>
      </w:pPr>
      <w:r>
        <w:t xml:space="preserve">[21] OEP: Poisoning Self-Evolving LLM Agents via Locally Correct but Non-Transferable Experiences. 2026 预印本。https://arxiv.org/abs/2605.18930</w:t>
      </w:r>
    </w:p>
    <w:p>
      <w:pPr>
        <w:pStyle w:val="Normal"/>
      </w:pPr>
      <w:r>
        <w:t xml:space="preserve">[22] MEMOREPAIR: Barrier-First Cascade Repair in Agentic Memory. 2026 预印本。https://arxiv.org/abs/2605.07242</w:t>
      </w:r>
    </w:p>
    <w:p>
      <w:pPr>
        <w:pStyle w:val="Normal"/>
      </w:pPr>
      <w:r>
        <w:t xml:space="preserve">[23] Securing LLM-Agent Long-Term Memory Against Poisoning: Non-Malleable, Origin-Bound Authority with Machine-Checked Guarantees. 2026 预印本，本文简称 TMA-NM。https://arxiv.org/abs/2606.24322</w:t>
      </w:r>
    </w:p>
    <w:p>
      <w:pPr>
        <w:pStyle w:val="Normal"/>
      </w:pPr>
      <w:r>
        <w:t xml:space="preserve">[24] MemTX: Transactional Belief Commit for Stateful Agent Memory. 2026 预印本。https://arxiv.org/abs/2607.23929</w:t>
      </w:r>
    </w:p>
    <w:p>
      <w:pPr>
        <w:pStyle w:val="Normal"/>
      </w:pPr>
      <w:r>
        <w:t xml:space="preserve">[25] MemSecBench: Tracking Agent Memory Poisoning from Persistence to Consequence and Repair. 2026 预印本。https://arxiv.org/abs/2607.27080</w:t>
      </w:r>
    </w:p>
    <w:p>
      <w:pPr>
        <w:pStyle w:val="Normal"/>
      </w:pPr>
      <w:r>
        <w:t xml:space="preserve">[26] Revoked but Still Authoritative: An Empirical Study of Revocation Enforcement in Agent-Memory Systems. 2026 预印本。https://arxiv.org/abs/2609.08258</w:t>
      </w:r>
    </w:p>
    <w:p>
      <w:pPr>
        <w:pStyle w:val="Normal"/>
      </w:pPr>
      <w:r>
        <w:t xml:space="preserve">[27] Forgetting Without Restarting: Execution-State Unlearning for Stateful LLM Agents. 2026 预印本。https://arxiv.org/abs/2609.04875</w:t>
      </w:r>
    </w:p>
    <w:p>
      <w:pPr>
        <w:pStyle w:val="Normal"/>
      </w:pPr>
      <w:r>
        <w:t xml:space="preserve">[28] Lee D, Tiwari M. Prompt Infection: LLM-to-LLM Prompt Injection within Multi-Agent Systems. 2024 预印本。https://arxiv.org/abs/2410.07283</w:t>
      </w:r>
    </w:p>
    <w:p>
      <w:pPr>
        <w:pStyle w:val="Normal"/>
      </w:pPr>
      <w:r>
        <w:t xml:space="preserve">[29] Flooding Spread of Manipulated Knowledge in LLM-Based Multi-Agent Communities. 2024 预印本。https://arxiv.org/abs/2407.07791</w:t>
      </w:r>
    </w:p>
    <w:p>
      <w:pPr>
        <w:pStyle w:val="Normal"/>
      </w:pPr>
      <w:r>
        <w:t xml:space="preserve">[30] He P, Lin Y, et al. Red-Teaming LLM Multi-Agent Systems via Communication Attacks. Findings of ACL, 2025。https://aclanthology.org/2025.findings-acl.349/</w:t>
      </w:r>
    </w:p>
    <w:p>
      <w:pPr>
        <w:pStyle w:val="Normal"/>
      </w:pPr>
      <w:r>
        <w:t xml:space="preserve">[31] PlanFlip: Attacking Multi-Agent LLM Systems via Planning-Phase Prompt Injection. 2026 预印本；页面日期异常见正文核查说明。https://arxiv.org/abs/2607.16199</w:t>
      </w:r>
    </w:p>
    <w:p>
      <w:pPr>
        <w:pStyle w:val="Normal"/>
      </w:pPr>
      <w:r>
        <w:t xml:space="preserve">[32] InjecAgent: Benchmarking Indirect Prompt Injections in Tool-Integrated Large Language Model Agents. Findings of ACL, 2024。https://aclanthology.org/2024.findings-acl.624/</w:t>
      </w:r>
    </w:p>
    <w:p>
      <w:pPr>
        <w:pStyle w:val="Normal"/>
      </w:pPr>
      <w:r>
        <w:t xml:space="preserve">[33] AgentDojo: A Dynamic Environment to Evaluate Prompt Injection Attacks and Defenses for LLM Agents. NeurIPS Datasets and Benchmarks, 2024。https://proceedings.neurips.cc/paper_files/paper/2024/hash/97091a5177d8dc64b1da8bf3e1f6fb54-Abstract-Datasets_and_Benchmarks_Track.html</w:t>
      </w:r>
    </w:p>
    <w:p>
      <w:pPr>
        <w:pStyle w:val="Normal"/>
      </w:pPr>
      <w:r>
        <w:t xml:space="preserve">[34] MCPTox: A Benchmark for Tool Poisoning on Real-World MCP Servers. AAAI, 2026；2025 年已有预印本。https://ojs.aaai.org/index.php/AAAI/article/view/40895</w:t>
      </w:r>
    </w:p>
    <w:p>
      <w:pPr>
        <w:pStyle w:val="Normal"/>
      </w:pPr>
      <w:r>
        <w:t xml:space="preserve">[35] MCP-ITP: An Automated Framework for Implicit Tool Poisoning in MCP. 2026 预印本。https://arxiv.org/abs/2601.07395</w:t>
      </w:r>
    </w:p>
    <w:p>
      <w:pPr>
        <w:pStyle w:val="Normal"/>
      </w:pPr>
      <w:r>
        <w:t xml:space="preserve">[36] Measuring and Exploiting Implicit Trust in LLM Tool-Calling Pipelines. 2026 预印本，公开披露名 GhostSplice。https://arxiv.org/abs/2609.18217</w:t>
      </w:r>
    </w:p>
    <w:p>
      <w:pPr>
        <w:pStyle w:val="Normal"/>
      </w:pPr>
      <w:r>
        <w:t xml:space="preserve">[37] Feng Y, et al. BackdoorAgent: A Unified Framework for Backdoor Attacks on LLM-based Agents. Findings of ACL, 2026。https://aclanthology.org/2026.findings-acl.791/</w:t>
      </w:r>
    </w:p>
    <w:p>
      <w:pPr>
        <w:pStyle w:val="Normal"/>
      </w:pPr>
      <w:r>
        <w:t xml:space="preserve">[38] Securing the Tool Layer: A Threat Taxonomy and Runtime Defense Framework for Model Context Protocol Deployments. ACL Industry Track, 2026，文中方法 ShieldMCP。https://aclanthology.org/2026.acl-industry.58/</w:t>
      </w:r>
    </w:p>
    <w:p>
      <w:pPr>
        <w:pStyle w:val="Normal"/>
      </w:pPr>
      <w:r>
        <w:t xml:space="preserve">[39] When Agents “Misremember” Collectively: Exploring the Mandela Effect in LLM-based Multi-Agent Systems. 2026，arXiv 页面注明 ICLR 2026。https://arxiv.org/abs/2602.00428</w:t>
      </w:r>
    </w:p>
    <w:p>
      <w:pPr>
        <w:pStyle w:val="Normal"/>
      </w:pPr>
      <w:r>
        <w:t xml:space="preserve">[40] Beyond Memory Majority: Latent-Source Reasoning for Multi-Agent Memory Arbitration. 2026 预印本，方法 CAMA。https://arxiv.org/abs/2608.19701</w:t>
      </w:r>
    </w:p>
    <w:p>
      <w:pPr>
        <w:pStyle w:val="Normal"/>
      </w:pPr>
      <w:r>
        <w:t xml:space="preserve">[41] A Benchmark and Diagnostic Study of Epistemic Admission in Shared Agent Memory. 2026-09-25 预印本，基准 CPB。https://arxiv.org/abs/2609.30813</w:t>
      </w:r>
    </w:p>
    <w:p>
      <w:pPr>
        <w:pStyle w:val="Normal"/>
      </w:pPr>
      <w:r>
        <w:t xml:space="preserve">[42] Silence Is Endorsement: Verification-Status Laundering in LLM Agent Pipelines. 2026 预印本。https://arxiv.org/abs/2609.20211</w:t>
      </w:r>
    </w:p>
    <w:p>
      <w:pPr>
        <w:pStyle w:val="Normal"/>
      </w:pPr>
      <w:r>
        <w:t xml:space="preserve">[43] Authorization Revocation for Long-Running AI Agents: Root-Scoped Quiescence under Delegation and Asynchronous Execution. 2026 预印本。https://arxiv.org/abs/2609.21284</w:t>
      </w:r>
    </w:p>
    <w:p>
      <w:pPr>
        <w:pStyle w:val="Normal"/>
      </w:pPr>
      <w:r>
        <w:t xml:space="preserve">[44] From Approval to Execution: Reconstruction-Aware Repair Analysis for LLM-Agent Software. 2026 预印本。https://arxiv.org/abs/2609.26529</w:t>
      </w:r>
    </w:p>
    <w:p>
      <w:pPr>
        <w:pStyle w:val="Normal"/>
      </w:pPr>
      <w:r>
        <w:t xml:space="preserve">[45] Verified Tool Calls Improve LLM Agent Reliability Under Non-Atomic Failures. 2026 预印本。https://arxiv.org/abs/2608.02645</w:t>
      </w:r>
    </w:p>
    <w:p>
      <w:pPr>
        <w:pStyle w:val="Normal"/>
      </w:pPr>
      <w:r>
        <w:t xml:space="preserve">[46] Microsoft. Using MCP tools with Agents. 官方开发文档，字段消费策略与 Host 保留行为。https://learn.microsoft.com/en-us/agent-framework/agents/tools/local-mcp-tools</w:t>
      </w:r>
    </w:p>
    <w:p>
      <w:pPr>
        <w:pStyle w:val="Normal"/>
      </w:pPr>
      <w:r>
        <w:t xml:space="preserve">[47] Packer C, et al. MemGPT: Towards LLMs as Operating Systems. 2023 预印本。https://arxiv.org/abs/2310.08560</w:t>
      </w:r>
    </w:p>
    <w:p>
      <w:pPr>
        <w:pStyle w:val="Normal"/>
      </w:pPr>
      <w:r>
        <w:t xml:space="preserve">[48] Hubinger E, et al. Sleeper Agents: Training Deceptive LLMs that Persist Through Safety Training. 2024 预印本。https://arxiv.org/abs/2401.05566</w:t>
      </w:r>
    </w:p>
    <w:p>
      <w:pPr>
        <w:pStyle w:val="Normal"/>
      </w:pPr>
      <w:r>
        <w:t xml:space="preserve">[49] Defending Against Indirect Prompt Injection Attacks With Spotlighting. 2024 预印本。https://arxiv.org/abs/2403.14720</w:t>
      </w:r>
    </w:p>
    <w:p>
      <w:pPr>
        <w:pStyle w:val="Normal"/>
      </w:pPr>
      <w:r>
        <w:t xml:space="preserve">[50] Defeating Prompt Injections by Design. 2025 预印本；CaMeL，SaTML 2026 官方日程收录。https://arxiv.org/abs/2503.18813 ；https://satml.org/2026/program/</w:t>
      </w:r>
    </w:p>
    <w:p>
      <w:pPr>
        <w:pStyle w:val="Normal"/>
      </w:pPr>
      <w:r>
        <w:t xml:space="preserve">[51] MCP-Guard: A Multi-Stage Defense-in-Depth Framework for Securing Model Context Protocol in Agentic AI. Findings of ACL, 2026。https://aclanthology.org/2026.findings-acl.240/</w:t>
      </w:r>
    </w:p>
    <w:p>
      <w:pPr>
        <w:pStyle w:val="Normal"/>
      </w:pPr>
      <w:r>
        <w:t xml:space="preserve">[52] MCP-SafetyBench: A Benchmark for Safety Evaluation of Large Language Models with Real-World MCP Servers. ICLR, 2026。https://proceedings.iclr.cc/paper_files/paper/2026/hash/d46f127a80dc58cbc0732a717285c43a-Abstract-Conference.html</w:t>
      </w:r>
    </w:p>
    <w:p>
      <w:pPr>
        <w:pStyle w:val="Normal"/>
      </w:pPr>
      <w:r>
        <w:t xml:space="preserve">[53] Microsoft VS Code. Issue 290063. 官方项目中的 MCP 结果消费差异问题记录；属于实现证据，不是已确认后门攻击论文。https://github.com/microsoft/vscode/issues/290063</w:t>
      </w:r>
    </w:p>
    <w:p>
      <w:pPr>
        <w:pStyle w:val="Normal"/>
      </w:pPr>
      <w:r>
        <w:t xml:space="preserve">[54] From Version Conflicts to Decision Conflicts: Selective Revalidation for Long-Running AI Agents. 2026 预印本。https://arxiv.org/abs/2609.08015</w:t>
      </w:r>
    </w:p>
    <w:p>
      <w:pPr>
        <w:pStyle w:val="Normal"/>
      </w:pPr>
      <w:r>
        <w:t xml:space="preserve">[55] Zombie Agents: Persistent Control of Self-Evolving LLM Agents via Self-Reinforcing Injections. 2026；arXiv 页面注明发表于 Lifelong Agent @ ICLR 2026 Workshop，不是 ICLR 主会论文。https://arxiv.org/abs/2602.15654</w:t>
      </w:r>
    </w:p>
    <w:p>
      <w:pPr>
        <w:pStyle w:val="Normal"/>
      </w:pPr>
      <w:r>
        <w:t xml:space="preserve">[56] Hidden in Memory: Sleeper Memory Poisoning in LLM Agents. 2026 预印本。https://arxiv.org/abs/2605.15338</w:t>
      </w:r>
    </w:p>
    <w:p>
      <w:pPr>
        <w:pStyle w:val="Heading1"/>
      </w:pPr>
      <w:r>
        <w:t xml:space="preserve">附录：可直接复用到开题报告的研究现状综合段落</w:t>
      </w:r>
    </w:p>
    <w:p>
      <w:pPr>
        <w:pStyle w:val="Normal"/>
      </w:pPr>
      <w:r>
        <w:t xml:space="preserve">Agent 后门攻击的研究对象经历了从策略参数到外部运行状态的扩展。早期强化学习工作关注触发条件与序贯行为偏移，后续 LLM Agent 研究则将污染入口延伸到训练轨迹、推理示例和检索记忆。AgentPoison 证明了记忆库污染可以影响 Agent 决策，MINJA 进一步针对直接改库权限较强的问题，研究通过交互诱导 Agent 自行写入污染；MemoryGraft、MemMorph 与 OEP 又分别从经验模仿、工具选择和反思泛化角度揭示了不依赖显式恶意命令的影响路径。[1—3,14—21] 工具侧的 InjecAgent、AgentDojo、MCPTox 体现了从单轮返回内容到动态执行与注册元数据的评测推进；协作侧的 Prompt Infection、AiTM 和 PlanFlip 则分别研究传播、通信操纵和规划阶段污染。[28,30—35]</w:t>
      </w:r>
    </w:p>
    <w:p>
      <w:pPr>
        <w:pStyle w:val="Normal"/>
      </w:pPr>
      <w:r>
        <w:t xml:space="preserve">现有研究已不局限于植入攻击，也开始处理来源绑定、事务提交、撤销执行、派生记忆修复及运行态遗忘。因此，普通的长期记忆投毒、跨 Agent 扩散或删除后残留不足以直接构成新的研究问题。[22—27] 本课题拟进一步考察已有防护边界之间的具体接缝，包括工具结果被不同组件消费形成的持久状态偏移，以及局部修复后由协作方重新导入的错误经验。研究将以低权限威胁模型、跨会话证据和可恢复状态干预为基础，验证问题是否超出现有方法覆盖，并在不训练模型的条件下探索局部运行时防护。上述方向属于待验证假设，最终创新性以最近邻比较与实验结果为依据。</w:t>
      </w:r>
    </w:p>
    <w:sectPr>
      <w:footerReference w:type="default" r:id="rId1"/>
      <w:pgSz w:w="11906" w:h="16838"/>
      <w:pgMar w:top="1440" w:right="1440" w:bottom="1440" w:left="1440" w:header="708" w:footer="708" w:gutter="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styles.xml><?xml version="1.0" encoding="utf-8"?>
<w:styles xmlns:w="http://schemas.openxmlformats.org/wordprocessingml/2006/main">
  <w:docDefaults>
    <w:rPrDefault>
      <w:rPr>
        <w:rFonts w:ascii="Times New Roman" w:eastAsia="SimSun" w:hAnsi="Times New Roman"/>
        <w:sz w:val="24"/>
        <w:szCs w:val="24"/>
      </w:rPr>
    </w:rPrDefault>
  </w:docDefaults>
  <w:style w:type="paragraph" w:default="1" w:styleId="Normal">
    <w:name w:val="Normal"/>
    <w:pPr>
      <w:spacing w:after="120" w:line="360" w:lineRule="auto"/>
      <w:ind w:firstLine="480"/>
    </w:pPr>
    <w:rPr>
      <w:rFonts w:eastAsia="SimSun"/>
      <w:sz w:val="24"/>
    </w:rPr>
  </w:style>
  <w:style w:type="paragraph" w:styleId="Title">
    <w:name w:val="Title"/>
    <w:basedOn w:val="Normal"/>
    <w:pPr>
      <w:jc w:val="center"/>
      <w:spacing w:before="520" w:after="600"/>
      <w:ind w:firstLine="0"/>
    </w:pPr>
    <w:rPr>
      <w:rFonts w:eastAsia="SimHei"/>
      <w:b/>
      <w:sz w:val="36"/>
    </w:rPr>
  </w:style>
  <w:style w:type="paragraph" w:styleId="Heading1">
    <w:name w:val="heading 1"/>
    <w:basedOn w:val="Normal"/>
    <w:pPr>
      <w:keepNext/>
      <w:spacing w:before="360" w:after="180"/>
      <w:ind w:firstLine="0"/>
      <w:outlineLvl w:val="0"/>
    </w:pPr>
    <w:rPr>
      <w:rFonts w:eastAsia="SimHei"/>
      <w:b/>
      <w:sz w:val="32"/>
    </w:rPr>
  </w:style>
  <w:style w:type="paragraph" w:styleId="Heading2">
    <w:name w:val="heading 2"/>
    <w:basedOn w:val="Normal"/>
    <w:pPr>
      <w:keepNext/>
      <w:spacing w:before="260" w:after="140"/>
      <w:ind w:firstLine="0"/>
      <w:outlineLvl w:val="1"/>
    </w:pPr>
    <w:rPr>
      <w:rFonts w:eastAsia="SimHei"/>
      <w:b/>
      <w:sz w:val="28"/>
    </w:rPr>
  </w:style>
  <w:style w:type="paragraph" w:styleId="TableText">
    <w:name w:val="Table Text"/>
    <w:basedOn w:val="Normal"/>
    <w:pPr>
      <w:spacing w:after="0" w:line="300" w:lineRule="auto"/>
      <w:ind w:firstLine="0"/>
    </w:pPr>
    <w:rPr>
      <w:rFonts w:eastAsia="SimSun"/>
      <w:sz w:val="21"/>
    </w:rPr>
  </w:style>
</w:style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Agent 后门攻击研究——硕士学位论文开题报告</dc:title>
  <dc:subject>Agent 推理时后门攻击与防护选题调研</dc:subject>
</cp:coreProperties>
</file>