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硕士学位论文开题调研报告（导师讨论稿）</w:t>
      </w:r>
    </w:p>
    <w:p>
      <w:pPr>
        <w:pStyle w:val="Normal"/>
      </w:pPr>
      <w:r>
        <w:t xml:space="preserve">题目：面向长期运行 Agent 的跨边界后门攻击与推理时防护研究</w:t>
      </w:r>
    </w:p>
    <w:p>
      <w:pPr>
        <w:pStyle w:val="Normal"/>
      </w:pPr>
      <w:r>
        <w:t xml:space="preserve">方向：Agent 后门攻击；文献检索截点：2026 年 9 月 27 日</w:t>
      </w:r>
    </w:p>
    <w:p>
      <w:pPr>
        <w:pStyle w:val="Normal"/>
      </w:pPr>
      <w:r>
        <w:t xml:space="preserve">研究周期：研二上学期；拟形成两篇相互独立的小论文及毕业论文主体素材</w:t>
      </w:r>
    </w:p>
    <w:p>
      <w:pPr>
        <w:pStyle w:val="Heading1"/>
      </w:pPr>
      <w:r>
        <w:br w:type="page"/>
      </w:r>
      <w:r>
        <w:t xml:space="preserve">摘要</w:t>
      </w:r>
    </w:p>
    <w:p>
      <w:pPr>
        <w:pStyle w:val="Normal"/>
      </w:pPr>
      <w:r>
        <w:t xml:space="preserve">本报告按提示、记忆、工具、权限、多 Agent 五层攻击面，以及上一版报告提出的“工具退役后记忆残留”和“修复后再污染”两个交叉方向，共七组研究方向，梳理 2023—2026 年 Agent 后门研究脉络，提出 14 个可供与导师讨论的细分选题。与笼统讨论“记忆投毒”“MCP 注入”不同，各题均限定攻击者控制点、跨越的信任或时间边界、可观察攻击终点和对照实验。报告所称“尚未被直接研究”仅指在本次检索的公开论文及安全研究中，未检索到同时覆盖相同威胁模型、核心机制和评测终点的工作；它不是全球范围的绝对首创证明。所有方案均不依赖大模型训练或微调，使用推理时攻击、规则与元数据防护及可复现实验环境。推荐优先开展“工具退役后的跨工具经验迁移”与“多 Agent 事故修复后的排队消息再污染”，但必须先完成两周小规模预实验和投稿前滚动查新。</w:t>
      </w:r>
    </w:p>
    <w:p>
      <w:pPr>
        <w:pStyle w:val="Normal"/>
      </w:pPr>
      <w:r>
        <w:t xml:space="preserve">关键词：Agent 后门；记忆投毒；MCP 工具安全；多 Agent；提示注入；来源追踪；时序修复</w:t>
      </w:r>
    </w:p>
    <w:p>
      <w:pPr>
        <w:pStyle w:val="Heading1"/>
      </w:pPr>
      <w:r>
        <w:t xml:space="preserve">一、研究背景与意义</w:t>
      </w:r>
    </w:p>
    <w:p>
      <w:pPr>
        <w:pStyle w:val="Normal"/>
      </w:pPr>
      <w:r>
        <w:t xml:space="preserve">Agent 会在任务中读取外部文本、调用工具、生成摘要、保存经验并与其他 Agent 交换结论。低信任内容一旦在摘要、程序性记忆、工具目录或代理间消息中获得不相称的权威，就可能在攻击源消失后继续影响行为。与单轮提示注入相比，Agent 后门的关键特征是“写入—潜伏—触发—执行”的跨阶段链条；研究价值既在于发现新的、可验证的链条，也在于明确何时必须在执行边界阻断，何时需要清理派生状态。</w:t>
      </w:r>
    </w:p>
    <w:p>
      <w:pPr>
        <w:pStyle w:val="Normal"/>
      </w:pPr>
      <w:r>
        <w:t xml:space="preserve">本研究以硕士小论文工作量为约束：每个候选题只引入一个主要新变量或边界，并在虚构任务与模拟工具中验证。权限层候选题将被定义为记忆或提示污染导致的授权错用，而不是泛泛研究权限系统。多 Agent 候选题关注传播和修复的具体路径，而不是构建宏大的通用安全平台。</w:t>
      </w:r>
    </w:p>
    <w:p>
      <w:pPr>
        <w:pStyle w:val="Heading1"/>
      </w:pPr>
      <w:r>
        <w:t xml:space="preserve">二、2023—2026 年国内外研究现状与发展脉络</w:t>
      </w:r>
    </w:p>
    <w:p>
      <w:pPr>
        <w:pStyle w:val="Heading2"/>
      </w:pPr>
      <w:r>
        <w:t xml:space="preserve">2.1 2023 年：外部数据越过指令边界</w:t>
      </w:r>
    </w:p>
    <w:p>
      <w:pPr>
        <w:pStyle w:val="Normal"/>
      </w:pPr>
      <w:r>
        <w:t xml:space="preserve">Greshake 等的间接提示注入研究证明，网页等第三方文本可以改变助手原本的任务执行路径，奠定了“低信任数据被当作高信任指令”的威胁模型[1]。这一阶段主要观察单次会话的行为偏离，持久状态与多主体传播尚非主要评测终点。</w:t>
      </w:r>
    </w:p>
    <w:p>
      <w:pPr>
        <w:pStyle w:val="Heading2"/>
      </w:pPr>
      <w:r>
        <w:t xml:space="preserve">2.2 2024 年：Agent 场景基准与持久记忆攻击出现</w:t>
      </w:r>
    </w:p>
    <w:p>
      <w:pPr>
        <w:pStyle w:val="Normal"/>
      </w:pPr>
      <w:r>
        <w:t xml:space="preserve">INJECAGENT 和 AgentDojo 使工具输出中的间接注入能够被任务化评测[2][3]。AgentPoison 将攻击点推进到长期记忆或知识库的检索环节，展示触发查询与恶意记忆命中之间的联系[4]。Prompt Infection 将恶意指令沿 Agent 间消息扩散，说明单一 Agent 的边界控制不足以覆盖协作场景[5]。因此，“工具输出可以注入”“记忆可以中毒”“Agent 之间可以传播”已不能单独作为新颖性主张。</w:t>
      </w:r>
    </w:p>
    <w:p>
      <w:pPr>
        <w:pStyle w:val="Heading2"/>
      </w:pPr>
      <w:r>
        <w:t xml:space="preserve">2.3 2025 年：低权限写入、经验伪装与 MCP 工具面</w:t>
      </w:r>
    </w:p>
    <w:p>
      <w:pPr>
        <w:pStyle w:val="Normal"/>
      </w:pPr>
      <w:r>
        <w:t xml:space="preserve">MINJA 表明攻击者可通过正常查询间接诱导记忆写入[6]；MemoryGraft 进一步把恶意内容包装成可复用的经验记忆[7]。MCP 相关研究将工具目录、描述和返回值纳入攻击面，MCPTox 与 MCP Security Bench 提供了可参考的分类和任务设置[8][9]。这意味着简单的“写入伪经验”“修改工具描述”与“在返回值夹带命令”均已进入既有文献范围。</w:t>
      </w:r>
    </w:p>
    <w:p>
      <w:pPr>
        <w:pStyle w:val="Heading2"/>
      </w:pPr>
      <w:r>
        <w:t xml:space="preserve">2.4 2026 年：跨阶段组合、状态修复和执行时授权</w:t>
      </w:r>
    </w:p>
    <w:p>
      <w:pPr>
        <w:pStyle w:val="Normal"/>
      </w:pPr>
      <w:r>
        <w:t xml:space="preserve">Zombie Agents、Sleeper Memory Poisoning、MemMorph 与 MemPoison 分别覆盖长期潜伏、休眠触发、工具与记忆联动及多条记忆组合触发[10]—[13]。GhostSplice 已研究跨工具描述、结果等通道拆分载荷；CAMA 针对同一来源形成“虚假多数”；MAPLE-Guard 涉及多 Agent 的私有与共享记忆边界[14]—[16]。MemSecBench、MemTX、Forgetting Without Restarting 和 Revoked but Still Authoritative 已研究记忆修复、事务化提交、选择性回放与撤销事实的检索[17]—[20]。权限研究也从“识别有害文本”转向行动边界：Bounded Agents 与 Beyond Agent Harnesses 指出合法工具动作的组合、委派和外部授权状态需要执行时约束[21][22]。2026 年 9 月 19 日公开的多 Agent 注入论文已汇总 14 类攻击向量和多项边界防御[28]，同期研究开始专门量化记忆防御在正常任务中的效用代价[29]。因此，以下空白须以持续查新为前提。</w:t>
      </w:r>
    </w:p>
    <w:p>
      <w:pPr>
        <w:pStyle w:val="Heading2"/>
      </w:pPr>
      <w:r>
        <w:t xml:space="preserve">2.5 已被占据的粗粒度题目与本报告避让原则</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已有主题</w:t>
            </w:r>
          </w:p>
        </w:tc>
        <w:tc>
          <w:tcPr>
            <w:tcW w:w="3000" w:type="dxa"/>
            <w:shd w:fill="DCE6F1"/>
          </w:tcPr>
          <w:p>
            <w:pPr>
              <w:pStyle w:val="TableText"/>
            </w:pPr>
            <w:r>
              <w:rPr>
                <w:b/>
              </w:rPr>
              <w:t xml:space="preserve">代表工作</w:t>
            </w:r>
          </w:p>
        </w:tc>
        <w:tc>
          <w:tcPr>
            <w:tcW w:w="3000" w:type="dxa"/>
            <w:shd w:fill="DCE6F1"/>
          </w:tcPr>
          <w:p>
            <w:pPr>
              <w:pStyle w:val="TableText"/>
            </w:pPr>
            <w:r>
              <w:rPr>
                <w:b/>
              </w:rPr>
              <w:t xml:space="preserve">本报告避让方式</w:t>
            </w:r>
          </w:p>
        </w:tc>
      </w:tr>
      <w:tr>
        <w:tc>
          <w:tcPr>
            <w:tcW w:w="3000" w:type="dxa"/>
          </w:tcPr>
          <w:p>
            <w:pPr>
              <w:pStyle w:val="TableText"/>
            </w:pPr>
            <w:r>
              <w:t xml:space="preserve">单条或组合记忆的潜伏触发</w:t>
            </w:r>
          </w:p>
        </w:tc>
        <w:tc>
          <w:tcPr>
            <w:tcW w:w="3000" w:type="dxa"/>
          </w:tcPr>
          <w:p>
            <w:pPr>
              <w:pStyle w:val="TableText"/>
            </w:pPr>
            <w:r>
              <w:t xml:space="preserve">AgentPoison、Sleeper Memory Poisoning、MemPoison</w:t>
            </w:r>
          </w:p>
        </w:tc>
        <w:tc>
          <w:tcPr>
            <w:tcW w:w="3000" w:type="dxa"/>
          </w:tcPr>
          <w:p>
            <w:pPr>
              <w:pStyle w:val="TableText"/>
            </w:pPr>
            <w:r>
              <w:t xml:space="preserve">不以“持久”“组合”本身为创新，增加具体的时序、来源或撤销边界</w:t>
            </w:r>
          </w:p>
        </w:tc>
      </w:tr>
      <w:tr>
        <w:tc>
          <w:tcPr>
            <w:tcW w:w="3000" w:type="dxa"/>
          </w:tcPr>
          <w:p>
            <w:pPr>
              <w:pStyle w:val="TableText"/>
            </w:pPr>
            <w:r>
              <w:t xml:space="preserve">MCP 描述、结果协同注入</w:t>
            </w:r>
          </w:p>
        </w:tc>
        <w:tc>
          <w:tcPr>
            <w:tcW w:w="3000" w:type="dxa"/>
          </w:tcPr>
          <w:p>
            <w:pPr>
              <w:pStyle w:val="TableText"/>
            </w:pPr>
            <w:r>
              <w:t xml:space="preserve">MCPTox、GhostSplice</w:t>
            </w:r>
          </w:p>
        </w:tc>
        <w:tc>
          <w:tcPr>
            <w:tcW w:w="3000" w:type="dxa"/>
          </w:tcPr>
          <w:p>
            <w:pPr>
              <w:pStyle w:val="TableText"/>
            </w:pPr>
            <w:r>
              <w:t xml:space="preserve">不重复多通道拼接，考察错误语义、工具版本或退役后的记忆残留</w:t>
            </w:r>
          </w:p>
        </w:tc>
      </w:tr>
      <w:tr>
        <w:tc>
          <w:tcPr>
            <w:tcW w:w="3000" w:type="dxa"/>
          </w:tcPr>
          <w:p>
            <w:pPr>
              <w:pStyle w:val="TableText"/>
            </w:pPr>
            <w:r>
              <w:t xml:space="preserve">同源信息被误当独立背书</w:t>
            </w:r>
          </w:p>
        </w:tc>
        <w:tc>
          <w:tcPr>
            <w:tcW w:w="3000" w:type="dxa"/>
          </w:tcPr>
          <w:p>
            <w:pPr>
              <w:pStyle w:val="TableText"/>
            </w:pPr>
            <w:r>
              <w:t xml:space="preserve">CAMA</w:t>
            </w:r>
          </w:p>
        </w:tc>
        <w:tc>
          <w:tcPr>
            <w:tcW w:w="3000" w:type="dxa"/>
          </w:tcPr>
          <w:p>
            <w:pPr>
              <w:pStyle w:val="TableText"/>
            </w:pPr>
            <w:r>
              <w:t xml:space="preserve">不重复多数投票，转向审查状态、异步到达及事故修复</w:t>
            </w:r>
          </w:p>
        </w:tc>
      </w:tr>
      <w:tr>
        <w:tc>
          <w:tcPr>
            <w:tcW w:w="3000" w:type="dxa"/>
          </w:tcPr>
          <w:p>
            <w:pPr>
              <w:pStyle w:val="TableText"/>
            </w:pPr>
            <w:r>
              <w:t xml:space="preserve">一般来源追踪、记忆删除与回放</w:t>
            </w:r>
          </w:p>
        </w:tc>
        <w:tc>
          <w:tcPr>
            <w:tcW w:w="3000" w:type="dxa"/>
          </w:tcPr>
          <w:p>
            <w:pPr>
              <w:pStyle w:val="TableText"/>
            </w:pPr>
            <w:r>
              <w:t xml:space="preserve">MemLineage、MemTX、Forgetting Without Restarting</w:t>
            </w:r>
          </w:p>
        </w:tc>
        <w:tc>
          <w:tcPr>
            <w:tcW w:w="3000" w:type="dxa"/>
          </w:tcPr>
          <w:p>
            <w:pPr>
              <w:pStyle w:val="TableText"/>
            </w:pPr>
            <w:r>
              <w:t xml:space="preserve">不声称首次提出谱系或回放，仅研究特定生命周期边界的可执行判定</w:t>
            </w:r>
          </w:p>
        </w:tc>
      </w:tr>
      <w:tr>
        <w:tc>
          <w:tcPr>
            <w:tcW w:w="3000" w:type="dxa"/>
          </w:tcPr>
          <w:p>
            <w:pPr>
              <w:pStyle w:val="TableText"/>
            </w:pPr>
            <w:r>
              <w:t xml:space="preserve">一般工具调用前拦截和委派限制</w:t>
            </w:r>
          </w:p>
        </w:tc>
        <w:tc>
          <w:tcPr>
            <w:tcW w:w="3000" w:type="dxa"/>
          </w:tcPr>
          <w:p>
            <w:pPr>
              <w:pStyle w:val="TableText"/>
            </w:pPr>
            <w:r>
              <w:t xml:space="preserve">ShieldMCP、Bounded Agents、Beyond Agent Harnesses</w:t>
            </w:r>
          </w:p>
        </w:tc>
        <w:tc>
          <w:tcPr>
            <w:tcW w:w="3000" w:type="dxa"/>
          </w:tcPr>
          <w:p>
            <w:pPr>
              <w:pStyle w:val="TableText"/>
            </w:pPr>
            <w:r>
              <w:t xml:space="preserve">不开发泛化网关，只比较特定授权凭据与任务/时间范围的错配</w:t>
            </w:r>
          </w:p>
        </w:tc>
      </w:tr>
    </w:tbl>
    <w:p>
      <w:pPr>
        <w:pStyle w:val="Heading1"/>
      </w:pPr>
      <w:r>
        <w:t xml:space="preserve">三、研究目标、查新边界与统一威胁模型</w:t>
      </w:r>
    </w:p>
    <w:p>
      <w:pPr>
        <w:pStyle w:val="Heading2"/>
      </w:pPr>
      <w:r>
        <w:t xml:space="preserve">3.1 总体研究目标</w:t>
      </w:r>
    </w:p>
    <w:p>
      <w:pPr>
        <w:pStyle w:val="Normal"/>
      </w:pPr>
      <w:r>
        <w:t xml:space="preserve">在七组攻击面中识别 14 个可缩小为硕士小论文的后门机制候选，使用同一套事件日志与因果对照设计验证“攻击写入”“后续触发”“越权或偏离动作”三个环节；从中选出两篇工作量均衡、可独立投稿且能汇总为毕业论文的课题。研究对象为推理时运行的 Agent，不修改模型参数。</w:t>
      </w:r>
    </w:p>
    <w:p>
      <w:pPr>
        <w:pStyle w:val="Heading2"/>
      </w:pPr>
      <w:r>
        <w:t xml:space="preserve">3.2 “未做过”的可核查表述</w:t>
      </w:r>
    </w:p>
    <w:p>
      <w:pPr>
        <w:pStyle w:val="Normal"/>
      </w:pPr>
      <w:r>
        <w:t xml:space="preserve">本报告逐项检索 arXiv、ACL Anthology、NeurIPS、AAAI、OpenReview 官方页面及 MCP 相关原始研究，检索组合包括 memory poisoning/revocation/TTL、MCP tool drift/error/retirement、multi-agent queue/reinfection/repair、authorization replay/task scope 等，并逐项与最近论文的摘要和机制比对。只有“攻击者权限＋载荷落点＋跨越边界＋最终动作＋评测条件”五项均相同，才判定为直接撞题；其中一至三项相同则标为相邻研究。该方法只能支持“截至检索日未检索到完全同构工作”，不能证明无人做过，也不能排除尚未公开的论文。正式开题和投稿前，应重新检索题目、作者主页、代码仓库与最新预印本。</w:t>
      </w:r>
    </w:p>
    <w:p>
      <w:pPr>
        <w:pStyle w:val="Heading2"/>
      </w:pPr>
      <w:r>
        <w:t xml:space="preserve">3.3 统一实验与伦理边界</w:t>
      </w:r>
    </w:p>
    <w:p>
      <w:pPr>
        <w:pStyle w:val="Normal"/>
      </w:pPr>
      <w:r>
        <w:t xml:space="preserve">攻击者只能控制指定的低信任网页、文档片段、MCP 返回值、工具描述或一个被授权的低权限 Agent 消息；不得修改系统提示、真实用户请求、受害者模型参数、执行器权限配置或评测器。实验使用虚构工单、模拟文件、测试邮箱和虚拟授权凭据，不触及真实账户、真实数据外发或生产系统。正例需完整记录“载荷可见→状态写入/中转→触发检索→动作执行”，并与移除载荷、替换成无害文本、关闭记忆写入等反事实对照比较。</w:t>
      </w:r>
    </w:p>
    <w:p>
      <w:pPr>
        <w:pStyle w:val="Heading1"/>
      </w:pPr>
      <w:r>
        <w:t xml:space="preserve">四、十四个细分研究方向总览</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1800"/>
        <w:gridCol w:w="1800"/>
        <w:gridCol w:w="1800"/>
        <w:gridCol w:w="1800"/>
        <w:gridCol w:w="1800"/>
      </w:tblGrid>
      <w:tr>
        <w:trPr>
          <w:tblHeader w:val="true"/>
        </w:trPr>
        <w:tc>
          <w:tcPr>
            <w:tcW w:w="1800" w:type="dxa"/>
            <w:shd w:fill="DCE6F1"/>
          </w:tcPr>
          <w:p>
            <w:pPr>
              <w:pStyle w:val="TableText"/>
            </w:pPr>
            <w:r>
              <w:rPr>
                <w:b/>
              </w:rPr>
              <w:t xml:space="preserve">编号与层次</w:t>
            </w:r>
          </w:p>
        </w:tc>
        <w:tc>
          <w:tcPr>
            <w:tcW w:w="1800" w:type="dxa"/>
            <w:shd w:fill="DCE6F1"/>
          </w:tcPr>
          <w:p>
            <w:pPr>
              <w:pStyle w:val="TableText"/>
            </w:pPr>
            <w:r>
              <w:rPr>
                <w:b/>
              </w:rPr>
              <w:t xml:space="preserve">暂定英文题目</w:t>
            </w:r>
          </w:p>
        </w:tc>
        <w:tc>
          <w:tcPr>
            <w:tcW w:w="1800" w:type="dxa"/>
            <w:shd w:fill="DCE6F1"/>
          </w:tcPr>
          <w:p>
            <w:pPr>
              <w:pStyle w:val="TableText"/>
            </w:pPr>
            <w:r>
              <w:rPr>
                <w:b/>
              </w:rPr>
              <w:t xml:space="preserve">拟研究的最窄边界</w:t>
            </w:r>
          </w:p>
        </w:tc>
        <w:tc>
          <w:tcPr>
            <w:tcW w:w="1800" w:type="dxa"/>
            <w:shd w:fill="DCE6F1"/>
          </w:tcPr>
          <w:p>
            <w:pPr>
              <w:pStyle w:val="TableText"/>
            </w:pPr>
            <w:r>
              <w:rPr>
                <w:b/>
              </w:rPr>
              <w:t xml:space="preserve">最近工作及避让点</w:t>
            </w:r>
          </w:p>
        </w:tc>
        <w:tc>
          <w:tcPr>
            <w:tcW w:w="1800" w:type="dxa"/>
            <w:shd w:fill="DCE6F1"/>
          </w:tcPr>
          <w:p>
            <w:pPr>
              <w:pStyle w:val="TableText"/>
            </w:pPr>
            <w:r>
              <w:rPr>
                <w:b/>
              </w:rPr>
              <w:t xml:space="preserve">人周/撞题风险</w:t>
            </w:r>
          </w:p>
        </w:tc>
      </w:tr>
      <w:tr>
        <w:tc>
          <w:tcPr>
            <w:tcW w:w="1800" w:type="dxa"/>
          </w:tcPr>
          <w:p>
            <w:pPr>
              <w:pStyle w:val="TableText"/>
            </w:pPr>
            <w:r>
              <w:t xml:space="preserve">P1 提示</w:t>
            </w:r>
          </w:p>
        </w:tc>
        <w:tc>
          <w:tcPr>
            <w:tcW w:w="1800" w:type="dxa"/>
          </w:tcPr>
          <w:p>
            <w:pPr>
              <w:pStyle w:val="TableText"/>
            </w:pPr>
            <w:r>
              <w:t xml:space="preserve">From Failed Tool Output to Stored Recovery Rule</w:t>
            </w:r>
          </w:p>
        </w:tc>
        <w:tc>
          <w:tcPr>
            <w:tcW w:w="1800" w:type="dxa"/>
          </w:tcPr>
          <w:p>
            <w:pPr>
              <w:pStyle w:val="TableText"/>
            </w:pPr>
            <w:r>
              <w:t xml:space="preserve">失败工具输出被压缩为下一次故障的恢复规则</w:t>
            </w:r>
          </w:p>
        </w:tc>
        <w:tc>
          <w:tcPr>
            <w:tcW w:w="1800" w:type="dxa"/>
          </w:tcPr>
          <w:p>
            <w:pPr>
              <w:pStyle w:val="TableText"/>
            </w:pPr>
            <w:r>
              <w:t xml:space="preserve">INJECAGENT、MemoryGraft；限定错误语义与后续故障</w:t>
            </w:r>
          </w:p>
        </w:tc>
        <w:tc>
          <w:tcPr>
            <w:tcW w:w="1800" w:type="dxa"/>
          </w:tcPr>
          <w:p>
            <w:pPr>
              <w:pStyle w:val="TableText"/>
            </w:pPr>
            <w:r>
              <w:t xml:space="preserve">7–9 / 中</w:t>
            </w:r>
          </w:p>
        </w:tc>
      </w:tr>
      <w:tr>
        <w:tc>
          <w:tcPr>
            <w:tcW w:w="1800" w:type="dxa"/>
          </w:tcPr>
          <w:p>
            <w:pPr>
              <w:pStyle w:val="TableText"/>
            </w:pPr>
            <w:r>
              <w:t xml:space="preserve">P2 提示</w:t>
            </w:r>
          </w:p>
        </w:tc>
        <w:tc>
          <w:tcPr>
            <w:tcW w:w="1800" w:type="dxa"/>
          </w:tcPr>
          <w:p>
            <w:pPr>
              <w:pStyle w:val="TableText"/>
            </w:pPr>
            <w:r>
              <w:t xml:space="preserve">Lost Negation in Agent Handoff Summaries</w:t>
            </w:r>
          </w:p>
        </w:tc>
        <w:tc>
          <w:tcPr>
            <w:tcW w:w="1800" w:type="dxa"/>
          </w:tcPr>
          <w:p>
            <w:pPr>
              <w:pStyle w:val="TableText"/>
            </w:pPr>
            <w:r>
              <w:t xml:space="preserve">外部文本中的否定条件在任务摘要中丢失后激活</w:t>
            </w:r>
          </w:p>
        </w:tc>
        <w:tc>
          <w:tcPr>
            <w:tcW w:w="1800" w:type="dxa"/>
          </w:tcPr>
          <w:p>
            <w:pPr>
              <w:pStyle w:val="TableText"/>
            </w:pPr>
            <w:r>
              <w:t xml:space="preserve">Zombie、MPBench；限定限定词丢失的因果路径</w:t>
            </w:r>
          </w:p>
        </w:tc>
        <w:tc>
          <w:tcPr>
            <w:tcW w:w="1800" w:type="dxa"/>
          </w:tcPr>
          <w:p>
            <w:pPr>
              <w:pStyle w:val="TableText"/>
            </w:pPr>
            <w:r>
              <w:t xml:space="preserve">7–9 / 中高</w:t>
            </w:r>
          </w:p>
        </w:tc>
      </w:tr>
      <w:tr>
        <w:tc>
          <w:tcPr>
            <w:tcW w:w="1800" w:type="dxa"/>
          </w:tcPr>
          <w:p>
            <w:pPr>
              <w:pStyle w:val="TableText"/>
            </w:pPr>
            <w:r>
              <w:t xml:space="preserve">M1 记忆</w:t>
            </w:r>
          </w:p>
        </w:tc>
        <w:tc>
          <w:tcPr>
            <w:tcW w:w="1800" w:type="dxa"/>
          </w:tcPr>
          <w:p>
            <w:pPr>
              <w:pStyle w:val="TableText"/>
            </w:pPr>
            <w:r>
              <w:t xml:space="preserve">Expiry-Laundered Procedural Backdoors</w:t>
            </w:r>
          </w:p>
        </w:tc>
        <w:tc>
          <w:tcPr>
            <w:tcW w:w="1800" w:type="dxa"/>
          </w:tcPr>
          <w:p>
            <w:pPr>
              <w:pStyle w:val="TableText"/>
            </w:pPr>
            <w:r>
              <w:t xml:space="preserve">原始记忆到期而派生程序性记忆仍可执行</w:t>
            </w:r>
          </w:p>
        </w:tc>
        <w:tc>
          <w:tcPr>
            <w:tcW w:w="1800" w:type="dxa"/>
          </w:tcPr>
          <w:p>
            <w:pPr>
              <w:pStyle w:val="TableText"/>
            </w:pPr>
            <w:r>
              <w:t xml:space="preserve">Revoked、Forgetting；限定 TTL 跨代继承</w:t>
            </w:r>
          </w:p>
        </w:tc>
        <w:tc>
          <w:tcPr>
            <w:tcW w:w="1800" w:type="dxa"/>
          </w:tcPr>
          <w:p>
            <w:pPr>
              <w:pStyle w:val="TableText"/>
            </w:pPr>
            <w:r>
              <w:t xml:space="preserve">8–10 / 中</w:t>
            </w:r>
          </w:p>
        </w:tc>
      </w:tr>
      <w:tr>
        <w:tc>
          <w:tcPr>
            <w:tcW w:w="1800" w:type="dxa"/>
          </w:tcPr>
          <w:p>
            <w:pPr>
              <w:pStyle w:val="TableText"/>
            </w:pPr>
            <w:r>
              <w:t xml:space="preserve">M2 记忆</w:t>
            </w:r>
          </w:p>
        </w:tc>
        <w:tc>
          <w:tcPr>
            <w:tcW w:w="1800" w:type="dxa"/>
          </w:tcPr>
          <w:p>
            <w:pPr>
              <w:pStyle w:val="TableText"/>
            </w:pPr>
            <w:r>
              <w:t xml:space="preserve">Split-Store Recall of Revoked Instructions</w:t>
            </w:r>
          </w:p>
        </w:tc>
        <w:tc>
          <w:tcPr>
            <w:tcW w:w="1800" w:type="dxa"/>
          </w:tcPr>
          <w:p>
            <w:pPr>
              <w:pStyle w:val="TableText"/>
            </w:pPr>
            <w:r>
              <w:t xml:space="preserve">结构化记录撤销后，向量与摘要双副本仍命中</w:t>
            </w:r>
          </w:p>
        </w:tc>
        <w:tc>
          <w:tcPr>
            <w:tcW w:w="1800" w:type="dxa"/>
          </w:tcPr>
          <w:p>
            <w:pPr>
              <w:pStyle w:val="TableText"/>
            </w:pPr>
            <w:r>
              <w:t xml:space="preserve">Revoked；限定双存储不一致及动作终点</w:t>
            </w:r>
          </w:p>
        </w:tc>
        <w:tc>
          <w:tcPr>
            <w:tcW w:w="1800" w:type="dxa"/>
          </w:tcPr>
          <w:p>
            <w:pPr>
              <w:pStyle w:val="TableText"/>
            </w:pPr>
            <w:r>
              <w:t xml:space="preserve">8–10 / 中高</w:t>
            </w:r>
          </w:p>
        </w:tc>
      </w:tr>
      <w:tr>
        <w:tc>
          <w:tcPr>
            <w:tcW w:w="1800" w:type="dxa"/>
          </w:tcPr>
          <w:p>
            <w:pPr>
              <w:pStyle w:val="TableText"/>
            </w:pPr>
            <w:r>
              <w:t xml:space="preserve">T1 工具</w:t>
            </w:r>
          </w:p>
        </w:tc>
        <w:tc>
          <w:tcPr>
            <w:tcW w:w="1800" w:type="dxa"/>
          </w:tcPr>
          <w:p>
            <w:pPr>
              <w:pStyle w:val="TableText"/>
            </w:pPr>
            <w:r>
              <w:t xml:space="preserve">Error-Envelope Poisoning in MCP Agents</w:t>
            </w:r>
          </w:p>
        </w:tc>
        <w:tc>
          <w:tcPr>
            <w:tcW w:w="1800" w:type="dxa"/>
          </w:tcPr>
          <w:p>
            <w:pPr>
              <w:pStyle w:val="TableText"/>
            </w:pPr>
            <w:r>
              <w:t xml:space="preserve">MCP 错误标志与正文冲突，错误恢复步骤被持久化</w:t>
            </w:r>
          </w:p>
        </w:tc>
        <w:tc>
          <w:tcPr>
            <w:tcW w:w="1800" w:type="dxa"/>
          </w:tcPr>
          <w:p>
            <w:pPr>
              <w:pStyle w:val="TableText"/>
            </w:pPr>
            <w:r>
              <w:t xml:space="preserve">MCPTox、GhostSplice；限定协议错误封套</w:t>
            </w:r>
          </w:p>
        </w:tc>
        <w:tc>
          <w:tcPr>
            <w:tcW w:w="1800" w:type="dxa"/>
          </w:tcPr>
          <w:p>
            <w:pPr>
              <w:pStyle w:val="TableText"/>
            </w:pPr>
            <w:r>
              <w:t xml:space="preserve">7–9 / 中</w:t>
            </w:r>
          </w:p>
        </w:tc>
      </w:tr>
      <w:tr>
        <w:tc>
          <w:tcPr>
            <w:tcW w:w="1800" w:type="dxa"/>
          </w:tcPr>
          <w:p>
            <w:pPr>
              <w:pStyle w:val="TableText"/>
            </w:pPr>
            <w:r>
              <w:t xml:space="preserve">T2 工具</w:t>
            </w:r>
          </w:p>
        </w:tc>
        <w:tc>
          <w:tcPr>
            <w:tcW w:w="1800" w:type="dxa"/>
          </w:tcPr>
          <w:p>
            <w:pPr>
              <w:pStyle w:val="TableText"/>
            </w:pPr>
            <w:r>
              <w:t xml:space="preserve">Benign Schema Drift Activates Poisoned Plans</w:t>
            </w:r>
          </w:p>
        </w:tc>
        <w:tc>
          <w:tcPr>
            <w:tcW w:w="1800" w:type="dxa"/>
          </w:tcPr>
          <w:p>
            <w:pPr>
              <w:pStyle w:val="TableText"/>
            </w:pPr>
            <w:r>
              <w:t xml:space="preserve">工具默认值正常演化，旧污染计划变成有效错误调用</w:t>
            </w:r>
          </w:p>
        </w:tc>
        <w:tc>
          <w:tcPr>
            <w:tcW w:w="1800" w:type="dxa"/>
          </w:tcPr>
          <w:p>
            <w:pPr>
              <w:pStyle w:val="TableText"/>
            </w:pPr>
            <w:r>
              <w:t xml:space="preserve">ETDI、MCP 漂移研究；限定版本语义与记忆交互</w:t>
            </w:r>
          </w:p>
        </w:tc>
        <w:tc>
          <w:tcPr>
            <w:tcW w:w="1800" w:type="dxa"/>
          </w:tcPr>
          <w:p>
            <w:pPr>
              <w:pStyle w:val="TableText"/>
            </w:pPr>
            <w:r>
              <w:t xml:space="preserve">8–10 / 中</w:t>
            </w:r>
          </w:p>
        </w:tc>
      </w:tr>
      <w:tr>
        <w:tc>
          <w:tcPr>
            <w:tcW w:w="1800" w:type="dxa"/>
          </w:tcPr>
          <w:p>
            <w:pPr>
              <w:pStyle w:val="TableText"/>
            </w:pPr>
            <w:r>
              <w:t xml:space="preserve">Q1 权限</w:t>
            </w:r>
          </w:p>
        </w:tc>
        <w:tc>
          <w:tcPr>
            <w:tcW w:w="1800" w:type="dxa"/>
          </w:tcPr>
          <w:p>
            <w:pPr>
              <w:pStyle w:val="TableText"/>
            </w:pPr>
            <w:r>
              <w:t xml:space="preserve">Task-Scoped Approval Replay via Agent Memory</w:t>
            </w:r>
          </w:p>
        </w:tc>
        <w:tc>
          <w:tcPr>
            <w:tcW w:w="1800" w:type="dxa"/>
          </w:tcPr>
          <w:p>
            <w:pPr>
              <w:pStyle w:val="TableText"/>
            </w:pPr>
            <w:r>
              <w:t xml:space="preserve">旧任务批准凭据被摘要化后跨任务复用</w:t>
            </w:r>
          </w:p>
        </w:tc>
        <w:tc>
          <w:tcPr>
            <w:tcW w:w="1800" w:type="dxa"/>
          </w:tcPr>
          <w:p>
            <w:pPr>
              <w:pStyle w:val="TableText"/>
            </w:pPr>
            <w:r>
              <w:t xml:space="preserve">Bounded Agents、跨基质授权；限定真实批准的范围漂移</w:t>
            </w:r>
          </w:p>
        </w:tc>
        <w:tc>
          <w:tcPr>
            <w:tcW w:w="1800" w:type="dxa"/>
          </w:tcPr>
          <w:p>
            <w:pPr>
              <w:pStyle w:val="TableText"/>
            </w:pPr>
            <w:r>
              <w:t xml:space="preserve">8–10 / 中高</w:t>
            </w:r>
          </w:p>
        </w:tc>
      </w:tr>
      <w:tr>
        <w:tc>
          <w:tcPr>
            <w:tcW w:w="1800" w:type="dxa"/>
          </w:tcPr>
          <w:p>
            <w:pPr>
              <w:pStyle w:val="TableText"/>
            </w:pPr>
            <w:r>
              <w:t xml:space="preserve">Q2 权限</w:t>
            </w:r>
          </w:p>
        </w:tc>
        <w:tc>
          <w:tcPr>
            <w:tcW w:w="1800" w:type="dxa"/>
          </w:tcPr>
          <w:p>
            <w:pPr>
              <w:pStyle w:val="TableText"/>
            </w:pPr>
            <w:r>
              <w:t xml:space="preserve">Quota-Splitting Backdoors Across Sessions</w:t>
            </w:r>
          </w:p>
        </w:tc>
        <w:tc>
          <w:tcPr>
            <w:tcW w:w="1800" w:type="dxa"/>
          </w:tcPr>
          <w:p>
            <w:pPr>
              <w:pStyle w:val="TableText"/>
            </w:pPr>
            <w:r>
              <w:t xml:space="preserve">跨会话记忆诱导拆分动作，单次允许但累计超预算</w:t>
            </w:r>
          </w:p>
        </w:tc>
        <w:tc>
          <w:tcPr>
            <w:tcW w:w="1800" w:type="dxa"/>
          </w:tcPr>
          <w:p>
            <w:pPr>
              <w:pStyle w:val="TableText"/>
            </w:pPr>
            <w:r>
              <w:t xml:space="preserve">Bounded Agents；限定跨会话累计授权</w:t>
            </w:r>
          </w:p>
        </w:tc>
        <w:tc>
          <w:tcPr>
            <w:tcW w:w="1800" w:type="dxa"/>
          </w:tcPr>
          <w:p>
            <w:pPr>
              <w:pStyle w:val="TableText"/>
            </w:pPr>
            <w:r>
              <w:t xml:space="preserve">8–10 / 中高</w:t>
            </w:r>
          </w:p>
        </w:tc>
      </w:tr>
      <w:tr>
        <w:tc>
          <w:tcPr>
            <w:tcW w:w="1800" w:type="dxa"/>
          </w:tcPr>
          <w:p>
            <w:pPr>
              <w:pStyle w:val="TableText"/>
            </w:pPr>
            <w:r>
              <w:t xml:space="preserve">G1 多 Agent</w:t>
            </w:r>
          </w:p>
        </w:tc>
        <w:tc>
          <w:tcPr>
            <w:tcW w:w="1800" w:type="dxa"/>
          </w:tcPr>
          <w:p>
            <w:pPr>
              <w:pStyle w:val="TableText"/>
            </w:pPr>
            <w:r>
              <w:t xml:space="preserve">Reviewer-Verdict Downgrade in Shared Memory</w:t>
            </w:r>
          </w:p>
        </w:tc>
        <w:tc>
          <w:tcPr>
            <w:tcW w:w="1800" w:type="dxa"/>
          </w:tcPr>
          <w:p>
            <w:pPr>
              <w:pStyle w:val="TableText"/>
            </w:pPr>
            <w:r>
              <w:t xml:space="preserve">审查意见的“有条件通过”被共享摘要误写为“通过”</w:t>
            </w:r>
          </w:p>
        </w:tc>
        <w:tc>
          <w:tcPr>
            <w:tcW w:w="1800" w:type="dxa"/>
          </w:tcPr>
          <w:p>
            <w:pPr>
              <w:pStyle w:val="TableText"/>
            </w:pPr>
            <w:r>
              <w:t xml:space="preserve">PlanFlip、MAPLE-Guard；限定审查状态机</w:t>
            </w:r>
          </w:p>
        </w:tc>
        <w:tc>
          <w:tcPr>
            <w:tcW w:w="1800" w:type="dxa"/>
          </w:tcPr>
          <w:p>
            <w:pPr>
              <w:pStyle w:val="TableText"/>
            </w:pPr>
            <w:r>
              <w:t xml:space="preserve">8–10 / 中</w:t>
            </w:r>
          </w:p>
        </w:tc>
      </w:tr>
      <w:tr>
        <w:tc>
          <w:tcPr>
            <w:tcW w:w="1800" w:type="dxa"/>
          </w:tcPr>
          <w:p>
            <w:pPr>
              <w:pStyle w:val="TableText"/>
            </w:pPr>
            <w:r>
              <w:t xml:space="preserve">G2 多 Agent</w:t>
            </w:r>
          </w:p>
        </w:tc>
        <w:tc>
          <w:tcPr>
            <w:tcW w:w="1800" w:type="dxa"/>
          </w:tcPr>
          <w:p>
            <w:pPr>
              <w:pStyle w:val="TableText"/>
            </w:pPr>
            <w:r>
              <w:t xml:space="preserve">Delayed Dissent in Agent Quorums</w:t>
            </w:r>
          </w:p>
        </w:tc>
        <w:tc>
          <w:tcPr>
            <w:tcW w:w="1800" w:type="dxa"/>
          </w:tcPr>
          <w:p>
            <w:pPr>
              <w:pStyle w:val="TableText"/>
            </w:pPr>
            <w:r>
              <w:t xml:space="preserve">被污染的先到消息促成提交，反对证据晚到</w:t>
            </w:r>
          </w:p>
        </w:tc>
        <w:tc>
          <w:tcPr>
            <w:tcW w:w="1800" w:type="dxa"/>
          </w:tcPr>
          <w:p>
            <w:pPr>
              <w:pStyle w:val="TableText"/>
            </w:pPr>
            <w:r>
              <w:t xml:space="preserve">CAMA、并发异常研究；限定提交前时间窗</w:t>
            </w:r>
          </w:p>
        </w:tc>
        <w:tc>
          <w:tcPr>
            <w:tcW w:w="1800" w:type="dxa"/>
          </w:tcPr>
          <w:p>
            <w:pPr>
              <w:pStyle w:val="TableText"/>
            </w:pPr>
            <w:r>
              <w:t xml:space="preserve">8–10 / 中高</w:t>
            </w:r>
          </w:p>
        </w:tc>
      </w:tr>
      <w:tr>
        <w:tc>
          <w:tcPr>
            <w:tcW w:w="1800" w:type="dxa"/>
          </w:tcPr>
          <w:p>
            <w:pPr>
              <w:pStyle w:val="TableText"/>
            </w:pPr>
            <w:r>
              <w:t xml:space="preserve">L1 退役残留</w:t>
            </w:r>
          </w:p>
        </w:tc>
        <w:tc>
          <w:tcPr>
            <w:tcW w:w="1800" w:type="dxa"/>
          </w:tcPr>
          <w:p>
            <w:pPr>
              <w:pStyle w:val="TableText"/>
            </w:pPr>
            <w:r>
              <w:t xml:space="preserve">Retired-Tool Experience Transfer Backdoors</w:t>
            </w:r>
          </w:p>
        </w:tc>
        <w:tc>
          <w:tcPr>
            <w:tcW w:w="1800" w:type="dxa"/>
          </w:tcPr>
          <w:p>
            <w:pPr>
              <w:pStyle w:val="TableText"/>
            </w:pPr>
            <w:r>
              <w:t xml:space="preserve">恶意工具消失后，经验记忆迁移到另一合法工具</w:t>
            </w:r>
          </w:p>
        </w:tc>
        <w:tc>
          <w:tcPr>
            <w:tcW w:w="1800" w:type="dxa"/>
          </w:tcPr>
          <w:p>
            <w:pPr>
              <w:pStyle w:val="TableText"/>
            </w:pPr>
            <w:r>
              <w:t xml:space="preserve">MemMorph、GhostSplice；限定退役后跨工具执行</w:t>
            </w:r>
          </w:p>
        </w:tc>
        <w:tc>
          <w:tcPr>
            <w:tcW w:w="1800" w:type="dxa"/>
          </w:tcPr>
          <w:p>
            <w:pPr>
              <w:pStyle w:val="TableText"/>
            </w:pPr>
            <w:r>
              <w:t xml:space="preserve">8–10 / 中</w:t>
            </w:r>
          </w:p>
        </w:tc>
      </w:tr>
      <w:tr>
        <w:tc>
          <w:tcPr>
            <w:tcW w:w="1800" w:type="dxa"/>
          </w:tcPr>
          <w:p>
            <w:pPr>
              <w:pStyle w:val="TableText"/>
            </w:pPr>
            <w:r>
              <w:t xml:space="preserve">L2 退役残留</w:t>
            </w:r>
          </w:p>
        </w:tc>
        <w:tc>
          <w:tcPr>
            <w:tcW w:w="1800" w:type="dxa"/>
          </w:tcPr>
          <w:p>
            <w:pPr>
              <w:pStyle w:val="TableText"/>
            </w:pPr>
            <w:r>
              <w:t xml:space="preserve">Version-Bound Memory Invalidation for Tool Retirement</w:t>
            </w:r>
          </w:p>
        </w:tc>
        <w:tc>
          <w:tcPr>
            <w:tcW w:w="1800" w:type="dxa"/>
          </w:tcPr>
          <w:p>
            <w:pPr>
              <w:pStyle w:val="TableText"/>
            </w:pPr>
            <w:r>
              <w:t xml:space="preserve">工具退役时只失效依赖旧工具语义的派生经验</w:t>
            </w:r>
          </w:p>
        </w:tc>
        <w:tc>
          <w:tcPr>
            <w:tcW w:w="1800" w:type="dxa"/>
          </w:tcPr>
          <w:p>
            <w:pPr>
              <w:pStyle w:val="TableText"/>
            </w:pPr>
            <w:r>
              <w:t xml:space="preserve">MemTX、选择性回放；限定工具身份/版本依赖</w:t>
            </w:r>
          </w:p>
        </w:tc>
        <w:tc>
          <w:tcPr>
            <w:tcW w:w="1800" w:type="dxa"/>
          </w:tcPr>
          <w:p>
            <w:pPr>
              <w:pStyle w:val="TableText"/>
            </w:pPr>
            <w:r>
              <w:t xml:space="preserve">8–10 / 中</w:t>
            </w:r>
          </w:p>
        </w:tc>
      </w:tr>
      <w:tr>
        <w:tc>
          <w:tcPr>
            <w:tcW w:w="1800" w:type="dxa"/>
          </w:tcPr>
          <w:p>
            <w:pPr>
              <w:pStyle w:val="TableText"/>
            </w:pPr>
            <w:r>
              <w:t xml:space="preserve">R1 修复再污染</w:t>
            </w:r>
          </w:p>
        </w:tc>
        <w:tc>
          <w:tcPr>
            <w:tcW w:w="1800" w:type="dxa"/>
          </w:tcPr>
          <w:p>
            <w:pPr>
              <w:pStyle w:val="TableText"/>
            </w:pPr>
            <w:r>
              <w:t xml:space="preserve">Queued-Message Reinfection after Agent Repair</w:t>
            </w:r>
          </w:p>
        </w:tc>
        <w:tc>
          <w:tcPr>
            <w:tcW w:w="1800" w:type="dxa"/>
          </w:tcPr>
          <w:p>
            <w:pPr>
              <w:pStyle w:val="TableText"/>
            </w:pPr>
            <w:r>
              <w:t xml:space="preserve">清理私有/共享记忆后，事故前排队消息再写入</w:t>
            </w:r>
          </w:p>
        </w:tc>
        <w:tc>
          <w:tcPr>
            <w:tcW w:w="1800" w:type="dxa"/>
          </w:tcPr>
          <w:p>
            <w:pPr>
              <w:pStyle w:val="TableText"/>
            </w:pPr>
            <w:r>
              <w:t xml:space="preserve">MAPLE-Guard、MemTX；限定修复后的队列重放</w:t>
            </w:r>
          </w:p>
        </w:tc>
        <w:tc>
          <w:tcPr>
            <w:tcW w:w="1800" w:type="dxa"/>
          </w:tcPr>
          <w:p>
            <w:pPr>
              <w:pStyle w:val="TableText"/>
            </w:pPr>
            <w:r>
              <w:t xml:space="preserve">8–10 / 中</w:t>
            </w:r>
          </w:p>
        </w:tc>
      </w:tr>
      <w:tr>
        <w:tc>
          <w:tcPr>
            <w:tcW w:w="1800" w:type="dxa"/>
          </w:tcPr>
          <w:p>
            <w:pPr>
              <w:pStyle w:val="TableText"/>
            </w:pPr>
            <w:r>
              <w:t xml:space="preserve">R2 修复再污染</w:t>
            </w:r>
          </w:p>
        </w:tc>
        <w:tc>
          <w:tcPr>
            <w:tcW w:w="1800" w:type="dxa"/>
          </w:tcPr>
          <w:p>
            <w:pPr>
              <w:pStyle w:val="TableText"/>
            </w:pPr>
            <w:r>
              <w:t xml:space="preserve">Repair-Epoch Barriers for Multi-Agent Memory</w:t>
            </w:r>
          </w:p>
        </w:tc>
        <w:tc>
          <w:tcPr>
            <w:tcW w:w="1800" w:type="dxa"/>
          </w:tcPr>
          <w:p>
            <w:pPr>
              <w:pStyle w:val="TableText"/>
            </w:pPr>
            <w:r>
              <w:t xml:space="preserve">以修复代际阻断旧消息二次入库，同时保留正常任务</w:t>
            </w:r>
          </w:p>
        </w:tc>
        <w:tc>
          <w:tcPr>
            <w:tcW w:w="1800" w:type="dxa"/>
          </w:tcPr>
          <w:p>
            <w:pPr>
              <w:pStyle w:val="TableText"/>
            </w:pPr>
            <w:r>
              <w:t xml:space="preserve">MemSecBench、并发异常研究；限定安全事故代际</w:t>
            </w:r>
          </w:p>
        </w:tc>
        <w:tc>
          <w:tcPr>
            <w:tcW w:w="1800" w:type="dxa"/>
          </w:tcPr>
          <w:p>
            <w:pPr>
              <w:pStyle w:val="TableText"/>
            </w:pPr>
            <w:r>
              <w:t xml:space="preserve">8–10 / 中</w:t>
            </w:r>
          </w:p>
        </w:tc>
      </w:tr>
    </w:tbl>
    <w:p>
      <w:pPr>
        <w:pStyle w:val="Normal"/>
      </w:pPr>
      <w:r>
        <w:t xml:space="preserve">人周为单人净工作量估计，含复现、实现、实验、统计和初稿，不含课程与论文审稿时间。“中高”表示相邻论文较多，须先做差异矩阵；此表中的英文题目均为暂定，不能充当新颖性证明。</w:t>
      </w:r>
    </w:p>
    <w:p>
      <w:pPr>
        <w:pStyle w:val="Heading1"/>
      </w:pPr>
      <w:r>
        <w:t xml:space="preserve">五、分方向开题材料与实验方案</w:t>
      </w:r>
    </w:p>
    <w:p>
      <w:pPr>
        <w:pStyle w:val="Heading2"/>
      </w:pPr>
      <w:r>
        <w:t xml:space="preserve">5.1 P1：故障输出转化为长期恢复规则的提示—记忆后门</w:t>
      </w:r>
    </w:p>
    <w:p>
      <w:pPr>
        <w:pStyle w:val="Normal"/>
      </w:pPr>
      <w:r>
        <w:t xml:space="preserve">【研究背景与国内外现状】INJECAGENT 已证明工具返回值可携带间接提示注入[2]，MemoryGraft 证明“过往成功经验”可成为持久攻击载体[7]。目前未检索到专门以 MCP/普通工具的失败响应为唯一攻击入口、以随后另一场真实故障的恢复决策为触发终点的同构研究。研究缺口是失败内容为何更易被摘要成可复用规则，以及错误标志和错误正文不一致时风险如何变化。</w:t>
      </w:r>
    </w:p>
    <w:p>
      <w:pPr>
        <w:pStyle w:val="Normal"/>
      </w:pPr>
      <w:r>
        <w:t xml:space="preserve">【研究目标与威胁模型】攻击者只改写一次低信任工具失败正文或状态说明，不能改变真实工具执行结果、用户指令和后续故障；目标是让 Agent 在之后遇到同类故障时执行错误的“恢复步骤”。适合攻防结合：攻击侧量化规则污染，防御侧对故障来源和批准状态作写入校验。</w:t>
      </w:r>
    </w:p>
    <w:p>
      <w:pPr>
        <w:pStyle w:val="Normal"/>
      </w:pPr>
      <w:r>
        <w:t xml:space="preserve">【关键科学问题与技术路线】区分“读到错误文本”“写入恢复经验”“在新故障时采纳经验”三阶段；用同一任务模板构造真实故障与伪故障对照。建立 25—40 个任务模板，操纵错误码、正文可信度、相隔会话数和摘要轮次。比较无记忆、普通关键词过滤、来源标签写入限制、状态码/正文一致性门控。指标为写入率、延迟攻击成功率（ASR）、正常故障恢复成功率（TSR）、误报率和潜伏会话数。基准可改造 INJECAGENT/AgentDojo 的工具任务；实现可用 Eino 与本地模拟工具，不必使用完整 MCP。</w:t>
      </w:r>
    </w:p>
    <w:p>
      <w:pPr>
        <w:pStyle w:val="Normal"/>
      </w:pPr>
      <w:r>
        <w:t xml:space="preserve">【创新点、预期成果与风险】拟贡献故障转经验的可归因攻击链、错误封套与正文冲突的对照集、写入时一致性防护。预期形成独立小论文、测试集与日志分析脚本。主要风险是现有框架默认不自动保存故障经验，需明确实验系统具备正常经验写入功能，避免为攻击专门添加不合理配置。暂定英文题目见总览表；与[2][7][9]比较。工作量 7—9 人周。</w:t>
      </w:r>
    </w:p>
    <w:p>
      <w:pPr>
        <w:pStyle w:val="Heading2"/>
      </w:pPr>
      <w:r>
        <w:t xml:space="preserve">5.2 P2：否定限定词在跨阶段摘要中丢失的延迟后门</w:t>
      </w:r>
    </w:p>
    <w:p>
      <w:pPr>
        <w:pStyle w:val="Normal"/>
      </w:pPr>
      <w:r>
        <w:t xml:space="preserve">【研究背景与国内外现状】Zombie Agents 和 MPBench 已显示跨会话状态可延续攻击[10][23]，但本题将攻击限定为外部文本中含“尚未批准/只供测试/不可执行”等真实否定条件，后续摘要将其删除，导致原本应无效的动作在另一任务中被执行。该现象与一般记忆投毒相邻，是否有独立发表价值依赖对“否定丢失”稳定性的因果证据。</w:t>
      </w:r>
    </w:p>
    <w:p>
      <w:pPr>
        <w:pStyle w:val="Normal"/>
      </w:pPr>
      <w:r>
        <w:t xml:space="preserve">【研究目标与威胁模型】攻击者只能提供待阅读材料中的一段含歧义或诱导性说明，不能伪造用户批准；评估正常任务压缩摘要后否定约束是否保留。属性为攻击与防御结合，防御限定为关键否定字段的结构化保留与执行前核对。</w:t>
      </w:r>
    </w:p>
    <w:p>
      <w:pPr>
        <w:pStyle w:val="Normal"/>
      </w:pPr>
      <w:r>
        <w:t xml:space="preserve">【关键科学问题与技术路线】构造“批准/待批准”“生产/测试”“有效/已撤销”成对样本，保持实体和任务相同；在 1、2、4 次摘要后触发后续行动。可复用 AgentDojo 的任务骨架，自建 30 组最小对照；Eino 实现摘要和记忆调用。指标为否定保留率、错误执行率、正常摘要任务完成率与防御附加开销。比较原文直传、普通摘要、结构化字段摘要与来源校验。主要消融是限定词位置、语言形式和压缩比例。</w:t>
      </w:r>
    </w:p>
    <w:p>
      <w:pPr>
        <w:pStyle w:val="Normal"/>
      </w:pPr>
      <w:r>
        <w:t xml:space="preserve">【创新点、预期成果与风险】拟贡献否定限定词丢失的可控测试集、跨摘要因果证据、低成本结构化保留策略。工作量 7—9 人周；风险为现象可能被通用摘要错误解释，必须证明其与后门的写入—触发链有明确区别。与[10][23]直接比较，撞题风险中高。</w:t>
      </w:r>
    </w:p>
    <w:p>
      <w:pPr>
        <w:pStyle w:val="Heading2"/>
      </w:pPr>
      <w:r>
        <w:t xml:space="preserve">5.3 M1：记忆到期后的派生程序性后门</w:t>
      </w:r>
    </w:p>
    <w:p>
      <w:pPr>
        <w:pStyle w:val="Normal"/>
      </w:pPr>
      <w:r>
        <w:t xml:space="preserve">【研究背景与国内外现状】Sleeper Memory Poisoning 研究潜伏记忆[11]，Revoked but Still Authoritative 研究撤销事实仍被检索[20]，Forgetting Without Restarting 研究跨层回放[19]。本题进一步限定“原始条目依法/按策略到期，但由其生成的程序性记忆没有继承到期时间”，重点不是一般删除失败，而是生存期元数据在记忆派生中丢失。</w:t>
      </w:r>
    </w:p>
    <w:p>
      <w:pPr>
        <w:pStyle w:val="Normal"/>
      </w:pPr>
      <w:r>
        <w:t xml:space="preserve">【研究目标与威胁模型】攻击者可短期污染一个会自动到期的外部证据条目，不能直接写长期程序性记忆；目标是在源记录到期且不再检索后，仍诱导错误工具动作。防御研究为派生记忆赋予来源有效期的交集或最短生存期。</w:t>
      </w:r>
    </w:p>
    <w:p>
      <w:pPr>
        <w:pStyle w:val="Normal"/>
      </w:pPr>
      <w:r>
        <w:t xml:space="preserve">【关键科学问题与技术路线】设置来源 TTL、派生次数与触发间隔三轴；构造事件日志证明污染源已过期、派生规则仍在、动作发生。用 AgentPoison/MPBench 记忆任务改造 30—50 例；Eino 和记忆数据库即可。基线为仅删除源记录、检索时过滤过期源、MemTX 式事务提交、派生有效期继承。指标为到期后 ASR、有效任务 TSR、误删率、有效期传播正确率和存储开销。工作量 8—10 人周。</w:t>
      </w:r>
    </w:p>
    <w:p>
      <w:pPr>
        <w:pStyle w:val="Normal"/>
      </w:pPr>
      <w:r>
        <w:t xml:space="preserve">【创新点、预期成果与风险】拟贡献 TTL 派生链威胁模型、到期后执行测试集、轻量级有效期传播规则。风险是现有记忆库可能不生成程序性派生，需选具有真实派生流程的开源框架，且不能把人工复制记录冒充自然产生。与[11][19][20]区分。</w:t>
      </w:r>
    </w:p>
    <w:p>
      <w:pPr>
        <w:pStyle w:val="Heading2"/>
      </w:pPr>
      <w:r>
        <w:t xml:space="preserve">5.4 M2：结构化记忆撤销后双存储副本仍被召回</w:t>
      </w:r>
    </w:p>
    <w:p>
      <w:pPr>
        <w:pStyle w:val="Normal"/>
      </w:pPr>
      <w:r>
        <w:t xml:space="preserve">【研究背景与国内外现状】Revoked but Still Authoritative 已研究撤销标记在记忆后端检索时失效[20]，因此本题不能再声称首次发现“撤销无效”。拟聚焦同一污染信息同时存在于结构化事实库、向量索引和摘要缓存时，一处撤销却保留其他副本，且副本标识不同导致常规撤销门控失灵。</w:t>
      </w:r>
    </w:p>
    <w:p>
      <w:pPr>
        <w:pStyle w:val="Normal"/>
      </w:pPr>
      <w:r>
        <w:t xml:space="preserve">【研究目标与威胁模型】攻击者仅通过普通低信任输入使同一错误规则被不同记忆层自然派生，不接触数据库；防御建立跨副本来源 ID 与检索阶段的联合失效映射。研究属性以防御和评测为主。</w:t>
      </w:r>
    </w:p>
    <w:p>
      <w:pPr>
        <w:pStyle w:val="Normal"/>
      </w:pPr>
      <w:r>
        <w:t xml:space="preserve">【关键科学问题与技术路线】自建 20—30 个多存储任务，分别执行单层撤销、全局撤销与来源映射撤销；检查被召回的文本及最终工具动作。比较[20]的记录级撤销拦截、全库清空和本题跨副本映射。指标为残留召回率、撤销后 ASR、正常召回率、误删率和额外检索延迟。可使用 Eino、轻量向量库与键值存储；无需 MCP。工作量 8—10 人周。</w:t>
      </w:r>
    </w:p>
    <w:p>
      <w:pPr>
        <w:pStyle w:val="Normal"/>
      </w:pPr>
      <w:r>
        <w:t xml:space="preserve">【创新点、预期成果与风险】拟贡献双存储残留的明确复现条件、跨副本源 ID 结构、保留正常记忆的失效算法。撞题风险中高；如果复现发现[20]的防护已覆盖自然生成副本，则不建议独立投稿，应并入 M1 或 L2。</w:t>
      </w:r>
    </w:p>
    <w:p>
      <w:pPr>
        <w:pStyle w:val="Heading2"/>
      </w:pPr>
      <w:r>
        <w:t xml:space="preserve">5.5 T1：MCP 错误封套与正文冲突引发的持久后门</w:t>
      </w:r>
    </w:p>
    <w:p>
      <w:pPr>
        <w:pStyle w:val="Normal"/>
      </w:pPr>
      <w:r>
        <w:t xml:space="preserve">【研究背景与国内外现状】MCPTox、MCP Security Bench 和 GhostSplice 已覆盖工具描述/结果投毒及跨通道分片[8][9][14]。本题仅操纵 MCP `isError` 与正文、结构化结果之间的语义冲突：例如真实失败被正文写成“已执行，后续必须按某规则补救”，再由 Agent 储存为经验。新颖性不在普通返回值注入，而在协议错误封套与后续经验更新的相互作用。</w:t>
      </w:r>
    </w:p>
    <w:p>
      <w:pPr>
        <w:pStyle w:val="Normal"/>
      </w:pPr>
      <w:r>
        <w:t xml:space="preserve">【研究目标与威胁模型】攻击者控制一个被调用的低信任 MCP 服务返回体，但不能修改 MCP 客户端、用户请求或其他服务。比较 `isError=true/false`、正文声明成功/失败、结构化字段与纯文本四种组合。属性为攻防结合。</w:t>
      </w:r>
    </w:p>
    <w:p>
      <w:pPr>
        <w:pStyle w:val="Normal"/>
      </w:pPr>
      <w:r>
        <w:t xml:space="preserve">【关键科学问题与技术路线】本地 MCP 服务实现可复现的错误/成功封套，逐次记录客户端解释、记忆写入和下一任务动作。取 MCPTox/MCP Security Bench 的任务类型作为对照，新增 24—36 组最小配对样本；Eino 对接本地 MCP。基线为正文关键词过滤、只看协议标志、只看正文、字段一致性门控。指标为错误解释率、记忆污染率、延迟 ASR、正常错误处理 TSR 和门控 FPR。工作量 7—9 人周。</w:t>
      </w:r>
    </w:p>
    <w:p>
      <w:pPr>
        <w:pStyle w:val="Normal"/>
      </w:pPr>
      <w:r>
        <w:t xml:space="preserve">【创新点、预期成果与风险】拟贡献协议封套冲突矩阵、由失败响应到后门行为的因果链、低成本一致性检验。风险是不同 MCP 客户端对错误响应的处理差异较大，应固定客户端版本并报告兼容性限制。与[8][9][14]区分。</w:t>
      </w:r>
    </w:p>
    <w:p>
      <w:pPr>
        <w:pStyle w:val="Heading2"/>
      </w:pPr>
      <w:r>
        <w:t xml:space="preserve">5.6 T2：正常工具模式漂移激活旧污染计划</w:t>
      </w:r>
    </w:p>
    <w:p>
      <w:pPr>
        <w:pStyle w:val="Normal"/>
      </w:pPr>
      <w:r>
        <w:t xml:space="preserve">【研究背景与国内外现状】MCP 描述漂移与动态工具定义本身已被研究，不能宣称首次发现版本变化风险[24][25]。本题研究更窄的交叉：攻击者早期污染 Agent 的程序性计划；随后工具升级发生合法默认参数、枚举值或字段语义变化，使过去不可执行或无害的计划变成语法有效但业务错误的调用。</w:t>
      </w:r>
    </w:p>
    <w:p>
      <w:pPr>
        <w:pStyle w:val="Normal"/>
      </w:pPr>
      <w:r>
        <w:t xml:space="preserve">【研究目标与威胁模型】攻击者只能在旧版本时期污染低信任工具结果或文档，不能控制升级和新工具代码；新版本由实验者模拟合法更新。目标是衡量“记忆计划 × 正常模式变化”的交互作用。防御为调用前比对计划生成时的工具契约版本。</w:t>
      </w:r>
    </w:p>
    <w:p>
      <w:pPr>
        <w:pStyle w:val="Normal"/>
      </w:pPr>
      <w:r>
        <w:t xml:space="preserve">【关键科学问题与技术路线】为 6—8 种工具设计 v1/v2 合法契约和 30 个任务，形成四组：无污染/有污染 × 不升级/升级。Eino＋本地 MCP 足够。基线为工具契约固定、静态描述校验、仅记忆来源过滤、版本绑定计划。指标为交互项 ASR、正常升级任务 TSR、版本错配检出率和误阻断率。工作量 8—10 人周。</w:t>
      </w:r>
    </w:p>
    <w:p>
      <w:pPr>
        <w:pStyle w:val="Normal"/>
      </w:pPr>
      <w:r>
        <w:t xml:space="preserve">【创新点、预期成果与风险】拟贡献版本漂移与记忆污染的因子实验、版本绑定的程序性记忆、正常升级兼容性量化。风险是若安全后果完全由升级自身导致而无需污染记忆，论文主题会偏离后门；必须报告四组交互效应。与[14][24][25]比较。</w:t>
      </w:r>
    </w:p>
    <w:p>
      <w:pPr>
        <w:pStyle w:val="Heading2"/>
      </w:pPr>
      <w:r>
        <w:t xml:space="preserve">5.7 Q1：真实批准凭据跨任务复用的记忆后门</w:t>
      </w:r>
    </w:p>
    <w:p>
      <w:pPr>
        <w:pStyle w:val="Normal"/>
      </w:pPr>
      <w:r>
        <w:t xml:space="preserve">【研究背景与国内外现状】Bounded Agents 和 Beyond Agent Harnesses 已说明委派范围、执行时外部授权状态的重要性[21][22]。本题不研究伪造批准，而研究一次真实批准在摘要/记忆中被剥离任务 ID 与有效期后，被后续低信任文本引用为另一个任务的授权依据；最后是否越权以执行器的任务范围判定为准。</w:t>
      </w:r>
    </w:p>
    <w:p>
      <w:pPr>
        <w:pStyle w:val="Normal"/>
      </w:pPr>
      <w:r>
        <w:t xml:space="preserve">【研究目标与威胁模型】攻击者仅能在外部任务材料中加入“沿用上次批准”的诱导语句，不能修改批准服务或凭据。防御把授权收据与任务、主体、动作、有效期绑定，并在动作边界校验。</w:t>
      </w:r>
    </w:p>
    <w:p>
      <w:pPr>
        <w:pStyle w:val="Normal"/>
      </w:pPr>
      <w:r>
        <w:t xml:space="preserve">【关键科学问题与技术路线】构造 20—30 组相似任务，先提供合法批准 A，再诱导任务 B 复用 A；比较无摘要、普通摘要、带范围字段的摘要。以 AgentDojo 式模拟工具或本地 Eino 工作流进行，动作由测试执行器拦截。指标为跨任务错误执行率、合法批准通过率、凭据范围缺失率与误阻断率。基线包括普通提示拒绝、记忆记录级来源标签与[21][22]式执行时约束。工作量 8—10 人周。</w:t>
      </w:r>
    </w:p>
    <w:p>
      <w:pPr>
        <w:pStyle w:val="Normal"/>
      </w:pPr>
      <w:r>
        <w:t xml:space="preserve">【创新点、预期成果与风险】拟贡献“真实批准被摘要洗白”而非伪造批准的威胁模型、任务范围对照集、轻量绑定防御。撞题风险中高；若[21][22]的公开实现已直接覆盖同样样本，本题只能做复现或工程评估，不能作为新小论文。</w:t>
      </w:r>
    </w:p>
    <w:p>
      <w:pPr>
        <w:pStyle w:val="Heading2"/>
      </w:pPr>
      <w:r>
        <w:t xml:space="preserve">5.8 Q2：跨会话累计额度被拆分动作消耗的后门</w:t>
      </w:r>
    </w:p>
    <w:p>
      <w:pPr>
        <w:pStyle w:val="Normal"/>
      </w:pPr>
      <w:r>
        <w:t xml:space="preserve">【研究背景与国内外现状】Bounded Agents 已研究“单个动作允许、组合结果有害”[21]。本题把组合边界收窄到跨会话预算：污染记忆鼓励把同一资源变更拆成数次看似合法的动作，在分会话授权检查下累计越过用户为同一任务设置的总额度。</w:t>
      </w:r>
    </w:p>
    <w:p>
      <w:pPr>
        <w:pStyle w:val="Normal"/>
      </w:pPr>
      <w:r>
        <w:t xml:space="preserve">【研究目标与威胁模型】攻击者只能影响计划记忆或外部工单文本，不能改写真实预算服务；执行器可读取可信任务 ID 与累计使用量。研究属性为攻击与防御结合。</w:t>
      </w:r>
    </w:p>
    <w:p>
      <w:pPr>
        <w:pStyle w:val="Normal"/>
      </w:pPr>
      <w:r>
        <w:t xml:space="preserve">【关键科学问题与技术路线】以虚构资源配额、测试文件写入额度和模拟 API 调用次数设计 25—40 个任务，至少 2 次会话后评估。比较逐动作许可、会话内累计和任务级累计三种门控；用 Eino 和本地数据库即可。指标为累计超额率、正常多会话任务 TSR、漏报率、误报率和预算记账开销。消融任务 ID 保留率、会话间隔和计划拆分数。工作量 8—10 人周。</w:t>
      </w:r>
    </w:p>
    <w:p>
      <w:pPr>
        <w:pStyle w:val="Normal"/>
      </w:pPr>
      <w:r>
        <w:t xml:space="preserve">【创新点、预期成果与风险】拟贡献后门计划推动的跨会话预算拆分基准、任务级累计执行控制、对正常分步任务的损失评估。风险是与一般访问控制研究交界较近，必须证明低信任污染与持久计划是必要条件，而非普通业务逻辑 bug。</w:t>
      </w:r>
    </w:p>
    <w:p>
      <w:pPr>
        <w:pStyle w:val="Heading2"/>
      </w:pPr>
      <w:r>
        <w:t xml:space="preserve">5.9 G1：多 Agent 审查意见的状态降级传播</w:t>
      </w:r>
    </w:p>
    <w:p>
      <w:pPr>
        <w:pStyle w:val="Normal"/>
      </w:pPr>
      <w:r>
        <w:t xml:space="preserve">【研究背景与国内外现状】Prompt Infection 已研究消息传播[5]，PlanFlip 涉及计划修改与审查缺陷[26]，MAPLE-Guard 研究多 Agent 记忆门控[16]。本题关注受害系统中“有条件通过”“需补充证据”“驳回”等审查状态被协调者摘要为简单“通过”，随后共享记忆向其他 Agent 扩散。并非再次证明多 Agent 可以传播恶意文本。</w:t>
      </w:r>
    </w:p>
    <w:p>
      <w:pPr>
        <w:pStyle w:val="Normal"/>
      </w:pPr>
      <w:r>
        <w:t xml:space="preserve">【研究目标与威胁模型】攻击者控制一个低权限 Agent 可阅读的待审材料或消息内容，不能控制审查者最终状态字段；目标是在协调者摘要中让状态被错误升级。防御为状态机约束与带来源的审查字段传递。</w:t>
      </w:r>
    </w:p>
    <w:p>
      <w:pPr>
        <w:pStyle w:val="Normal"/>
      </w:pPr>
      <w:r>
        <w:t xml:space="preserve">【关键科学问题与技术路线】设审查 Agent、协调 Agent、执行 Agent 三角色；构造 30 个任务，每个任务有已通过/附条件/驳回配对。记录状态字段、摘要文本、共享记忆和最终动作；可用 Eino 多 Agent 流程。基线为纯文本汇总、源消息重读、独立复核、结构化状态机。指标为状态升级率、传播跳数、最终错误执行率、正常任务吞吐与 FPR。工作量 8—10 人周。</w:t>
      </w:r>
    </w:p>
    <w:p>
      <w:pPr>
        <w:pStyle w:val="Normal"/>
      </w:pPr>
      <w:r>
        <w:t xml:space="preserve">【创新点、预期成果与风险】拟贡献审查状态降级链条、三角色可复现基准、结构化状态传递。风险是常规状态机可能完全解决问题，论文需要通过真实摘要变体、误报和性能损失展示实证价值。与[5][16][26]区分。</w:t>
      </w:r>
    </w:p>
    <w:p>
      <w:pPr>
        <w:pStyle w:val="Heading2"/>
      </w:pPr>
      <w:r>
        <w:t xml:space="preserve">5.10 G2：异步多 Agent 仲裁中反对证据迟到的后门</w:t>
      </w:r>
    </w:p>
    <w:p>
      <w:pPr>
        <w:pStyle w:val="Normal"/>
      </w:pPr>
      <w:r>
        <w:t xml:space="preserve">【研究背景与国内外现状】CAMA 已讨论错误记忆形成的虚假多数[15]，并发异常研究涉及异步 Agent 的因果和时序问题[27]。本题限定攻击者只控制一条低信任上游消息，使其较早被摘要/投票，而真实反对证据在提交动作之后才到达；评价要点是“提交前等待条件”而非多数投票本身。</w:t>
      </w:r>
    </w:p>
    <w:p>
      <w:pPr>
        <w:pStyle w:val="Normal"/>
      </w:pPr>
      <w:r>
        <w:t xml:space="preserve">【研究目标与威胁模型】攻击者不能操纵调度器或篡改其他 Agent 消息，只能控制一条被读取的文本，使某个分支提前给出肯定结论。防御建立证据完整性水位线和提交前必要票据清单。</w:t>
      </w:r>
    </w:p>
    <w:p>
      <w:pPr>
        <w:pStyle w:val="Normal"/>
      </w:pPr>
      <w:r>
        <w:t xml:space="preserve">【关键科学问题与技术路线】使用三至四 Agent 的 Eino 异步工作流，构造 20—30 个多源核验任务，系统性改变反对证据延迟、超时和消息顺序。比较固定超时、先到先决、全量等待、必要证据清单。指标为错误提交率、等待时延、合法完成率、迟到证据占比及资源开销。工作量 8—10 人周。</w:t>
      </w:r>
    </w:p>
    <w:p>
      <w:pPr>
        <w:pStyle w:val="Normal"/>
      </w:pPr>
      <w:r>
        <w:t xml:space="preserve">【创新点、预期成果与风险】拟贡献后门与异步仲裁窗口的交互评测、证据水位线、时延—安全权衡。撞题风险中高；必须与[27]的并发异常分类逐项比对，若其已覆盖同型攻击，则不建议单投。</w:t>
      </w:r>
    </w:p>
    <w:p>
      <w:pPr>
        <w:pStyle w:val="Heading2"/>
      </w:pPr>
      <w:r>
        <w:t xml:space="preserve">5.11 L1：恶意工具退役后的跨工具经验迁移后门</w:t>
      </w:r>
    </w:p>
    <w:p>
      <w:pPr>
        <w:pStyle w:val="Normal"/>
      </w:pPr>
      <w:r>
        <w:t xml:space="preserve">【研究背景与国内外现状】MemMorph 研究工具与记忆相互作用[12]，GhostSplice 已研究跨工具通道注入[14]；现有研究通常在恶意工具仍在系统中或讨论即时利用。本题要求恶意 MCP 工具在攻击后被彻底移除或恢复为可信版本，后续由另一个未被攻击者控制的合法工具执行错误动作，因果媒介仅为先前形成的程序性经验记忆。</w:t>
      </w:r>
    </w:p>
    <w:p>
      <w:pPr>
        <w:pStyle w:val="Normal"/>
      </w:pPr>
      <w:r>
        <w:t xml:space="preserve">【研究目标与威胁模型】攻击者短时控制一个 MCP 工具的描述或返回值，不能控制目标合法工具、工具退役操作、受害者后续请求或记忆库的直接写入。防御可作为对照，但论文主贡献是明确此类生命周期残留的存在条件与迁移规律。</w:t>
      </w:r>
    </w:p>
    <w:p>
      <w:pPr>
        <w:pStyle w:val="Normal"/>
      </w:pPr>
      <w:r>
        <w:t xml:space="preserve">【关键科学问题与技术路线】设置工具 A（污染）、工具 B（合法且功能部分相似）；进行污染任务、确认证据写入、移除 A、触发新任务并观察 B 的调用。30—50 个模板配对四组：无攻击/有攻击 × A 保留/A 退役，并加入无记忆与删除经验对照。Eino＋本地 MCP 可复现。指标为退役后 ASR、跨工具迁移率、TSR、记忆命中率、误触发率；消融工具相似度、摘要次数和退役方式。比较 MemoryGraft、MemMorph、GhostSplice 型载荷和静态工具投毒。工作量 8—10 人周。</w:t>
      </w:r>
    </w:p>
    <w:p>
      <w:pPr>
        <w:pStyle w:val="Normal"/>
      </w:pPr>
      <w:r>
        <w:t xml:space="preserve">【创新点、预期成果与风险】拟贡献“攻击源已移除”这一严格时间边界的攻击链、跨工具迁移基准、经验来源与工具身份的因果分析。风险是跨工具执行率可能较低，应先完成 10 个模板预实验；若现象只在刻意设定的同名工具中出现，独立价值不足。</w:t>
      </w:r>
    </w:p>
    <w:p>
      <w:pPr>
        <w:pStyle w:val="Heading2"/>
      </w:pPr>
      <w:r>
        <w:t xml:space="preserve">5.12 L2：工具退役时的版本绑定记忆失效策略</w:t>
      </w:r>
    </w:p>
    <w:p>
      <w:pPr>
        <w:pStyle w:val="Normal"/>
      </w:pPr>
      <w:r>
        <w:t xml:space="preserve">【研究背景与国内外现状】MemTX 和选择性回放已讨论派生记忆的提交及清理[18][19]，MCP 漂移研究讨论工具目录变化[24][25]。本题只处理“工具 A 退役，A 所派生经验被工具 B 继续调用”的条件，以工具身份、契约版本和派生关系决定失效范围，同时保留与 A 无关的有用经验。</w:t>
      </w:r>
    </w:p>
    <w:p>
      <w:pPr>
        <w:pStyle w:val="Normal"/>
      </w:pPr>
      <w:r>
        <w:t xml:space="preserve">【研究目标与威胁模型】攻击设定沿用 L1，但本课题的独立贡献是防御策略。防御只能读取普通执行日志、工具契约和记忆元数据，不能访问模型内部状态，也不需要训练检测器。</w:t>
      </w:r>
    </w:p>
    <w:p>
      <w:pPr>
        <w:pStyle w:val="Normal"/>
      </w:pPr>
      <w:r>
        <w:t xml:space="preserve">【关键科学问题与技术路线】构造经验来源图：工具调用→观察→摘要→经验→未来行动；在退役事件发生时标记依赖 A 的经验，读取时检验版本兼容性。比较全库清空、仅删除直接 A 记录、通用来源过滤、MemTX 式修复和本题策略。指标为退役后 ASR 降幅、正常任务 TSR、误删率、追踪覆盖率和每次查询延迟。用 L1 数据之外的独立测试任务做防御验证，避免两篇论文数据完全重合。工作量 8—10 人周。</w:t>
      </w:r>
    </w:p>
    <w:p>
      <w:pPr>
        <w:pStyle w:val="Normal"/>
      </w:pPr>
      <w:r>
        <w:t xml:space="preserve">【创新点、预期成果与风险】拟贡献工具生命周期与程序性记忆的显式依赖、最小失效集合、效用损失评测。风险是全量来源日志成本和不完整谱系，需增加只保留直接父节点的轻量版本。与[18][19][24]区分。</w:t>
      </w:r>
    </w:p>
    <w:p>
      <w:pPr>
        <w:pStyle w:val="Heading2"/>
      </w:pPr>
      <w:r>
        <w:t xml:space="preserve">5.13 R1：修复后排队消息导致多 Agent 再污染</w:t>
      </w:r>
    </w:p>
    <w:p>
      <w:pPr>
        <w:pStyle w:val="Normal"/>
      </w:pPr>
      <w:r>
        <w:t xml:space="preserve">【研究背景与国内外现状】MAPLE-Guard 已提出多 Agent 记忆隔离/门控[16]，MemSecBench、MemTX 研究污染后的修复[17][18]。本题限定事故处理已正确清理当时可见的私有与共享记忆，但事故前生成、尚未消费的合法队列消息仍含派生污染；修复完成后消息被消费并重新写入共享记忆。新颖性在“修复已成功”和“排队消息晚到”的组合。</w:t>
      </w:r>
    </w:p>
    <w:p>
      <w:pPr>
        <w:pStyle w:val="Normal"/>
      </w:pPr>
      <w:r>
        <w:t xml:space="preserve">【研究目标与威胁模型】攻击者最初只控制一个低信任输入或低权限 Agent 消息，不能在修复完成后追加载荷，也不能直接修改队列。防御目标是在不中断正常任务的情况下阻断旧污染消息重入。</w:t>
      </w:r>
    </w:p>
    <w:p>
      <w:pPr>
        <w:pStyle w:val="Normal"/>
      </w:pPr>
      <w:r>
        <w:t xml:space="preserve">【关键科学问题与技术路线】三至四 Agent、私有/共享记忆与模拟异步队列，构造 25—40 个任务；在污染链形成后执行清理，分别让消息在清理前/中/后到达。对照全局重启、只删记忆、队列全清空、来源标记门控。指标为修复后再污染率、最终 ASR、正常任务完成率、队列丢弃率、恢复时间；消融谱系缺失比例、队列延迟和传播跳数。Eino 与本地消息队列即可。工作量 8—10 人周。</w:t>
      </w:r>
    </w:p>
    <w:p>
      <w:pPr>
        <w:pStyle w:val="Normal"/>
      </w:pPr>
      <w:r>
        <w:t xml:space="preserve">【创新点、预期成果与风险】拟贡献可重演的事故修复时间线、排队消息再污染基准、缺失谱系下的危害上界。风险是如果消息在清理时全部自动取消，现象不会发生；需选择本来就允许异步任务继续执行的合理架构，并明确此适用范围。与[16]—[19][27]区分。</w:t>
      </w:r>
    </w:p>
    <w:p>
      <w:pPr>
        <w:pStyle w:val="Heading2"/>
      </w:pPr>
      <w:r>
        <w:t xml:space="preserve">5.14 R2：以修复代际阻断旧消息再入库的推理时防护</w:t>
      </w:r>
    </w:p>
    <w:p>
      <w:pPr>
        <w:pStyle w:val="Normal"/>
      </w:pPr>
      <w:r>
        <w:t xml:space="preserve">【研究背景与国内外现状】MemSecBench、MemTX 与执行状态选择性回放已经研究事后修复[17]—[19]；并发异常研究讨论异步消息次序[27]。本题不再做通用回放，而是在检测到污染并完成修复时推进安全代际，要求之后入库的消息携带与当前代际兼容的来源戳；对不完整来源链采取待复核而非直接信任。</w:t>
      </w:r>
    </w:p>
    <w:p>
      <w:pPr>
        <w:pStyle w:val="Normal"/>
      </w:pPr>
      <w:r>
        <w:t xml:space="preserve">【研究目标与威胁模型】攻击设定沿用 R1，防御插入在消息消费与记忆写入之间；不训练模型，不重启全部 Agent。核心是最小化正常消息被误隔离的比例。</w:t>
      </w:r>
    </w:p>
    <w:p>
      <w:pPr>
        <w:pStyle w:val="Normal"/>
      </w:pPr>
      <w:r>
        <w:t xml:space="preserve">【关键科学问题与技术路线】为消息记录生成时刻、父消息和来源等级；修复发生后按代际和来源相容性决定放行、隔离或重算。比较队列全清、全部放行、只看时间戳、完整谱系重放以及本题代际门控。指标为再污染阻断率、正常消息保留率、恢复延迟、误隔离率和元数据开销。R1 的攻击集用于开发，另建 15—20 个正常异步任务用于盲测。工作量 8—10 人周。</w:t>
      </w:r>
    </w:p>
    <w:p>
      <w:pPr>
        <w:pStyle w:val="Normal"/>
      </w:pPr>
      <w:r>
        <w:t xml:space="preserve">【创新点、预期成果与风险】拟贡献安全事故代际语义、来源缺失时的保守放行/隔离策略、恢复效率对比。风险是代际门控可能把合法旧任务一并丢弃；论文必须把效用、延迟与安全三者同时报告。与[17]—[19][27]比较。</w:t>
      </w:r>
    </w:p>
    <w:p>
      <w:pPr>
        <w:pStyle w:val="Heading1"/>
      </w:pPr>
      <w:r>
        <w:t xml:space="preserve">六、候选题查重结论、优先级与淘汰条件</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2250"/>
        <w:gridCol w:w="2250"/>
        <w:gridCol w:w="2250"/>
        <w:gridCol w:w="2250"/>
      </w:tblGrid>
      <w:tr>
        <w:trPr>
          <w:tblHeader w:val="true"/>
        </w:trPr>
        <w:tc>
          <w:tcPr>
            <w:tcW w:w="2250" w:type="dxa"/>
            <w:shd w:fill="DCE6F1"/>
          </w:tcPr>
          <w:p>
            <w:pPr>
              <w:pStyle w:val="TableText"/>
            </w:pPr>
            <w:r>
              <w:rPr>
                <w:b/>
              </w:rPr>
              <w:t xml:space="preserve">优先级</w:t>
            </w:r>
          </w:p>
        </w:tc>
        <w:tc>
          <w:tcPr>
            <w:tcW w:w="2250" w:type="dxa"/>
            <w:shd w:fill="DCE6F1"/>
          </w:tcPr>
          <w:p>
            <w:pPr>
              <w:pStyle w:val="TableText"/>
            </w:pPr>
            <w:r>
              <w:rPr>
                <w:b/>
              </w:rPr>
              <w:t xml:space="preserve">候选</w:t>
            </w:r>
          </w:p>
        </w:tc>
        <w:tc>
          <w:tcPr>
            <w:tcW w:w="2250" w:type="dxa"/>
            <w:shd w:fill="DCE6F1"/>
          </w:tcPr>
          <w:p>
            <w:pPr>
              <w:pStyle w:val="TableText"/>
            </w:pPr>
            <w:r>
              <w:rPr>
                <w:b/>
              </w:rPr>
              <w:t xml:space="preserve">建议</w:t>
            </w:r>
          </w:p>
        </w:tc>
        <w:tc>
          <w:tcPr>
            <w:tcW w:w="2250" w:type="dxa"/>
            <w:shd w:fill="DCE6F1"/>
          </w:tcPr>
          <w:p>
            <w:pPr>
              <w:pStyle w:val="TableText"/>
            </w:pPr>
            <w:r>
              <w:rPr>
                <w:b/>
              </w:rPr>
              <w:t xml:space="preserve">关键理由/淘汰条件</w:t>
            </w:r>
          </w:p>
        </w:tc>
      </w:tr>
      <w:tr>
        <w:tc>
          <w:tcPr>
            <w:tcW w:w="2250" w:type="dxa"/>
          </w:tcPr>
          <w:p>
            <w:pPr>
              <w:pStyle w:val="TableText"/>
            </w:pPr>
            <w:r>
              <w:t xml:space="preserve">第一梯队</w:t>
            </w:r>
          </w:p>
        </w:tc>
        <w:tc>
          <w:tcPr>
            <w:tcW w:w="2250" w:type="dxa"/>
          </w:tcPr>
          <w:p>
            <w:pPr>
              <w:pStyle w:val="TableText"/>
            </w:pPr>
            <w:r>
              <w:t xml:space="preserve">L1、R1、T1、M1</w:t>
            </w:r>
          </w:p>
        </w:tc>
        <w:tc>
          <w:tcPr>
            <w:tcW w:w="2250" w:type="dxa"/>
          </w:tcPr>
          <w:p>
            <w:pPr>
              <w:pStyle w:val="TableText"/>
            </w:pPr>
            <w:r>
              <w:t xml:space="preserve">优先做两周预实验</w:t>
            </w:r>
          </w:p>
        </w:tc>
        <w:tc>
          <w:tcPr>
            <w:tcW w:w="2250" w:type="dxa"/>
          </w:tcPr>
          <w:p>
            <w:pPr>
              <w:pStyle w:val="TableText"/>
            </w:pPr>
            <w:r>
              <w:t xml:space="preserve">威胁模型清楚、状态边界可记录、与最近论文有可陈述的机制差异</w:t>
            </w:r>
          </w:p>
        </w:tc>
      </w:tr>
      <w:tr>
        <w:tc>
          <w:tcPr>
            <w:tcW w:w="2250" w:type="dxa"/>
          </w:tcPr>
          <w:p>
            <w:pPr>
              <w:pStyle w:val="TableText"/>
            </w:pPr>
            <w:r>
              <w:t xml:space="preserve">第二梯队</w:t>
            </w:r>
          </w:p>
        </w:tc>
        <w:tc>
          <w:tcPr>
            <w:tcW w:w="2250" w:type="dxa"/>
          </w:tcPr>
          <w:p>
            <w:pPr>
              <w:pStyle w:val="TableText"/>
            </w:pPr>
            <w:r>
              <w:t xml:space="preserve">L2、R2、T2、G1</w:t>
            </w:r>
          </w:p>
        </w:tc>
        <w:tc>
          <w:tcPr>
            <w:tcW w:w="2250" w:type="dxa"/>
          </w:tcPr>
          <w:p>
            <w:pPr>
              <w:pStyle w:val="TableText"/>
            </w:pPr>
            <w:r>
              <w:t xml:space="preserve">适合作对应防御或替代第二篇</w:t>
            </w:r>
          </w:p>
        </w:tc>
        <w:tc>
          <w:tcPr>
            <w:tcW w:w="2250" w:type="dxa"/>
          </w:tcPr>
          <w:p>
            <w:pPr>
              <w:pStyle w:val="TableText"/>
            </w:pPr>
            <w:r>
              <w:t xml:space="preserve">易代码实现，但须证明比现有来源追踪/门控多解决了具体边界</w:t>
            </w:r>
          </w:p>
        </w:tc>
      </w:tr>
      <w:tr>
        <w:tc>
          <w:tcPr>
            <w:tcW w:w="2250" w:type="dxa"/>
          </w:tcPr>
          <w:p>
            <w:pPr>
              <w:pStyle w:val="TableText"/>
            </w:pPr>
            <w:r>
              <w:t xml:space="preserve">第三梯队</w:t>
            </w:r>
          </w:p>
        </w:tc>
        <w:tc>
          <w:tcPr>
            <w:tcW w:w="2250" w:type="dxa"/>
          </w:tcPr>
          <w:p>
            <w:pPr>
              <w:pStyle w:val="TableText"/>
            </w:pPr>
            <w:r>
              <w:t xml:space="preserve">P1、P2、M2、Q1、Q2、G2</w:t>
            </w:r>
          </w:p>
        </w:tc>
        <w:tc>
          <w:tcPr>
            <w:tcW w:w="2250" w:type="dxa"/>
          </w:tcPr>
          <w:p>
            <w:pPr>
              <w:pStyle w:val="TableText"/>
            </w:pPr>
            <w:r>
              <w:t xml:space="preserve">仅在预实验或新论文组合需要时推进</w:t>
            </w:r>
          </w:p>
        </w:tc>
        <w:tc>
          <w:tcPr>
            <w:tcW w:w="2250" w:type="dxa"/>
          </w:tcPr>
          <w:p>
            <w:pPr>
              <w:pStyle w:val="TableText"/>
            </w:pPr>
            <w:r>
              <w:t xml:space="preserve">与已有摘要错误、撤销、授权或异步研究较近，撞题风险偏高</w:t>
            </w:r>
          </w:p>
        </w:tc>
      </w:tr>
    </w:tbl>
    <w:p>
      <w:pPr>
        <w:pStyle w:val="Normal"/>
      </w:pPr>
      <w:r>
        <w:t xml:space="preserve">淘汰标准：① 最近论文已经包含同样“控制点—状态变化—触发终点”并有同类实验；② 与对照组相比，新增变量没有稳定交互效应；③ 必须人为配置不符合正常 Agent 工作流的后门写入规则；④ 攻击成功但无法判定是否确由持久状态引起；⑤ 防御仅靠全量清空或全局重启，缺少有意义的效用比较。对第一梯队也必须执行这些标准，不能因为选题描述新就跳过验证。</w:t>
      </w:r>
    </w:p>
    <w:p>
      <w:pPr>
        <w:pStyle w:val="Heading1"/>
      </w:pPr>
      <w:r>
        <w:t xml:space="preserve">七、A 主方案：工具退役后的后门残留与精准失效</w:t>
      </w:r>
    </w:p>
    <w:p>
      <w:pPr>
        <w:pStyle w:val="Heading2"/>
      </w:pPr>
      <w:r>
        <w:t xml:space="preserve">7.1 总体研究背景与国内外研究现状</w:t>
      </w:r>
    </w:p>
    <w:p>
      <w:pPr>
        <w:pStyle w:val="Normal"/>
      </w:pPr>
      <w:r>
        <w:t xml:space="preserve">现有 MCP 安全研究覆盖工具描述和返回值投毒，记忆研究覆盖经验污染与事后修复[7][12][14][18]。然而，攻击工具下线是实际运维中常见的事件：删除恶意工具并不必然删除它间接写入的程序性记忆。因此，方案 A 将同一工具生命周期分成两篇论文，第一篇验证残留如何跨工具迁移，第二篇提出版本绑定的最小记忆失效策略。两篇共享威胁场景，但研究问题、核心方法和评价终点不同。</w:t>
      </w:r>
    </w:p>
    <w:p>
      <w:pPr>
        <w:pStyle w:val="Heading2"/>
      </w:pPr>
      <w:r>
        <w:t xml:space="preserve">7.2 子课题一：研究目标、内容、科学问题与技术路线</w:t>
      </w:r>
    </w:p>
    <w:p>
      <w:pPr>
        <w:pStyle w:val="Normal"/>
      </w:pPr>
      <w:r>
        <w:t xml:space="preserve">题目：Retired-Tool Experience Transfer Backdoors。目标是回答工具 A 被移除后，Agent 是否仍因 A 留下的经验调用正常工具 B 完成攻击者目标。研究内容包括短时工具投毒、自然经验写入、工具退役、跨会话触发和跨工具执行；关键科学问题是“攻击源已不存在时，何种经验表述会跨越工具身份边界”。技术路线为四组因子对照、事件日志溯源和工具相似度消融。预期独立形成一篇攻击机制与评测论文。</w:t>
      </w:r>
    </w:p>
    <w:p>
      <w:pPr>
        <w:pStyle w:val="Heading2"/>
      </w:pPr>
      <w:r>
        <w:t xml:space="preserve">7.3 子课题二：研究目标、内容、科学问题与技术路线</w:t>
      </w:r>
    </w:p>
    <w:p>
      <w:pPr>
        <w:pStyle w:val="Normal"/>
      </w:pPr>
      <w:r>
        <w:t xml:space="preserve">题目：Version-Bound Memory Invalidation for Tool Retirement。目标是在退役或升级发生时仅隔离依赖旧工具语义的经验记忆，保持无关任务可用。研究内容包括轻量依赖图、工具契约版本标签、读时兼容性判定与误删评测；关键科学问题是“如何用有限来源元数据近似计算必须失效的派生经验集合”。技术路线为实现写入/读取两个钩子，比较全清、直接删除、通用来源过滤与版本绑定门控。预期独立形成一篇推理时防护论文。</w:t>
      </w:r>
    </w:p>
    <w:p>
      <w:pPr>
        <w:pStyle w:val="Heading2"/>
      </w:pPr>
      <w:r>
        <w:t xml:space="preserve">7.4 整体实验可行性与预期成果</w:t>
      </w:r>
    </w:p>
    <w:p>
      <w:pPr>
        <w:pStyle w:val="Normal"/>
      </w:pPr>
      <w:r>
        <w:t xml:space="preserve">两篇均基于 Eino、本地 MCP、模拟文件与虚构任务，不需要模型训练。子课题一的工作量约 8—10 人周，子课题二约 8—10 人周，可由同一套工具目录和日志接口支撑，但第二篇需补充独立正常任务和新工具版本，以避免只在第一篇攻击集上过拟合。整套创新点为：退役后跨工具迁移的严格因果验证、工具版本与记忆依赖的显式连接、攻击收益与正常任务损失同时度量。预期成果为两篇初稿、可复现实验脚本、生命周期任务集和毕业论文中“工具—记忆耦合安全”两章素材。</w:t>
      </w:r>
    </w:p>
    <w:p>
      <w:pPr>
        <w:pStyle w:val="Heading1"/>
      </w:pPr>
      <w:r>
        <w:t xml:space="preserve">八、B 备选方案：多 Agent 修复后再污染与代际阻断</w:t>
      </w:r>
    </w:p>
    <w:p>
      <w:pPr>
        <w:pStyle w:val="Heading2"/>
      </w:pPr>
      <w:r>
        <w:t xml:space="preserve">8.1 总体研究背景与国内外研究现状</w:t>
      </w:r>
    </w:p>
    <w:p>
      <w:pPr>
        <w:pStyle w:val="Normal"/>
      </w:pPr>
      <w:r>
        <w:t xml:space="preserve">多 Agent 协作使污染能够经消息和共享记忆扩散，已有研究分别讨论传播、记忆门控和选择性修复[5][16]—[19]。异步系统还存在修复时刻与消息消费时刻不一致的问题。方案 B 将“已完成修复、旧消息仍在队列”限定为独立边界：第一篇给出可重演再污染机制，第二篇验证安全事故代际门控的隔离效果与正常任务代价。</w:t>
      </w:r>
    </w:p>
    <w:p>
      <w:pPr>
        <w:pStyle w:val="Heading2"/>
      </w:pPr>
      <w:r>
        <w:t xml:space="preserve">8.2 子课题一：研究目标、内容、科学问题与技术路线</w:t>
      </w:r>
    </w:p>
    <w:p>
      <w:pPr>
        <w:pStyle w:val="Normal"/>
      </w:pPr>
      <w:r>
        <w:t xml:space="preserve">题目：Queued-Message Reinfection after Agent Repair。目标是确认清理私有与共享记忆后，旧队列消息是否会把攻击重新写入系统。研究内容包括三至四 Agent 协作场景、消息生成与消费时间线、事故修复点、来源谱系缺失比例和再污染终点；科学问题是“修复完成的判定是否必须覆盖未消费的派生消息”。技术路线为受控消息调度、反事实重放和多种清理基线对比。预期形成一篇以修复盲区为主的攻击与测量论文。</w:t>
      </w:r>
    </w:p>
    <w:p>
      <w:pPr>
        <w:pStyle w:val="Heading2"/>
      </w:pPr>
      <w:r>
        <w:t xml:space="preserve">8.3 子课题二：研究目标、内容、科学问题与技术路线</w:t>
      </w:r>
    </w:p>
    <w:p>
      <w:pPr>
        <w:pStyle w:val="Normal"/>
      </w:pPr>
      <w:r>
        <w:t xml:space="preserve">题目：Repair-Epoch Barriers for Multi-Agent Memory。目标是通过消息生成代际与修复代际的相容性判定，阻断旧污染消息再次写入，并保持正常异步任务继续运行。研究内容包括代际戳、来源等级、消费时判定与选择性重算；科学问题是“来源不完整时如何设定既安全又不过度丢弃的边界”。技术路线为消息队列与记忆写入中间件实现，并和全清、只删记忆、时间戳过滤、完整谱系回放比较。预期形成一篇防护论文。</w:t>
      </w:r>
    </w:p>
    <w:p>
      <w:pPr>
        <w:pStyle w:val="Heading2"/>
      </w:pPr>
      <w:r>
        <w:t xml:space="preserve">8.4 整体实验可行性与预期成果</w:t>
      </w:r>
    </w:p>
    <w:p>
      <w:pPr>
        <w:pStyle w:val="Normal"/>
      </w:pPr>
      <w:r>
        <w:t xml:space="preserve">两篇均可用 Eino 多 Agent 流程和本地队列实现，不需要外部服务或训练。每篇约 8—10 人周；测试任务以 25—40 个攻击模板和 15—20 个额外正常任务为起点。整套创新点为“修复后晚到消息”的可观察链条、来源不完整时的再污染测量和代际化低代价拦截。预期形成两篇初稿、队列事件数据集、修复中间件原型及毕业论文中“多 Agent 传播与恢复”两章素材。风险是此前工作可能已有同型异步修复实验，需重点复核[17]—[19][27]的全文和新增论文。</w:t>
      </w:r>
    </w:p>
    <w:p>
      <w:pPr>
        <w:pStyle w:val="Heading1"/>
      </w:pPr>
      <w:r>
        <w:t xml:space="preserve">九、统一实验评价、进度安排与写作计划</w:t>
      </w:r>
    </w:p>
    <w:p>
      <w:pPr>
        <w:pStyle w:val="Heading2"/>
      </w:pPr>
      <w:r>
        <w:t xml:space="preserve">9.1 评价口径</w:t>
      </w:r>
    </w:p>
    <w:p>
      <w:pPr>
        <w:pStyle w:val="Normal"/>
      </w:pPr>
      <w:r>
        <w:t xml:space="preserve">攻击成功率 ASR 仅在触发任务出现、攻击者预期动作真正到达测试执行器时计为成功；记忆写入但未执行不得计为 ASR。目标任务成功率 TSR 是无害任务按原用户目标完成的比例。还应报告触发特异性、误触发率、记忆写入/检索率、跨会话残留长度、攻击源撤除后成功率、FPR、正常任务损失、执行时延和元数据开销。每个模板须有攻击、无载荷、无记忆或无共享状态的配对条件；划分设计集和独立测试集，记录重复运行次数与区间估计。只报告平均 ASR 而不报告正常任务效用，不足以支持硕士论文结论。</w:t>
      </w:r>
    </w:p>
    <w:p>
      <w:pPr>
        <w:pStyle w:val="Heading2"/>
      </w:pPr>
      <w:r>
        <w:t xml:space="preserve">9.2 可复用基准与自建数据</w:t>
      </w:r>
    </w:p>
    <w:p>
      <w:pPr>
        <w:pStyle w:val="Normal"/>
      </w:pPr>
      <w:r>
        <w:t xml:space="preserve">INJECAGENT、AgentDojo 适合作为工具任务与间接注入骨架[2][3]；AgentPoison、MPBench、MemSecBench 适合作为记忆写入、检索与修复对照[4][17][23]；MCPTox、MCP Security Bench 为 MCP 威胁分类提供参照[8][9]。这些基准通常不直接包含“工具退役”“TTL 派生”“修复代际”等时间边界，因此需自建小规模、可审核的任务变体。自建难点不是生成大量自然语言，而是为每例提供清晰的可信真值、实际权限边界、时间线和可判定最终动作。先做 10—15 个模板的试验，确认机制再扩展到 30—50 个模板。</w:t>
      </w:r>
    </w:p>
    <w:p>
      <w:pPr>
        <w:pStyle w:val="Heading2"/>
      </w:pPr>
      <w:r>
        <w:t xml:space="preserve">9.3 研二上学期进度安排</w:t>
      </w:r>
    </w:p>
    <w:tbl>
      <w:tblPr>
        <w:tblW w:w="0" w:type="auto"/>
        <w:tblBorders>
          <w:top w:val="single" w:sz="6"/>
          <w:left w:val="single" w:sz="6"/>
          <w:bottom w:val="single" w:sz="6"/>
          <w:right w:val="single" w:sz="6"/>
          <w:insideH w:val="single" w:sz="4"/>
          <w:insideV w:val="single" w:sz="4"/>
        </w:tblBorders>
        <w:tblCellMar>
          <w:top w:w="90" w:type="dxa"/>
          <w:left w:w="90" w:type="dxa"/>
          <w:bottom w:w="90" w:type="dxa"/>
          <w:right w:w="90" w:type="dxa"/>
        </w:tblCellMar>
      </w:tblPr>
      <w:tblGrid>
        <w:gridCol w:w="3000"/>
        <w:gridCol w:w="3000"/>
        <w:gridCol w:w="3000"/>
      </w:tblGrid>
      <w:tr>
        <w:trPr>
          <w:tblHeader w:val="true"/>
        </w:trPr>
        <w:tc>
          <w:tcPr>
            <w:tcW w:w="3000" w:type="dxa"/>
            <w:shd w:fill="DCE6F1"/>
          </w:tcPr>
          <w:p>
            <w:pPr>
              <w:pStyle w:val="TableText"/>
            </w:pPr>
            <w:r>
              <w:rPr>
                <w:b/>
              </w:rPr>
              <w:t xml:space="preserve">月份</w:t>
            </w:r>
          </w:p>
        </w:tc>
        <w:tc>
          <w:tcPr>
            <w:tcW w:w="3000" w:type="dxa"/>
            <w:shd w:fill="DCE6F1"/>
          </w:tcPr>
          <w:p>
            <w:pPr>
              <w:pStyle w:val="TableText"/>
            </w:pPr>
            <w:r>
              <w:rPr>
                <w:b/>
              </w:rPr>
              <w:t xml:space="preserve">调研与实现</w:t>
            </w:r>
          </w:p>
        </w:tc>
        <w:tc>
          <w:tcPr>
            <w:tcW w:w="3000" w:type="dxa"/>
            <w:shd w:fill="DCE6F1"/>
          </w:tcPr>
          <w:p>
            <w:pPr>
              <w:pStyle w:val="TableText"/>
            </w:pPr>
            <w:r>
              <w:rPr>
                <w:b/>
              </w:rPr>
              <w:t xml:space="preserve">实验与写作里程碑</w:t>
            </w:r>
          </w:p>
        </w:tc>
      </w:tr>
      <w:tr>
        <w:tc>
          <w:tcPr>
            <w:tcW w:w="3000" w:type="dxa"/>
          </w:tcPr>
          <w:p>
            <w:pPr>
              <w:pStyle w:val="TableText"/>
            </w:pPr>
            <w:r>
              <w:t xml:space="preserve">9 月下旬—10 月</w:t>
            </w:r>
          </w:p>
        </w:tc>
        <w:tc>
          <w:tcPr>
            <w:tcW w:w="3000" w:type="dxa"/>
          </w:tcPr>
          <w:p>
            <w:pPr>
              <w:pStyle w:val="TableText"/>
            </w:pPr>
            <w:r>
              <w:t xml:space="preserve">完成 2023—2026 滚动查新；把 14 题与导师讨论，选择 A/B 方案及预备替代题；搭建 Eino、记忆库、本地 MCP 或多 Agent 队列日志</w:t>
            </w:r>
          </w:p>
        </w:tc>
        <w:tc>
          <w:tcPr>
            <w:tcW w:w="3000" w:type="dxa"/>
          </w:tcPr>
          <w:p>
            <w:pPr>
              <w:pStyle w:val="TableText"/>
            </w:pPr>
            <w:r>
              <w:t xml:space="preserve">10—15 个任务模板的两周预实验；完成两篇论文差异矩阵和开题报告修订</w:t>
            </w:r>
          </w:p>
        </w:tc>
      </w:tr>
      <w:tr>
        <w:tc>
          <w:tcPr>
            <w:tcW w:w="3000" w:type="dxa"/>
          </w:tcPr>
          <w:p>
            <w:pPr>
              <w:pStyle w:val="TableText"/>
            </w:pPr>
            <w:r>
              <w:t xml:space="preserve">11 月</w:t>
            </w:r>
          </w:p>
        </w:tc>
        <w:tc>
          <w:tcPr>
            <w:tcW w:w="3000" w:type="dxa"/>
          </w:tcPr>
          <w:p>
            <w:pPr>
              <w:pStyle w:val="TableText"/>
            </w:pPr>
            <w:r>
              <w:t xml:space="preserve">完成第一篇攻击链实现与数据扩展；固定攻击者能力、对照组和独立测试集</w:t>
            </w:r>
          </w:p>
        </w:tc>
        <w:tc>
          <w:tcPr>
            <w:tcW w:w="3000" w:type="dxa"/>
          </w:tcPr>
          <w:p>
            <w:pPr>
              <w:pStyle w:val="TableText"/>
            </w:pPr>
            <w:r>
              <w:t xml:space="preserve">第一篇主实验、消融与错误分析；形成方法和实验章节初稿</w:t>
            </w:r>
          </w:p>
        </w:tc>
      </w:tr>
      <w:tr>
        <w:tc>
          <w:tcPr>
            <w:tcW w:w="3000" w:type="dxa"/>
          </w:tcPr>
          <w:p>
            <w:pPr>
              <w:pStyle w:val="TableText"/>
            </w:pPr>
            <w:r>
              <w:t xml:space="preserve">12 月</w:t>
            </w:r>
          </w:p>
        </w:tc>
        <w:tc>
          <w:tcPr>
            <w:tcW w:w="3000" w:type="dxa"/>
          </w:tcPr>
          <w:p>
            <w:pPr>
              <w:pStyle w:val="TableText"/>
            </w:pPr>
            <w:r>
              <w:t xml:space="preserve">完成第二篇防御/隔离算法及与第一篇独立的正常任务集</w:t>
            </w:r>
          </w:p>
        </w:tc>
        <w:tc>
          <w:tcPr>
            <w:tcW w:w="3000" w:type="dxa"/>
          </w:tcPr>
          <w:p>
            <w:pPr>
              <w:pStyle w:val="TableText"/>
            </w:pPr>
            <w:r>
              <w:t xml:space="preserve">第二篇主实验、效用与开销评测；第一篇完整初稿及组内反馈</w:t>
            </w:r>
          </w:p>
        </w:tc>
      </w:tr>
      <w:tr>
        <w:tc>
          <w:tcPr>
            <w:tcW w:w="3000" w:type="dxa"/>
          </w:tcPr>
          <w:p>
            <w:pPr>
              <w:pStyle w:val="TableText"/>
            </w:pPr>
            <w:r>
              <w:t xml:space="preserve">次年 1 月</w:t>
            </w:r>
          </w:p>
        </w:tc>
        <w:tc>
          <w:tcPr>
            <w:tcW w:w="3000" w:type="dxa"/>
          </w:tcPr>
          <w:p>
            <w:pPr>
              <w:pStyle w:val="TableText"/>
            </w:pPr>
            <w:r>
              <w:t xml:space="preserve">补做失败场景、近邻工作复现和置信区间；统一图表、代码与数据说明</w:t>
            </w:r>
          </w:p>
        </w:tc>
        <w:tc>
          <w:tcPr>
            <w:tcW w:w="3000" w:type="dxa"/>
          </w:tcPr>
          <w:p>
            <w:pPr>
              <w:pStyle w:val="TableText"/>
            </w:pPr>
            <w:r>
              <w:t xml:space="preserve">第二篇完整初稿；完成硕士论文两章素材和投稿前查新</w:t>
            </w:r>
          </w:p>
        </w:tc>
      </w:tr>
    </w:tbl>
    <w:p>
      <w:pPr>
        <w:pStyle w:val="Normal"/>
      </w:pPr>
      <w:r>
        <w:t xml:space="preserve">按每篇 8—10 人周估计，两篇约 16—20 净人周，与 9 月下旬至 1 月的日历时间接近上限。若课程或实习占用较多，应优先选方案 A 的 L1＋L2，复用同一环境；方案 B 的多 Agent 异步调度更复杂，但在已有 Eino 基础上仍可实现。两篇都应在 10 月末通过“稳定复现＋非同构查新”门槛，否则及时切换第一梯队替代题。</w:t>
      </w:r>
    </w:p>
    <w:p>
      <w:pPr>
        <w:pStyle w:val="Heading1"/>
      </w:pPr>
      <w:r>
        <w:t xml:space="preserve">十、参考文献与原始来源</w:t>
      </w:r>
    </w:p>
    <w:p>
      <w:pPr>
        <w:pStyle w:val="Normal"/>
      </w:pPr>
      <w:r>
        <w:t xml:space="preserve">[1] Greshake et al. Not What You've Signed Up For: Compromising Real-World LLM-Integrated Applications with Indirect Prompt Injection. 2023. https://arxiv.org/abs/2302.12173</w:t>
      </w:r>
    </w:p>
    <w:p>
      <w:pPr>
        <w:pStyle w:val="Normal"/>
      </w:pPr>
      <w:r>
        <w:t xml:space="preserve">[2] Zhan et al. InjecAgent: Benchmarking Indirect Prompt Injections in Tool-Integrated Large Language Model Agents. Findings of ACL 2024. https://aclanthology.org/2024.findings-acl.624/</w:t>
      </w:r>
    </w:p>
    <w:p>
      <w:pPr>
        <w:pStyle w:val="Normal"/>
      </w:pPr>
      <w:r>
        <w:t xml:space="preserve">[3] Debenedetti et al. AgentDojo: A Dynamic Environment to Evaluate Prompt Injection Attacks and Defenses for LLM Agents. NeurIPS 2024. https://proceedings.neurips.cc/paper_files/paper/2024/file/97091a5177d8dc64b1da8bf3e1f6fb54-Paper-Datasets_and_Benchmarks_Track.pdf</w:t>
      </w:r>
    </w:p>
    <w:p>
      <w:pPr>
        <w:pStyle w:val="Normal"/>
      </w:pPr>
      <w:r>
        <w:t xml:space="preserve">[4] Chen et al. AgentPoison: Red-teaming LLM Agents via Poisoning Memory or Knowledge Bases. NeurIPS 2024. https://papers.nips.cc/paper_files/paper/2024/file/eb113910e9c3f6242541c1652e30dfd6-Paper-Conference.pdf</w:t>
      </w:r>
    </w:p>
    <w:p>
      <w:pPr>
        <w:pStyle w:val="Normal"/>
      </w:pPr>
      <w:r>
        <w:t xml:space="preserve">[5] Prompt Infection: LLM-to-LLM Prompt Injection within Multi-Agent Systems. 2024. https://arxiv.org/abs/2410.07283</w:t>
      </w:r>
    </w:p>
    <w:p>
      <w:pPr>
        <w:pStyle w:val="Normal"/>
      </w:pPr>
      <w:r>
        <w:t xml:space="preserve">[6] MINJA: Memory Injection Attack against LLM Agents. NeurIPS 2025. https://papers.nips.cc/paper_files/paper/2025/file/42a97bbd9844d2bf68596730af80bcdf-Paper-Conference.pdf</w:t>
      </w:r>
    </w:p>
    <w:p>
      <w:pPr>
        <w:pStyle w:val="Normal"/>
      </w:pPr>
      <w:r>
        <w:t xml:space="preserve">[7] MemoryGraft: Persistent Compromise of LLM Agents via Poisoned Experience Memory. 2025. https://arxiv.org/abs/2512.16962</w:t>
      </w:r>
    </w:p>
    <w:p>
      <w:pPr>
        <w:pStyle w:val="Normal"/>
      </w:pPr>
      <w:r>
        <w:t xml:space="preserve">[8] MCPTox: A Benchmark for Tool Poisoning Attack on Model Context Protocol. AAAI 2026. https://ojs.aaai.org/index.php/AAAI/article/view/40895</w:t>
      </w:r>
    </w:p>
    <w:p>
      <w:pPr>
        <w:pStyle w:val="Normal"/>
      </w:pPr>
      <w:r>
        <w:t xml:space="preserve">[9] MCP Security Bench: A Benchmark for Model Context Protocol Security. 2025. https://arxiv.org/abs/2510.15994</w:t>
      </w:r>
    </w:p>
    <w:p>
      <w:pPr>
        <w:pStyle w:val="Normal"/>
      </w:pPr>
      <w:r>
        <w:t xml:space="preserve">[10] Zombie Agents. 2026. https://arxiv.org/abs/2602.15654</w:t>
      </w:r>
    </w:p>
    <w:p>
      <w:pPr>
        <w:pStyle w:val="Normal"/>
      </w:pPr>
      <w:r>
        <w:t xml:space="preserve">[11] Hidden in Memory: Sleeper Memory Poisoning in LLM Agents. 2026. https://arxiv.org/abs/2605.15338</w:t>
      </w:r>
    </w:p>
    <w:p>
      <w:pPr>
        <w:pStyle w:val="Normal"/>
      </w:pPr>
      <w:r>
        <w:t xml:space="preserve">[12] MemMorph. 2026. https://arxiv.org/abs/2605.26154</w:t>
      </w:r>
    </w:p>
    <w:p>
      <w:pPr>
        <w:pStyle w:val="Normal"/>
      </w:pPr>
      <w:r>
        <w:t xml:space="preserve">[13] MemPoison. 2026. https://arxiv.org/abs/2607.14651</w:t>
      </w:r>
    </w:p>
    <w:p>
      <w:pPr>
        <w:pStyle w:val="Normal"/>
      </w:pPr>
      <w:r>
        <w:t xml:space="preserve">[14] Measuring and Exploiting Implicit Trust in LLM Tool-Calling Pipelines (GhostSplice). 2026. https://arxiv.org/abs/2609.18217</w:t>
      </w:r>
    </w:p>
    <w:p>
      <w:pPr>
        <w:pStyle w:val="Normal"/>
      </w:pPr>
      <w:r>
        <w:t xml:space="preserve">[15] Beyond Memory Majority: CAMA. 2026. https://arxiv.org/abs/2608.19701</w:t>
      </w:r>
    </w:p>
    <w:p>
      <w:pPr>
        <w:pStyle w:val="Normal"/>
      </w:pPr>
      <w:r>
        <w:t xml:space="preserve">[16] MAPLE-Guard. 2026. https://arxiv.org/abs/2608.00426</w:t>
      </w:r>
    </w:p>
    <w:p>
      <w:pPr>
        <w:pStyle w:val="Normal"/>
      </w:pPr>
      <w:r>
        <w:t xml:space="preserve">[17] MemSecBench. 2026. https://arxiv.org/abs/2607.27080</w:t>
      </w:r>
    </w:p>
    <w:p>
      <w:pPr>
        <w:pStyle w:val="Normal"/>
      </w:pPr>
      <w:r>
        <w:t xml:space="preserve">[18] MemTX. 2026. https://arxiv.org/abs/2607.23929</w:t>
      </w:r>
    </w:p>
    <w:p>
      <w:pPr>
        <w:pStyle w:val="Normal"/>
      </w:pPr>
      <w:r>
        <w:t xml:space="preserve">[19] Forgetting Without Restarting: Execution-State Unlearning for Stateful LLM Agents. 2026. https://arxiv.org/abs/2609.04875</w:t>
      </w:r>
    </w:p>
    <w:p>
      <w:pPr>
        <w:pStyle w:val="Normal"/>
      </w:pPr>
      <w:r>
        <w:t xml:space="preserve">[20] Revoked but Still Authoritative: An Empirical Study of Revocation Enforcement in Agent-Memory Systems. 2026. https://arxiv.org/abs/2609.08258</w:t>
      </w:r>
    </w:p>
    <w:p>
      <w:pPr>
        <w:pStyle w:val="Normal"/>
      </w:pPr>
      <w:r>
        <w:t xml:space="preserve">[21] Bounded Agents: Delegation Security for Multi-Agent AI Systems. 2026. https://arxiv.org/abs/2608.15888</w:t>
      </w:r>
    </w:p>
    <w:p>
      <w:pPr>
        <w:pStyle w:val="Normal"/>
      </w:pPr>
      <w:r>
        <w:t xml:space="preserve">[22] Beyond Agent Harnesses: Cross-Substrate Authority for Multi-Agent Systems. 2026. https://arxiv.org/abs/2609.08472</w:t>
      </w:r>
    </w:p>
    <w:p>
      <w:pPr>
        <w:pStyle w:val="Normal"/>
      </w:pPr>
      <w:r>
        <w:t xml:space="preserve">[23] From Untrusted Input to Trusted Memory: A Systematic Study of Memory Poisoning Attacks in LLM Agents (MPBench). 2026. https://arxiv.org/abs/2606.04329</w:t>
      </w:r>
    </w:p>
    <w:p>
      <w:pPr>
        <w:pStyle w:val="Normal"/>
      </w:pPr>
      <w:r>
        <w:t xml:space="preserve">[24] ETDI: Mitigating Tool Squatting and Rug Pull Attacks in Model Context Protocol (MCP) by using OAuth-Enhanced Tool Definitions and Policy-Based Access Control. 2025. https://arxiv.org/abs/2506.01333</w:t>
      </w:r>
    </w:p>
    <w:p>
      <w:pPr>
        <w:pStyle w:val="Normal"/>
      </w:pPr>
      <w:r>
        <w:t xml:space="preserve">[25] Registry Descriptions Go Stale Unevenly: An 89-Day Measurement of Model Context Protocol Drift. 2026. https://arxiv.org/abs/2608.00997</w:t>
      </w:r>
    </w:p>
    <w:p>
      <w:pPr>
        <w:pStyle w:val="Normal"/>
      </w:pPr>
      <w:r>
        <w:t xml:space="preserve">[26] PlanFlip. 2026. https://arxiv.org/abs/2607.16199</w:t>
      </w:r>
    </w:p>
    <w:p>
      <w:pPr>
        <w:pStyle w:val="Normal"/>
      </w:pPr>
      <w:r>
        <w:t xml:space="preserve">[27] Verified Detection and Prevention of Concurrency Anomalies in Multi-Agent Large Language Model Systems. 2026. https://arxiv.org/abs/2606.17182</w:t>
      </w:r>
    </w:p>
    <w:p>
      <w:pPr>
        <w:pStyle w:val="Normal"/>
      </w:pPr>
      <w:r>
        <w:t xml:space="preserve">[28] Beyond Single-Model Injection: A Threat Model and Defense Architecture for Prompt Injection in Multi-Agent Systems. 2026. https://arxiv.org/abs/2609.22949</w:t>
      </w:r>
    </w:p>
    <w:p>
      <w:pPr>
        <w:pStyle w:val="Normal"/>
      </w:pPr>
      <w:r>
        <w:t xml:space="preserve">[29] The Price of Safety: Benign-Case Utility and Token Overhead of Memory-Poisoning Defenses in LLM Agents. 2026. https://arxiv.org/abs/2609.22818</w:t>
      </w:r>
    </w:p>
    <w:p>
      <w:pPr>
        <w:pStyle w:val="Heading1"/>
      </w:pPr>
      <w:r>
        <w:t xml:space="preserve">附录：与导师讨论时的选题判断问题</w:t>
      </w:r>
    </w:p>
    <w:p>
      <w:pPr>
        <w:pStyle w:val="Normal"/>
      </w:pPr>
      <w:r>
        <w:t xml:space="preserve">建议先回答四个问题：第一，导师更偏重攻击机制还是防御方法；第二，是否接受两篇论文共享基础环境但使用独立测试集；第三，研二上学期实际可投入的净人周是否达到 16—20；第四，拟投稿会议对“单一机制＋系统实验”的接受度如何。若只允许两篇完全不同攻击层的论文，可选 L1（工具—记忆）＋R1（多 Agent 修复），但需分别搭建两套实验环境，总工作量更高。正式开题文本应将本报告中未被选中的 12 个候选题缩为“备选研究方向”，避免把 14 题全部写成毕业论文承诺。</w:t>
      </w:r>
    </w:p>
    <w:sectPr>
      <w:footerReference w:type="default" r:id="rId1"/>
      <w:pgSz w:w="11906" w:h="16838"/>
      <w:pgMar w:top="1440" w:right="1440" w:bottom="1440" w:left="1440" w:header="708" w:footer="708"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Times New Roman" w:eastAsia="SimSun" w:hAnsi="Times New Roman"/>
        <w:sz w:val="24"/>
        <w:szCs w:val="24"/>
      </w:rPr>
    </w:rPrDefault>
  </w:docDefaults>
  <w:style w:type="paragraph" w:default="1" w:styleId="Normal">
    <w:name w:val="Normal"/>
    <w:pPr>
      <w:spacing w:after="120" w:line="360" w:lineRule="auto"/>
      <w:ind w:firstLine="480"/>
    </w:pPr>
    <w:rPr>
      <w:rFonts w:eastAsia="SimSun"/>
      <w:sz w:val="24"/>
    </w:rPr>
  </w:style>
  <w:style w:type="paragraph" w:styleId="Title">
    <w:name w:val="Title"/>
    <w:basedOn w:val="Normal"/>
    <w:pPr>
      <w:jc w:val="center"/>
      <w:spacing w:before="520" w:after="600"/>
      <w:ind w:firstLine="0"/>
    </w:pPr>
    <w:rPr>
      <w:rFonts w:eastAsia="SimHei"/>
      <w:b/>
      <w:sz w:val="36"/>
    </w:rPr>
  </w:style>
  <w:style w:type="paragraph" w:styleId="Heading1">
    <w:name w:val="heading 1"/>
    <w:basedOn w:val="Normal"/>
    <w:pPr>
      <w:keepNext/>
      <w:spacing w:before="360" w:after="180"/>
      <w:ind w:firstLine="0"/>
      <w:outlineLvl w:val="0"/>
    </w:pPr>
    <w:rPr>
      <w:rFonts w:eastAsia="SimHei"/>
      <w:b/>
      <w:sz w:val="32"/>
    </w:rPr>
  </w:style>
  <w:style w:type="paragraph" w:styleId="Heading2">
    <w:name w:val="heading 2"/>
    <w:basedOn w:val="Normal"/>
    <w:pPr>
      <w:keepNext/>
      <w:spacing w:before="260" w:after="140"/>
      <w:ind w:firstLine="0"/>
      <w:outlineLvl w:val="1"/>
    </w:pPr>
    <w:rPr>
      <w:rFonts w:eastAsia="SimHei"/>
      <w:b/>
      <w:sz w:val="28"/>
    </w:rPr>
  </w:style>
  <w:style w:type="paragraph" w:styleId="TableText">
    <w:name w:val="Table Text"/>
    <w:basedOn w:val="Normal"/>
    <w:pPr>
      <w:spacing w:after="0" w:line="300" w:lineRule="auto"/>
      <w:ind w:firstLine="0"/>
    </w:pPr>
    <w:rPr>
      <w:rFonts w:eastAsia="SimSun"/>
      <w:sz w:val="21"/>
    </w:r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Agent 后门攻击研究——硕士学位论文开题报告</dc:title>
  <dc:subject>Agent 推理时后门攻击与防护选题调研</dc:subject>
</cp:coreProperties>
</file>