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Agent 后门攻击：七大研究方向与推理时细分课题开题调研报告</w:t>
      </w:r>
    </w:p>
    <w:p>
      <w:pPr>
        <w:pStyle w:val="Normal"/>
      </w:pPr>
      <w:r>
        <w:t xml:space="preserve">学位层次：计算机科学与技术硕士；用途：研二上学期导师讨论、选题收敛与开题报告改写；资料检索截至：2026 年 9 月 28 日。</w:t>
      </w:r>
    </w:p>
    <w:p>
      <w:pPr>
        <w:pStyle w:val="Heading1"/>
      </w:pPr>
      <w:r>
        <w:br w:type="page"/>
      </w:r>
      <w:r>
        <w:t xml:space="preserve">摘要</w:t>
      </w:r>
    </w:p>
    <w:p>
      <w:pPr>
        <w:pStyle w:val="Normal"/>
      </w:pPr>
      <w:r>
        <w:t xml:space="preserve">本报告围绕不修改模型权重的 Agent 推理时后门，梳理 2023—2026 年提示注入、长期记忆、MCP 工具和多 Agent 攻击的发展，提出七个大方向、十四个具有明确状态边界的候选子题。候选题均以“攻击者可控入口—被保存或误用的中间状态—延迟触发—可观测偏离”为最小闭环，并设置最近邻论文、对照实验和淘汰条件。报告不声称任何题目在全世界范围内绝对无人研究；“未检得直接同题”仅表示按文末数据库、检索式与截至日期，未发现同一威胁模型、同一状态转换及同一攻击终点均相同的公开论文。若后续出现同构论文、基本基线已完全覆盖，或正常任务显著受损，应降级或淘汰该题。所有方案均限定为推理时攻击与推理时防御，实验使用隔离的合成任务与无真实敏感信息的模拟动作。</w:t>
      </w:r>
    </w:p>
    <w:p>
      <w:pPr>
        <w:pStyle w:val="Normal"/>
      </w:pPr>
      <w:r>
        <w:t xml:space="preserve">关键词：Agent 后门；间接提示注入；长期记忆投毒；MCP；多 Agent；推理时防御；文献查新。</w:t>
      </w:r>
    </w:p>
    <w:p>
      <w:pPr>
        <w:pStyle w:val="Heading1"/>
      </w:pPr>
      <w:r>
        <w:t xml:space="preserve">一、研究背景与研究意义</w:t>
      </w:r>
    </w:p>
    <w:p>
      <w:pPr>
        <w:pStyle w:val="Normal"/>
      </w:pPr>
      <w:r>
        <w:t xml:space="preserve">Agent 将外部网页、检索结果、工具说明、执行结果和其他 Agent 消息合并到计划、记忆与后续动作中。攻击者只需控制其中低信任的一段内容，就可能使一次性注入越过会话边界，转化为在特定任务、事件或状态下才触发的持久行为偏离。2023 年间接提示注入研究说明外部文本可以操纵助手行为[1]；2024 年 InjecAgent 与 AgentDojo 提供了可复用的任务与攻击评测[2][3]，AgentPoison 则把检索记忆作为后门载体[4]。2025—2026 年研究继续扩展到经验式记忆、MCP 工具元数据、跨通道工具调用和多 Agent 传播[5]—[14]。因此，硕士论文应从“证明 Agent 可以被注入”转向研究具体的跨阶段状态转移、激活条件和可验证的防护边界。</w:t>
      </w:r>
    </w:p>
    <w:p>
      <w:pPr>
        <w:pStyle w:val="Normal"/>
      </w:pPr>
      <w:r>
        <w:t xml:space="preserve">本报告的研究对象是系统运行时的外部工件及其派生状态，而非训练数据投毒或权重后门。攻击成功必须同时满足：正常任务能继续完成或损失可量化；攻击内容经过至少一个保存、转述、缓存、队列或协议状态转换；后续出现预定义触发时产生未经授权的动作或错误答案。单次会话中立即服从恶意文本的普通提示注入不单独计作“持久后门”。</w:t>
      </w:r>
    </w:p>
    <w:p>
      <w:pPr>
        <w:pStyle w:val="Heading1"/>
      </w:pPr>
      <w:r>
        <w:t xml:space="preserve">二、国内外研究现状与 2023—2026 年发展脉络</w:t>
      </w:r>
    </w:p>
    <w:p>
      <w:pPr>
        <w:pStyle w:val="Normal"/>
      </w:pPr>
      <w:r>
        <w:t xml:space="preserve">2023—2024 年主要建立入口与评测。间接提示注入证明网页和工具可成为攻击载体[1]；InjecAgent、AgentDojo 量化工具调用中的任务劫持[2][3]；AgentPoison 通过污染检索库建立跨任务触发[4]。Prompt Infection 把注入传播到多 Agent 交互[5]。这一阶段已经覆盖“低信任文本能影响 Agent”这一基础事实，单纯更换载体或改写提示语不足以构成新课题。</w:t>
      </w:r>
    </w:p>
    <w:p>
      <w:pPr>
        <w:pStyle w:val="Normal"/>
      </w:pPr>
      <w:r>
        <w:t xml:space="preserve">2025 年研究开始聚焦经验记忆和 MCP 供应链。MINJA、MemoryGraft 研究记忆写入与经验复用[6][7]；MCPTox 系统评测 MCP 工具描述投毒[8]；ETDI 讨论工具抢占和 rug pull[9]。因此，泛化的“在记忆中插入恶意指令”“在工具描述中加入隐藏指令”已属于高撞题方向。</w:t>
      </w:r>
    </w:p>
    <w:p>
      <w:pPr>
        <w:pStyle w:val="Normal"/>
      </w:pPr>
      <w:r>
        <w:t xml:space="preserve">2026 年出现更细的状态、修复和执行边界。BackdoorAgent 统一规划、记忆、工具阶段的后门评测[10]；MemMorph、MemSecBench、MemTX 与 Forgetting Without Restarting 分别覆盖记忆驱动工具劫持、污染后果与修复、迟到写入/衍生修复、删除后执行状态残留[11]—[14]。Bad Memory 和 MemSentry 研究持久记忆风险及写入时拦截[15][16]；GhostSplice 已覆盖跨通道隐式信任[17]。多 Agent 方面，授权背书、未核验授权在摘要中被静默背书、证据洗白、审批到执行的对象替换及记忆级联修复均已有直接研究[18][19][20][21][22]；2026 年 9 月的 CPB 又将相关证据被重复计数列为共享记忆入库问题[31]。MCP 2026-07-28 规范新增或明确了工具列表缓存、订阅通知、任意 JSON 的结构化结果以及多回合 input_required 等状态；Tasks 仍为扩展草案[23][24]。这些事实使泛化题目继续收窄为具体协议字段、事件顺序和恢复时序成为必要。</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4500"/>
        <w:gridCol w:w="4500"/>
      </w:tblGrid>
      <w:tr>
        <w:trPr>
          <w:tblHeader w:val="true"/>
        </w:trPr>
        <w:tc>
          <w:tcPr>
            <w:tcW w:w="4500" w:type="dxa"/>
            <w:shd w:fill="DCE6F1"/>
          </w:tcPr>
          <w:p>
            <w:pPr>
              <w:pStyle w:val="TableText"/>
            </w:pPr>
            <w:r>
              <w:rPr>
                <w:b/>
              </w:rPr>
              <w:t xml:space="preserve">已有研究已较充分覆盖的命题</w:t>
            </w:r>
          </w:p>
        </w:tc>
        <w:tc>
          <w:tcPr>
            <w:tcW w:w="4500" w:type="dxa"/>
            <w:shd w:fill="DCE6F1"/>
          </w:tcPr>
          <w:p>
            <w:pPr>
              <w:pStyle w:val="TableText"/>
            </w:pPr>
            <w:r>
              <w:rPr>
                <w:b/>
              </w:rPr>
              <w:t xml:space="preserve">本报告处理方式</w:t>
            </w:r>
          </w:p>
        </w:tc>
      </w:tr>
      <w:tr>
        <w:tc>
          <w:tcPr>
            <w:tcW w:w="4500" w:type="dxa"/>
          </w:tcPr>
          <w:p>
            <w:pPr>
              <w:pStyle w:val="TableText"/>
            </w:pPr>
            <w:r>
              <w:t xml:space="preserve">普通间接提示注入、一般 RAG 投毒、普通工具描述投毒</w:t>
            </w:r>
          </w:p>
        </w:tc>
        <w:tc>
          <w:tcPr>
            <w:tcW w:w="4500" w:type="dxa"/>
          </w:tcPr>
          <w:p>
            <w:pPr>
              <w:pStyle w:val="TableText"/>
            </w:pPr>
            <w:r>
              <w:t xml:space="preserve">作为基线或背景，不立为独立新题</w:t>
            </w:r>
          </w:p>
        </w:tc>
      </w:tr>
      <w:tr>
        <w:tc>
          <w:tcPr>
            <w:tcW w:w="4500" w:type="dxa"/>
          </w:tcPr>
          <w:p>
            <w:pPr>
              <w:pStyle w:val="TableText"/>
            </w:pPr>
            <w:r>
              <w:t xml:space="preserve">一般记忆写入拦截、记忆级联清理、迟到写入</w:t>
            </w:r>
          </w:p>
        </w:tc>
        <w:tc>
          <w:tcPr>
            <w:tcW w:w="4500" w:type="dxa"/>
          </w:tcPr>
          <w:p>
            <w:pPr>
              <w:pStyle w:val="TableText"/>
            </w:pPr>
            <w:r>
              <w:t xml:space="preserve">只考察特定保存点与可证明的剩余状态；若新题无法胜过 MemTX 等，淘汰</w:t>
            </w:r>
          </w:p>
        </w:tc>
      </w:tr>
      <w:tr>
        <w:tc>
          <w:tcPr>
            <w:tcW w:w="4500" w:type="dxa"/>
          </w:tcPr>
          <w:p>
            <w:pPr>
              <w:pStyle w:val="TableText"/>
            </w:pPr>
            <w:r>
              <w:t xml:space="preserve">工具目录 rug pull、工具身份冒名、通用授权漂移</w:t>
            </w:r>
          </w:p>
        </w:tc>
        <w:tc>
          <w:tcPr>
            <w:tcW w:w="4500" w:type="dxa"/>
          </w:tcPr>
          <w:p>
            <w:pPr>
              <w:pStyle w:val="TableText"/>
            </w:pPr>
            <w:r>
              <w:t xml:space="preserve">不声称首创；仅研究缓存作用域、通知与计划、具体协议状态错配</w:t>
            </w:r>
          </w:p>
        </w:tc>
      </w:tr>
      <w:tr>
        <w:tc>
          <w:tcPr>
            <w:tcW w:w="4500" w:type="dxa"/>
          </w:tcPr>
          <w:p>
            <w:pPr>
              <w:pStyle w:val="TableText"/>
            </w:pPr>
            <w:r>
              <w:t xml:space="preserve">多 Agent 简单传播、虚假背书、旧批准复用</w:t>
            </w:r>
          </w:p>
        </w:tc>
        <w:tc>
          <w:tcPr>
            <w:tcW w:w="4500" w:type="dxa"/>
          </w:tcPr>
          <w:p>
            <w:pPr>
              <w:pStyle w:val="TableText"/>
            </w:pPr>
            <w:r>
              <w:t xml:space="preserve">不列为低风险候选；限定交接队列或修复后消费事件</w:t>
            </w:r>
          </w:p>
        </w:tc>
      </w:tr>
    </w:tbl>
    <w:p>
      <w:pPr>
        <w:pStyle w:val="Heading1"/>
      </w:pPr>
      <w:r>
        <w:t xml:space="preserve">三、查新方法、研究边界与证据等级</w:t>
      </w:r>
    </w:p>
    <w:p>
      <w:pPr>
        <w:pStyle w:val="Normal"/>
      </w:pPr>
      <w:r>
        <w:t xml:space="preserve">本次按 Academic Research Skills 的 deep-research 流程执行“问题界定—原始文献检索—来源核验—跨文献归纳—反证审查—报告修订”。研究问题为：2023—2026 年已有工作覆盖了哪些 Agent 推理时后门机制；在不训练大模型的约束下，哪些跨阶段状态转换仍可形成小而完整的独立实验课题？检索来源以 arXiv 原始论文、ACL/NeurIPS/AAAI 原始论文页、MCP 官方规范及官方 SDK 文档为主；时间范围为 2023-01-01 至 2026-09-28。检索词组合包括 agent backdoor、memory poisoning、persistent prompt injection、incident summary、reflection memory、MCP structuredContent、content mismatch、tasks isError、tools/list ttlMs、cacheScope、resource_link、input_required requestState、multi-agent handoff、queued message、repair epoch、revocation 等；附录给出逐题检索式。</w:t>
      </w:r>
    </w:p>
    <w:p>
      <w:pPr>
        <w:pStyle w:val="Normal"/>
      </w:pPr>
      <w:r>
        <w:t xml:space="preserve">查新判定采用五元组：攻击者实际控制点、跨越的中间状态、触发条件、终端动作、现有强基线。只有五元组均与最近邻论文不同，且差异可被实验消融验证，才标为“未检得直接同题”。风险分为较低、中、较高：较低仅指未见直接机制且复现边界清晰；中表示与既有工作共享关键转换，需证明额外效应；较高表示协议落地或论文重叠明显，仅作候选储备。arXiv 预印本仅证明研究公开存在，不等同于同行评审完成。规范文本只证明字段与合法状态存在，不证明真实客户端必然易受攻击。关于“研究空白”的判断属于对已检索来源的推断，不能解释为排他性首创证明。</w:t>
      </w:r>
    </w:p>
    <w:p>
      <w:pPr>
        <w:pStyle w:val="Heading1"/>
      </w:pPr>
      <w:r>
        <w:t xml:space="preserve">四、七大方向与十四个候选子题总览</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1800"/>
        <w:gridCol w:w="1800"/>
        <w:gridCol w:w="1800"/>
        <w:gridCol w:w="1800"/>
        <w:gridCol w:w="1800"/>
      </w:tblGrid>
      <w:tr>
        <w:trPr>
          <w:tblHeader w:val="true"/>
        </w:trPr>
        <w:tc>
          <w:tcPr>
            <w:tcW w:w="1800" w:type="dxa"/>
            <w:shd w:fill="DCE6F1"/>
          </w:tcPr>
          <w:p>
            <w:pPr>
              <w:pStyle w:val="TableText"/>
            </w:pPr>
            <w:r>
              <w:rPr>
                <w:b/>
              </w:rPr>
              <w:t xml:space="preserve">大方向</w:t>
            </w:r>
          </w:p>
        </w:tc>
        <w:tc>
          <w:tcPr>
            <w:tcW w:w="1800" w:type="dxa"/>
            <w:shd w:fill="DCE6F1"/>
          </w:tcPr>
          <w:p>
            <w:pPr>
              <w:pStyle w:val="TableText"/>
            </w:pPr>
            <w:r>
              <w:rPr>
                <w:b/>
              </w:rPr>
              <w:t xml:space="preserve">子题编号与最小研究对象</w:t>
            </w:r>
          </w:p>
        </w:tc>
        <w:tc>
          <w:tcPr>
            <w:tcW w:w="1800" w:type="dxa"/>
            <w:shd w:fill="DCE6F1"/>
          </w:tcPr>
          <w:p>
            <w:pPr>
              <w:pStyle w:val="TableText"/>
            </w:pPr>
            <w:r>
              <w:rPr>
                <w:b/>
              </w:rPr>
              <w:t xml:space="preserve">层次交叉</w:t>
            </w:r>
          </w:p>
        </w:tc>
        <w:tc>
          <w:tcPr>
            <w:tcW w:w="1800" w:type="dxa"/>
            <w:shd w:fill="DCE6F1"/>
          </w:tcPr>
          <w:p>
            <w:pPr>
              <w:pStyle w:val="TableText"/>
            </w:pPr>
            <w:r>
              <w:rPr>
                <w:b/>
              </w:rPr>
              <w:t xml:space="preserve">查新/工程风险</w:t>
            </w:r>
          </w:p>
        </w:tc>
        <w:tc>
          <w:tcPr>
            <w:tcW w:w="1800" w:type="dxa"/>
            <w:shd w:fill="DCE6F1"/>
          </w:tcPr>
          <w:p>
            <w:pPr>
              <w:pStyle w:val="TableText"/>
            </w:pPr>
            <w:r>
              <w:rPr>
                <w:b/>
              </w:rPr>
              <w:t xml:space="preserve">净人周</w:t>
            </w:r>
          </w:p>
        </w:tc>
      </w:tr>
      <w:tr>
        <w:tc>
          <w:tcPr>
            <w:tcW w:w="1800" w:type="dxa"/>
          </w:tcPr>
          <w:p>
            <w:pPr>
              <w:pStyle w:val="TableText"/>
            </w:pPr>
            <w:r>
              <w:t xml:space="preserve">1 安全处理产物的后门回流</w:t>
            </w:r>
          </w:p>
        </w:tc>
        <w:tc>
          <w:tcPr>
            <w:tcW w:w="1800" w:type="dxa"/>
          </w:tcPr>
          <w:p>
            <w:pPr>
              <w:pStyle w:val="TableText"/>
            </w:pPr>
            <w:r>
              <w:t xml:space="preserve">P1 已拒绝注入经事故摘要重新入记忆；P2 被标为负例的安全测试片段进入检索示例</w:t>
            </w:r>
          </w:p>
        </w:tc>
        <w:tc>
          <w:tcPr>
            <w:tcW w:w="1800" w:type="dxa"/>
          </w:tcPr>
          <w:p>
            <w:pPr>
              <w:pStyle w:val="TableText"/>
            </w:pPr>
            <w:r>
              <w:t xml:space="preserve">提示→记忆</w:t>
            </w:r>
          </w:p>
        </w:tc>
        <w:tc>
          <w:tcPr>
            <w:tcW w:w="1800" w:type="dxa"/>
          </w:tcPr>
          <w:p>
            <w:pPr>
              <w:pStyle w:val="TableText"/>
            </w:pPr>
            <w:r>
              <w:t xml:space="preserve">P1 中高/低；P2 中/中</w:t>
            </w:r>
          </w:p>
        </w:tc>
        <w:tc>
          <w:tcPr>
            <w:tcW w:w="1800" w:type="dxa"/>
          </w:tcPr>
          <w:p>
            <w:pPr>
              <w:pStyle w:val="TableText"/>
            </w:pPr>
            <w:r>
              <w:t xml:space="preserve">各 6—8</w:t>
            </w:r>
          </w:p>
        </w:tc>
      </w:tr>
      <w:tr>
        <w:tc>
          <w:tcPr>
            <w:tcW w:w="1800" w:type="dxa"/>
          </w:tcPr>
          <w:p>
            <w:pPr>
              <w:pStyle w:val="TableText"/>
            </w:pPr>
            <w:r>
              <w:t xml:space="preserve">2 记忆生命周期与事务边界</w:t>
            </w:r>
          </w:p>
        </w:tc>
        <w:tc>
          <w:tcPr>
            <w:tcW w:w="1800" w:type="dxa"/>
          </w:tcPr>
          <w:p>
            <w:pPr>
              <w:pStyle w:val="TableText"/>
            </w:pPr>
            <w:r>
              <w:t xml:space="preserve">M1 检疫后的旧摘要快照提交；M2 独立佐证撤销后已提升记忆的权限未回落</w:t>
            </w:r>
          </w:p>
        </w:tc>
        <w:tc>
          <w:tcPr>
            <w:tcW w:w="1800" w:type="dxa"/>
          </w:tcPr>
          <w:p>
            <w:pPr>
              <w:pStyle w:val="TableText"/>
            </w:pPr>
            <w:r>
              <w:t xml:space="preserve">记忆</w:t>
            </w:r>
          </w:p>
        </w:tc>
        <w:tc>
          <w:tcPr>
            <w:tcW w:w="1800" w:type="dxa"/>
          </w:tcPr>
          <w:p>
            <w:pPr>
              <w:pStyle w:val="TableText"/>
            </w:pPr>
            <w:r>
              <w:t xml:space="preserve">M1 中/中；M2 中/低</w:t>
            </w:r>
          </w:p>
        </w:tc>
        <w:tc>
          <w:tcPr>
            <w:tcW w:w="1800" w:type="dxa"/>
          </w:tcPr>
          <w:p>
            <w:pPr>
              <w:pStyle w:val="TableText"/>
            </w:pPr>
            <w:r>
              <w:t xml:space="preserve">各 6—8</w:t>
            </w:r>
          </w:p>
        </w:tc>
      </w:tr>
      <w:tr>
        <w:tc>
          <w:tcPr>
            <w:tcW w:w="1800" w:type="dxa"/>
          </w:tcPr>
          <w:p>
            <w:pPr>
              <w:pStyle w:val="TableText"/>
            </w:pPr>
            <w:r>
              <w:t xml:space="preserve">3 记忆向工具能力的迁移</w:t>
            </w:r>
          </w:p>
        </w:tc>
        <w:tc>
          <w:tcPr>
            <w:tcW w:w="1800" w:type="dxa"/>
          </w:tcPr>
          <w:p>
            <w:pPr>
              <w:pStyle w:val="TableText"/>
            </w:pPr>
            <w:r>
              <w:t xml:space="preserve">M3 恶意工具退役后的跨工具习惯残留；M4 同名工具升级后旧经验仍指导调用</w:t>
            </w:r>
          </w:p>
        </w:tc>
        <w:tc>
          <w:tcPr>
            <w:tcW w:w="1800" w:type="dxa"/>
          </w:tcPr>
          <w:p>
            <w:pPr>
              <w:pStyle w:val="TableText"/>
            </w:pPr>
            <w:r>
              <w:t xml:space="preserve">记忆→工具</w:t>
            </w:r>
          </w:p>
        </w:tc>
        <w:tc>
          <w:tcPr>
            <w:tcW w:w="1800" w:type="dxa"/>
          </w:tcPr>
          <w:p>
            <w:pPr>
              <w:pStyle w:val="TableText"/>
            </w:pPr>
            <w:r>
              <w:t xml:space="preserve">M3 中/低；M4 中/中</w:t>
            </w:r>
          </w:p>
        </w:tc>
        <w:tc>
          <w:tcPr>
            <w:tcW w:w="1800" w:type="dxa"/>
          </w:tcPr>
          <w:p>
            <w:pPr>
              <w:pStyle w:val="TableText"/>
            </w:pPr>
            <w:r>
              <w:t xml:space="preserve">各 7—9</w:t>
            </w:r>
          </w:p>
        </w:tc>
      </w:tr>
      <w:tr>
        <w:tc>
          <w:tcPr>
            <w:tcW w:w="1800" w:type="dxa"/>
          </w:tcPr>
          <w:p>
            <w:pPr>
              <w:pStyle w:val="TableText"/>
            </w:pPr>
            <w:r>
              <w:t xml:space="preserve">4 MCP 结果语义分叉</w:t>
            </w:r>
          </w:p>
        </w:tc>
        <w:tc>
          <w:tcPr>
            <w:tcW w:w="1800" w:type="dxa"/>
          </w:tcPr>
          <w:p>
            <w:pPr>
              <w:pStyle w:val="TableText"/>
            </w:pPr>
            <w:r>
              <w:t xml:space="preserve">T1 content 与 structuredContent 矛盾；T2 Tasks 外层完成与内层工具错误错配</w:t>
            </w:r>
          </w:p>
        </w:tc>
        <w:tc>
          <w:tcPr>
            <w:tcW w:w="1800" w:type="dxa"/>
          </w:tcPr>
          <w:p>
            <w:pPr>
              <w:pStyle w:val="TableText"/>
            </w:pPr>
            <w:r>
              <w:t xml:space="preserve">工具→记忆</w:t>
            </w:r>
          </w:p>
        </w:tc>
        <w:tc>
          <w:tcPr>
            <w:tcW w:w="1800" w:type="dxa"/>
          </w:tcPr>
          <w:p>
            <w:pPr>
              <w:pStyle w:val="TableText"/>
            </w:pPr>
            <w:r>
              <w:t xml:space="preserve">T1 较低/中；T2 中/较高</w:t>
            </w:r>
          </w:p>
        </w:tc>
        <w:tc>
          <w:tcPr>
            <w:tcW w:w="1800" w:type="dxa"/>
          </w:tcPr>
          <w:p>
            <w:pPr>
              <w:pStyle w:val="TableText"/>
            </w:pPr>
            <w:r>
              <w:t xml:space="preserve">各 7—10</w:t>
            </w:r>
          </w:p>
        </w:tc>
      </w:tr>
      <w:tr>
        <w:tc>
          <w:tcPr>
            <w:tcW w:w="1800" w:type="dxa"/>
          </w:tcPr>
          <w:p>
            <w:pPr>
              <w:pStyle w:val="TableText"/>
            </w:pPr>
            <w:r>
              <w:t xml:space="preserve">5 MCP 发现与延迟读取</w:t>
            </w:r>
          </w:p>
        </w:tc>
        <w:tc>
          <w:tcPr>
            <w:tcW w:w="1800" w:type="dxa"/>
          </w:tcPr>
          <w:p>
            <w:pPr>
              <w:pStyle w:val="TableText"/>
            </w:pPr>
            <w:r>
              <w:t xml:space="preserve">T3 工具列表缓存作用域或到期与已冻结计划错配；T4 resource_link 返回与迟读之间内容变更</w:t>
            </w:r>
          </w:p>
        </w:tc>
        <w:tc>
          <w:tcPr>
            <w:tcW w:w="1800" w:type="dxa"/>
          </w:tcPr>
          <w:p>
            <w:pPr>
              <w:pStyle w:val="TableText"/>
            </w:pPr>
            <w:r>
              <w:t xml:space="preserve">工具</w:t>
            </w:r>
          </w:p>
        </w:tc>
        <w:tc>
          <w:tcPr>
            <w:tcW w:w="1800" w:type="dxa"/>
          </w:tcPr>
          <w:p>
            <w:pPr>
              <w:pStyle w:val="TableText"/>
            </w:pPr>
            <w:r>
              <w:t xml:space="preserve">T3 中/较高；T4 中/中</w:t>
            </w:r>
          </w:p>
        </w:tc>
        <w:tc>
          <w:tcPr>
            <w:tcW w:w="1800" w:type="dxa"/>
          </w:tcPr>
          <w:p>
            <w:pPr>
              <w:pStyle w:val="TableText"/>
            </w:pPr>
            <w:r>
              <w:t xml:space="preserve">各 7—10</w:t>
            </w:r>
          </w:p>
        </w:tc>
      </w:tr>
      <w:tr>
        <w:tc>
          <w:tcPr>
            <w:tcW w:w="1800" w:type="dxa"/>
          </w:tcPr>
          <w:p>
            <w:pPr>
              <w:pStyle w:val="TableText"/>
            </w:pPr>
            <w:r>
              <w:t xml:space="preserve">6 多 Agent 异步交接</w:t>
            </w:r>
          </w:p>
        </w:tc>
        <w:tc>
          <w:tcPr>
            <w:tcW w:w="1800" w:type="dxa"/>
          </w:tcPr>
          <w:p>
            <w:pPr>
              <w:pStyle w:val="TableText"/>
            </w:pPr>
            <w:r>
              <w:t xml:space="preserve">A1 清理后旧消息被重摘要并取得新时间戳；A2 取消子任务的延迟结果仍写共享记忆</w:t>
            </w:r>
          </w:p>
        </w:tc>
        <w:tc>
          <w:tcPr>
            <w:tcW w:w="1800" w:type="dxa"/>
          </w:tcPr>
          <w:p>
            <w:pPr>
              <w:pStyle w:val="TableText"/>
            </w:pPr>
            <w:r>
              <w:t xml:space="preserve">多 Agent→记忆</w:t>
            </w:r>
          </w:p>
        </w:tc>
        <w:tc>
          <w:tcPr>
            <w:tcW w:w="1800" w:type="dxa"/>
          </w:tcPr>
          <w:p>
            <w:pPr>
              <w:pStyle w:val="TableText"/>
            </w:pPr>
            <w:r>
              <w:t xml:space="preserve">A1 中/中；A2 中/中</w:t>
            </w:r>
          </w:p>
        </w:tc>
        <w:tc>
          <w:tcPr>
            <w:tcW w:w="1800" w:type="dxa"/>
          </w:tcPr>
          <w:p>
            <w:pPr>
              <w:pStyle w:val="TableText"/>
            </w:pPr>
            <w:r>
              <w:t xml:space="preserve">各 8—10</w:t>
            </w:r>
          </w:p>
        </w:tc>
      </w:tr>
      <w:tr>
        <w:tc>
          <w:tcPr>
            <w:tcW w:w="1800" w:type="dxa"/>
          </w:tcPr>
          <w:p>
            <w:pPr>
              <w:pStyle w:val="TableText"/>
            </w:pPr>
            <w:r>
              <w:t xml:space="preserve">7 修复与隔离机制</w:t>
            </w:r>
          </w:p>
        </w:tc>
        <w:tc>
          <w:tcPr>
            <w:tcW w:w="1800" w:type="dxa"/>
          </w:tcPr>
          <w:p>
            <w:pPr>
              <w:pStyle w:val="TableText"/>
            </w:pPr>
            <w:r>
              <w:t xml:space="preserve">D1 基于修复代际的在途消息入库门控；D2 双表示结果进入记忆前的一致性门控</w:t>
            </w:r>
          </w:p>
        </w:tc>
        <w:tc>
          <w:tcPr>
            <w:tcW w:w="1800" w:type="dxa"/>
          </w:tcPr>
          <w:p>
            <w:pPr>
              <w:pStyle w:val="TableText"/>
            </w:pPr>
            <w:r>
              <w:t xml:space="preserve">防御</w:t>
            </w:r>
          </w:p>
        </w:tc>
        <w:tc>
          <w:tcPr>
            <w:tcW w:w="1800" w:type="dxa"/>
          </w:tcPr>
          <w:p>
            <w:pPr>
              <w:pStyle w:val="TableText"/>
            </w:pPr>
            <w:r>
              <w:t xml:space="preserve">D1 中/中；D2 中/低</w:t>
            </w:r>
          </w:p>
        </w:tc>
        <w:tc>
          <w:tcPr>
            <w:tcW w:w="1800" w:type="dxa"/>
          </w:tcPr>
          <w:p>
            <w:pPr>
              <w:pStyle w:val="TableText"/>
            </w:pPr>
            <w:r>
              <w:t xml:space="preserve">各 7—9</w:t>
            </w:r>
          </w:p>
        </w:tc>
      </w:tr>
    </w:tbl>
    <w:p>
      <w:pPr>
        <w:pStyle w:val="Normal"/>
      </w:pPr>
      <w:r>
        <w:t xml:space="preserve">表中“人周”为一名研究生完成复现、受控数据、实验、初稿的净工作量，未包含课程与等待外部算力时间。所有题目应先用两周预实验检查攻击链和日志可观测性，未满足相应淘汰条件时再扩大样本。下列每题均给出可复制到开题报告的现状、方案及创新片段。</w:t>
      </w:r>
    </w:p>
    <w:p>
      <w:pPr>
        <w:pStyle w:val="Heading1"/>
      </w:pPr>
      <w:r>
        <w:t xml:space="preserve">五、候选方向的研究现状、研究内容与技术路线</w:t>
      </w:r>
    </w:p>
    <w:p>
      <w:pPr>
        <w:pStyle w:val="Heading2"/>
      </w:pPr>
      <w:r>
        <w:t xml:space="preserve">方向一：安全处理产物的后门回流</w:t>
      </w:r>
    </w:p>
    <w:p>
      <w:pPr>
        <w:pStyle w:val="Normal"/>
      </w:pPr>
      <w:r>
        <w:t xml:space="preserve">本方向不把“事故报告含恶意文字”本身视为新颖。MemMorph 已把事故报告伪装成记忆记录，OEP 已研究经验反思产生有害规则[11][25]。需要研究的差异是防护系统已经明确给出拒绝、负例或检疫状态后，这个状态在后续安全产物中是否被丢弃。</w:t>
      </w:r>
    </w:p>
    <w:p>
      <w:pPr>
        <w:pStyle w:val="Heading2"/>
      </w:pPr>
      <w:r>
        <w:t xml:space="preserve">P1：已拒绝注入经事故摘要重新进入长期记忆</w:t>
      </w:r>
    </w:p>
    <w:p>
      <w:pPr>
        <w:pStyle w:val="Normal"/>
      </w:pPr>
      <w:r>
        <w:t xml:space="preserve">【开题复用片段】间接提示注入与记忆投毒分别已有成熟实证[1][4][11]。但安全检测链可能在拒绝低信任载荷后，仍将含有载荷细节的事故摘要保存为操作经验。与 MemMorph 直接写入伪装事故报告不同，本题要求先观察到“拒绝成功”，再检验拒绝状态是否在安全摘要→长期记忆→未来行动的转换中遗失；目前未检得这一完整事件顺序的直接受控评测，属于需验证的研究缺口。</w:t>
      </w:r>
    </w:p>
    <w:p>
      <w:pPr>
        <w:pStyle w:val="Normal"/>
      </w:pPr>
      <w:r>
        <w:t xml:space="preserve">【研究目标、内容与关键科学问题】目标是识别已拒绝内容为什么仍可能获得新的操作权威。构建读外部材料、拒绝、生成安全摘要、写长期记忆、跨会话触发五阶段链；关键问题是摘要中“引用可疑指令以说明风险”和“把指令作为未来操作建议”能否被稳定区分。</w:t>
      </w:r>
    </w:p>
    <w:p>
      <w:pPr>
        <w:pStyle w:val="Normal"/>
      </w:pPr>
      <w:r>
        <w:t xml:space="preserve">【威胁模型与属性】攻击者只能编辑一份将被读取的外部文档，不能改安全检测器、事故摘要模板、记忆库或系统指令；研究属性为攻击链加写入隔离防御。被拒绝的原始请求不得已经执行，未来模拟动作才计入 ASR。</w:t>
      </w:r>
    </w:p>
    <w:p>
      <w:pPr>
        <w:pStyle w:val="Normal"/>
      </w:pPr>
      <w:r>
        <w:t xml:space="preserve">【开题-实验方案片段】以 InjecAgent 的正常任务和 AgentPoison 的跨会话触发设计为底，新增“拒绝→摘要→写入→触发”的成对合成用例；在 Eino 中记录拒绝标记、摘要文本、记忆来源及最终动作。比较直接记忆投毒、仅安全摘要但不写入、保留拒绝状态的摘要、MemSentry 式写入拦截；消融摘要是否保留原句、引用位置、写入延迟和触发间隔。报告拒绝后再污染率、持久 ASR、正常任务成功率、误拦率与置信区间。无需训练，约 6—8 净人周。</w:t>
      </w:r>
    </w:p>
    <w:p>
      <w:pPr>
        <w:pStyle w:val="Normal"/>
      </w:pPr>
      <w:r>
        <w:t xml:space="preserve">【开题-创新点与预期成果片段】暂定英文题目：Rejected Injection Re-entry through Agent Incident Summaries。拟验证三点：拒绝事件与记忆写入分离造成的回流边界；安全报告引用内容转化为操作权威的因果证据；带拒绝来源标记的轻量写入门控。预期形成一套有事件日志的测试集、一篇攻击与缓解小论文及毕业论文案例。主要风险是已有安全报告机制不生成可复用记忆，或 MemTX/TMA-NM 默认来源绑定已完全阻断；出现任一情况即降级为防御案例，不单投。</w:t>
      </w:r>
    </w:p>
    <w:p>
      <w:pPr>
        <w:pStyle w:val="Heading2"/>
      </w:pPr>
      <w:r>
        <w:t xml:space="preserve">P2：安全负例在检索示例库中的标签脱落</w:t>
      </w:r>
    </w:p>
    <w:p>
      <w:pPr>
        <w:pStyle w:val="Normal"/>
      </w:pPr>
      <w:r>
        <w:t xml:space="preserve">【开题复用片段】提示注入测试通常保留恶意片段作为负例，经验型 Agent 则会检索历史示例辅助后续任务。现有 MemoryGraft、OEP 和验证状态洗白研究说明示例、反思与状态标签均可能影响决策[7][19][25]，但尚未检得把“明确判为禁止的安全测试负例”在示例索引中丢失负标签、继而作为正向工作范例检索出来的直接实验。本题的创新前提是系统原本确有测试案例入库流程。</w:t>
      </w:r>
    </w:p>
    <w:p>
      <w:pPr>
        <w:pStyle w:val="Normal"/>
      </w:pPr>
      <w:r>
        <w:t xml:space="preserve">【研究目标、内容与关键科学问题】目标是量化负例标签从测试日志、向量索引元数据、检索片段到执行提示中的保存率；核心问题是标签脱落是否独立于恶意文本本身造成后门激活。构造相同文本仅改变“禁止/示例/未知”标签的配对实验。</w:t>
      </w:r>
    </w:p>
    <w:p>
      <w:pPr>
        <w:pStyle w:val="Normal"/>
      </w:pPr>
      <w:r>
        <w:t xml:space="preserve">【威胁模型与属性】攻击者仅能提交会被安全测试采集的低信任样例，不能编辑样例标签、索引器或系统指令；属性为提示层与检索记忆层组合攻击及元数据保真防御。</w:t>
      </w:r>
    </w:p>
    <w:p>
      <w:pPr>
        <w:pStyle w:val="Normal"/>
      </w:pPr>
      <w:r>
        <w:t xml:space="preserve">【开题-实验方案片段】用 Eino 建立一个真实可复用的安全回归案例库，接入正常任务检索；比较原文引用、摘要化、只保留标签、标签绑定检索四条件。基线为纯文本过滤、MemSentry 式写入判断、完整 provenance 绑定；消融检索 top-k、负例比例、摘要长度及是否跨会话。指标为负例误当正例率、未来 ASR、正常任务 TSR、FPR；约 6—8 净人周，无需训练。自建数据的难点在于保证每个负例都有等价的正常工作样例，避免只测关键词泄漏。</w:t>
      </w:r>
    </w:p>
    <w:p>
      <w:pPr>
        <w:pStyle w:val="Normal"/>
      </w:pPr>
      <w:r>
        <w:t xml:space="preserve">【开题-创新点与预期成果片段】暂定英文题目：Negative-Safety-Example Label Loss in Retrieval-Augmented Agents。拟贡献标签脱落的状态链、负例与正常样例配对基准、检索时标签强绑定。预期独立小论文和可重放测试集。风险是场景过于依赖自建流程；若无法找到现成 Agent 安全回归工作流，或简单元数据过滤已将 ASR 降为零且正常效用不受损，则不单投。</w:t>
      </w:r>
    </w:p>
    <w:p>
      <w:pPr>
        <w:pStyle w:val="Heading2"/>
      </w:pPr>
      <w:r>
        <w:t xml:space="preserve">方向二：记忆生命周期与事务边界</w:t>
      </w:r>
    </w:p>
    <w:p>
      <w:pPr>
        <w:pStyle w:val="Normal"/>
      </w:pPr>
      <w:r>
        <w:t xml:space="preserve">MemTX 已提出带证据、权限、来源和有效期的事务式记忆提交，并研究迟到写入与级联修复；Forgetting Without Restarting 已研究删除后仍保留的执行状态[13][14]。因此，本方向只保留两个更窄的问题：检疫和后台汇总在特定时序中的冲突，以及独立佐证集合变化导致已提升记忆的权限应否回落。</w:t>
      </w:r>
    </w:p>
    <w:p>
      <w:pPr>
        <w:pStyle w:val="Heading2"/>
      </w:pPr>
      <w:r>
        <w:t xml:space="preserve">M1：来源检疫后，排队中的摘要快照仍提交派生记忆</w:t>
      </w:r>
    </w:p>
    <w:p>
      <w:pPr>
        <w:pStyle w:val="Normal"/>
      </w:pPr>
      <w:r>
        <w:t xml:space="preserve">【开题复用片段】已有研究证明接受记忆不等于可行动信念，迟到写入也可能污染共享状态[13]。尚需检查的一种具体窗口是：外部材料已经被读入异步摘要任务，安全系统随后检疫该材料，而摘要任务持有旧快照并在检疫后提交一条表面干净的派生记忆。与一般迟到写入相比，本题固定“读取—排队—检疫—提交—跨会话触发”的顺序，并要求攻击者只控制最初外部材料。</w:t>
      </w:r>
    </w:p>
    <w:p>
      <w:pPr>
        <w:pStyle w:val="Normal"/>
      </w:pPr>
      <w:r>
        <w:t xml:space="preserve">【研究目标、内容与关键科学问题】目标是确定源检疫事件是否必须使所有尚未提交的派生记忆失效；科学问题是提交时怎样低成本核查摘要的源祖先、快照版本与检疫纪元，同时保留正常后台汇总能力。</w:t>
      </w:r>
    </w:p>
    <w:p>
      <w:pPr>
        <w:pStyle w:val="Normal"/>
      </w:pPr>
      <w:r>
        <w:t xml:space="preserve">【威胁模型与属性】攻击者控制一份工具可读的外部文本，不能安排系统检疫、不能修改异步任务和记忆写入代码；研究属性为攻击与事务式防御。检疫前写入的普通记忆污染不计本题成功。</w:t>
      </w:r>
    </w:p>
    <w:p>
      <w:pPr>
        <w:pStyle w:val="Normal"/>
      </w:pPr>
      <w:r>
        <w:t xml:space="preserve">【开题-实验方案片段】Eino 长期记忆加可控任务队列，安排检疫发生在任务读取前、读取后提交前、提交后三个窗口；用 AgentPoison/MemoryGraft 任务生成成对正常与攻击素材。基线为无校验、读取前检疫、记录级撤销过滤、MemTX 风格提交校验；防御为提交时核验不可变 source_id 与 quarantine_epoch。测检疫后写入率、跨会话 ASR、干净记忆保留率、提交延迟；消融队列延迟和摘要是否保留来源。约 6—8 净人周。</w:t>
      </w:r>
    </w:p>
    <w:p>
      <w:pPr>
        <w:pStyle w:val="Normal"/>
      </w:pPr>
      <w:r>
        <w:t xml:space="preserve">【开题-创新点与预期成果片段】暂定英文题目：Quarantine-Epoch Races in Asynchronous Agent Memory Consolidation。拟贡献明确的异步快照攻击窗口、事件时序基准、提交时检疫纪元核验。预期小论文、可重放事件日志与防御原型。若 MemTX 原实现直接覆盖完整顺序且无需额外机制，或 Eino 无法稳定产生后台摘要写入，则淘汰独立选题。</w:t>
      </w:r>
    </w:p>
    <w:p>
      <w:pPr>
        <w:pStyle w:val="Heading2"/>
      </w:pPr>
      <w:r>
        <w:t xml:space="preserve">M2：独立佐证撤销后，已提升记忆的行动权限未回落</w:t>
      </w:r>
    </w:p>
    <w:p>
      <w:pPr>
        <w:pStyle w:val="Normal"/>
      </w:pPr>
      <w:r>
        <w:t xml:space="preserve">【开题复用片段】TMA-NM 研究来源绑定与抗伪造的独立佐证门控，Revoked but Still Authoritative 研究记录撤销后的检索权威问题，MemTX 已包含一般有效期与派生修复[13][20][30]。本题不重复“伪造多数”或“撤销一条恶意记录”，而检验一条低信任记忆已由多个独立合法来源提升权限后，其中一个佐证来源被撤销或过期，原记忆是否仍保留行动资格。现有公开实证中未检得这一动态佐证集合场景的直接对照。</w:t>
      </w:r>
    </w:p>
    <w:p>
      <w:pPr>
        <w:pStyle w:val="Normal"/>
      </w:pPr>
      <w:r>
        <w:t xml:space="preserve">【研究目标、内容与关键科学问题】目标是建立随佐证集合版本变化而重新计算行动权限的推理时规则。关键问题是撤销单个佐证时怎样区别真正失去支持的记忆与仍有足够独立证据的正常记忆。</w:t>
      </w:r>
    </w:p>
    <w:p>
      <w:pPr>
        <w:pStyle w:val="Normal"/>
      </w:pPr>
      <w:r>
        <w:t xml:space="preserve">【威胁模型与属性】攻击者可先控制一条低信任种子记录，并等待系统按常规机制完成佐证；不能伪造可信来源、撤销事件或直接改权限。属性为后门攻击与动态来源验证防御。</w:t>
      </w:r>
    </w:p>
    <w:p>
      <w:pPr>
        <w:pStyle w:val="Normal"/>
      </w:pPr>
      <w:r>
        <w:t xml:space="preserve">【开题-实验方案片段】以 TMA-NM、MemTX 的公开任务形式复建“种子—两个独立佐证—撤销其中之一—未来触发”，并新增未撤销、撤销无关佐证、仍有足够支持三组正常对照。比较静态权限提升、只过滤被撤销记录、通用级联修复、动作时证据集合重验；记录撤销前后 ASR、TSR、FPR、重验成本。框架优先 Eino，纯推理时规则，约 6—8 净人周。若原方法已完整处理集合成员撤销，转为对比案例而非新论文。</w:t>
      </w:r>
    </w:p>
    <w:p>
      <w:pPr>
        <w:pStyle w:val="Normal"/>
      </w:pPr>
      <w:r>
        <w:t xml:space="preserve">【开题-创新点与预期成果片段】暂定英文题目：Dynamic De-Elevation of Agent Memory after Corroborator Revocation。拟贡献动态佐证撤销的后门威胁模型、成对时序用例、证据集合版本绑定的动作时防护。预期独立小论文与记忆权限评测脚本。主要风险是已有 TMA-NM 或 MemTX 的强实现直接覆盖该状态，因此须优先复现其源码而不是仅比较摘要。</w:t>
      </w:r>
    </w:p>
    <w:p>
      <w:pPr>
        <w:pStyle w:val="Heading2"/>
      </w:pPr>
      <w:r>
        <w:t xml:space="preserve">方向三：记忆向工具能力的迁移</w:t>
      </w:r>
    </w:p>
    <w:p>
      <w:pPr>
        <w:pStyle w:val="Normal"/>
      </w:pPr>
      <w:r>
        <w:t xml:space="preserve">MemMorph 已研究长期记忆诱导错误工具选择，ETDI 和工具漂移研究已覆盖工具元数据变化[9][11][27]。本方向只检查工具生命周期发生实际变化后，旧的程序性经验是否仍可跨工具或跨版本生效；必须证明当前工具描述和当前用户任务本身没有恶意指令。</w:t>
      </w:r>
    </w:p>
    <w:p>
      <w:pPr>
        <w:pStyle w:val="Heading2"/>
      </w:pPr>
      <w:r>
        <w:t xml:space="preserve">M3：恶意工具退役后的跨工具习惯残留</w:t>
      </w:r>
    </w:p>
    <w:p>
      <w:pPr>
        <w:pStyle w:val="Normal"/>
      </w:pPr>
      <w:r>
        <w:t xml:space="preserve">【开题复用片段】记忆投毒可以改变工具选择[11]，但一般实验在恶意工具仍可见时测 ASR。本题把恶意 MCP 工具先投入少量正常交互，使其留下“如何完成任务”的经验；随后工具真正从目录移除，观察 Agent 是否仍用另一合法工具执行旧经验所建议的错误操作。若仅因恶意工具仍在线而触发，则不属于本题。</w:t>
      </w:r>
    </w:p>
    <w:p>
      <w:pPr>
        <w:pStyle w:val="Normal"/>
      </w:pPr>
      <w:r>
        <w:t xml:space="preserve">【研究目标、内容与关键科学问题】目标是量化工具退役后程序性记忆的寿命与迁移路径；关键问题是经验中的工具身份、版本与能力边界是否应成为检索和执行条件。</w:t>
      </w:r>
    </w:p>
    <w:p>
      <w:pPr>
        <w:pStyle w:val="Normal"/>
      </w:pPr>
      <w:r>
        <w:t xml:space="preserve">【威胁模型与属性】攻击者一度控制一个低信任 MCP 工具及其返回，但不控制后来使用的合法工具、用户请求、长期记忆管理器；属性为攻击链与记忆失效防御。</w:t>
      </w:r>
    </w:p>
    <w:p>
      <w:pPr>
        <w:pStyle w:val="Normal"/>
      </w:pPr>
      <w:r>
        <w:t xml:space="preserve">【开题-实验方案片段】使用 Eino 和本地 MCP 测试服务，建立工具上线—经验写入—工具移除—跨会话正常任务四阶段；对照工具仍在、已退役但清空经验、退役后保留经验、工具身份绑定检索。与 MemMorph、ETDI、一般来源过滤比较；消融记忆长度、经验形式、替代工具相似度、退役至触发间隔。测退役后 ASR、合法工具误用率、正常 TSR 和误清理率；约 7—9 净人周。</w:t>
      </w:r>
    </w:p>
    <w:p>
      <w:pPr>
        <w:pStyle w:val="Normal"/>
      </w:pPr>
      <w:r>
        <w:t xml:space="preserve">【开题-创新点与预期成果片段】暂定英文题目：Cross-Tool Backdoors after Poisoned MCP Tool Retirement。拟贡献“载体已退出、效果仍存在”的因果设定、跨工具迁移曲线、工具身份绑定的最小经验失效。预期一篇小论文与工具生命周期测试套件。若退役后 ASR 不高于无投毒对照，或已有 MemMorph 强基线在相同退役设定中完全覆盖，淘汰。</w:t>
      </w:r>
    </w:p>
    <w:p>
      <w:pPr>
        <w:pStyle w:val="Heading2"/>
      </w:pPr>
      <w:r>
        <w:t xml:space="preserve">M4：同名工具升级后，旧程序性经验仍指导新契约调用</w:t>
      </w:r>
    </w:p>
    <w:p>
      <w:pPr>
        <w:pStyle w:val="Normal"/>
      </w:pPr>
      <w:r>
        <w:t xml:space="preserve">【开题复用片段】工具目录变化与 rug pull 已有研究[9][27][28]，但旧经验在工具真正升级后如何影响未来调用，和工具描述即时投毒不是同一时点。本题限定工具名保持不变、旧版本已撤下、新版本的输入或副作用语义改变，攻击者过去留下的经验在未来触发时压过当前契约。创新主张仅成立于“旧经验与新版本发生冲突”这一特定状态。</w:t>
      </w:r>
    </w:p>
    <w:p>
      <w:pPr>
        <w:pStyle w:val="Normal"/>
      </w:pPr>
      <w:r>
        <w:t xml:space="preserve">【研究目标、内容与关键科学问题】目标是给程序性记忆增加工具契约版本依赖，并测升级后的选择性失效。关键问题是只失效相关经验能否同时阻断后门和保留正常迁移经验。</w:t>
      </w:r>
    </w:p>
    <w:p>
      <w:pPr>
        <w:pStyle w:val="Normal"/>
      </w:pPr>
      <w:r>
        <w:t xml:space="preserve">【威胁模型与属性】攻击者只曾控制旧版工具可见的低信任输出；不控制新工具定义、升级事件或其他权限。属性为工具与记忆组合攻击、防御。</w:t>
      </w:r>
    </w:p>
    <w:p>
      <w:pPr>
        <w:pStyle w:val="Normal"/>
      </w:pPr>
      <w:r>
        <w:t xml:space="preserve">【开题-实验方案片段】构建同名工具 v1/v2 的合成业务任务，v2 保留功能但变更一个副作用字段；在升级前写入含误导规则的经验，升级后触发。对照立即更新描述但无旧记忆、工具名绑定、schema 哈希绑定、只重验有冲突经验；评测升级后 ASR、误失效率、正常任务 TSR，消融变更字段、版本间隔与检索频率。可在 Eino 加本地 MCP 完成，约 7—9 净人周。</w:t>
      </w:r>
    </w:p>
    <w:p>
      <w:pPr>
        <w:pStyle w:val="Normal"/>
      </w:pPr>
      <w:r>
        <w:t xml:space="preserve">【开题-创新点与预期成果片段】暂定英文题目：Version-Stale Procedural Memory as an Agent Tool Backdoor。拟贡献工具升级与经验冲突的可重放设定、按契约差异选择性失效策略、攻击收益与正常经验保留的权衡分析。预期独立小论文与版本化任务集。若仅工具描述更新就能解释全部现象，或简单全清旧记忆没有明显效用损失，独立创新不足，应合入 M3。</w:t>
      </w:r>
    </w:p>
    <w:p>
      <w:pPr>
        <w:pStyle w:val="Heading2"/>
      </w:pPr>
      <w:r>
        <w:t xml:space="preserve">方向四：MCP 工具结果的语义分叉</w:t>
      </w:r>
    </w:p>
    <w:p>
      <w:pPr>
        <w:pStyle w:val="Normal"/>
      </w:pPr>
      <w:r>
        <w:t xml:space="preserve">MCPTox、MCP-ITP 与 GhostSplice 已覆盖一般工具元数据投毒和跨通道操控[8][17]。2026-07-28 MCP 官方规范同时允许 content 与 structuredContent，并将工具级错误与协议级错误分开[23]。研究重点是协议上合法的多表示、多层状态被 Agent 宿主、审计器及记忆层不同消费后发生的具体偏差，而非“工具返回值里写坏话”。</w:t>
      </w:r>
    </w:p>
    <w:p>
      <w:pPr>
        <w:pStyle w:val="Heading2"/>
      </w:pPr>
      <w:r>
        <w:t xml:space="preserve">T1：双表示结果在审计、执行与记忆中的消费分裂</w:t>
      </w:r>
    </w:p>
    <w:p>
      <w:pPr>
        <w:pStyle w:val="Normal"/>
      </w:pPr>
      <w:r>
        <w:t xml:space="preserve">【开题复用片段】MCP 工具结果可同时包含自然语言 content 和结构化 structuredContent，规范对兼容文本仅使用 SHOULD 建议，且 2026-07-28 版允许结构化值为任意 JSON 值[23]。已观察到不同客户端对两侧内容的模型可见性存在差异[32]；GhostSplice 研究的是跨通道隐式信任，并未直接给出双表示冲突导致跨会话后门的因果评测[17]。本题检验一侧被审计、另一侧被执行或写记忆时的持久风险。</w:t>
      </w:r>
    </w:p>
    <w:p>
      <w:pPr>
        <w:pStyle w:val="Normal"/>
      </w:pPr>
      <w:r>
        <w:t xml:space="preserve">【研究目标、内容与关键科学问题】目标是确定双表示中“与决策有关的事实冲突”是否会造成审计漏检和未来任务错误工具偏好。关键问题是文本摘要可合法不同于 JSON，防御如何只阻断真正改变行动判断的矛盾，而不过度要求字节相等。</w:t>
      </w:r>
    </w:p>
    <w:p>
      <w:pPr>
        <w:pStyle w:val="Normal"/>
      </w:pPr>
      <w:r>
        <w:t xml:space="preserve">【威胁模型与属性】攻击者控制一个恶意或被攻陷的 MCP 服务端返回，但不能改宿主审计器、记忆模块、用户任务及其他工具；属性为攻击与语义一致性防御。</w:t>
      </w:r>
    </w:p>
    <w:p>
      <w:pPr>
        <w:pStyle w:val="Normal"/>
      </w:pPr>
      <w:r>
        <w:t xml:space="preserve">【开题-实验方案片段】Eino 对接本地 MCP 服务；构造双侧一致、仅文本恶意、仅结构化恶意、两侧事实冲突四类返回，并分别控制模型可见侧、审计侧、记忆写入侧。比较单字段投毒、只做 outputSchema 校验、ShieldMCP 式结果拦截与决策相关事实一致性门控；做记忆开关、任务类型、JSON 值类型和跨会话长度消融。测持久 ASR、审计漏检率、正常 TSR、FPR 与开销；约 7—9 净人周。不得把结构化 schema 通过误写为内容可信。</w:t>
      </w:r>
    </w:p>
    <w:p>
      <w:pPr>
        <w:pStyle w:val="Normal"/>
      </w:pPr>
      <w:r>
        <w:t xml:space="preserve">【开题-创新点与预期成果片段】暂定英文题目：Persistent Backdoors from Divergent MCP Result Views。拟贡献双侧消费矩阵、跨会话失配基准、容许合法摘要差异的语义门控。预期独立小论文与 MCP 双视图测试服务。风险是目标客户端只消费一侧而不写记忆；若跨客户端没有任何双视图分歧，则仅能作为实现测试，不能主张普遍漏洞。</w:t>
      </w:r>
    </w:p>
    <w:p>
      <w:pPr>
        <w:pStyle w:val="Heading2"/>
      </w:pPr>
      <w:r>
        <w:t xml:space="preserve">T2：异步 Tasks 外层完成与内部工具错误被误合成为成功经验</w:t>
      </w:r>
    </w:p>
    <w:p>
      <w:pPr>
        <w:pStyle w:val="Normal"/>
      </w:pPr>
      <w:r>
        <w:t xml:space="preserve">【开题复用片段】MCP Tasks 扩展草案明确区分任务外层状态和工具内部结果：status=completed 可以包含 result.isError=true[24]；一般 MCP 错误结果可行动性已有研究[26]。本题仅研究客户端把“协议层已完成”误当“业务操作成功”，再把错误文本中的建议写为成功经验并在未来触发；一般同步错误投毒不是新贡献。</w:t>
      </w:r>
    </w:p>
    <w:p>
      <w:pPr>
        <w:pStyle w:val="Normal"/>
      </w:pPr>
      <w:r>
        <w:t xml:space="preserve">【研究目标、内容与关键科学问题】目标是测量异步任务状态折叠造成的假成功记忆；关键问题是记忆写入需要怎样联合检查任务、工具和业务结果三种状态。</w:t>
      </w:r>
    </w:p>
    <w:p>
      <w:pPr>
        <w:pStyle w:val="Normal"/>
      </w:pPr>
      <w:r>
        <w:t xml:space="preserve">【威胁模型与属性】攻击者控制一个 MCP 服务端的合法工具级错误结果和文本，不能改客户端的任务状态机、用户请求和记忆策略；属性为协议状态攻击加推理时状态门控。</w:t>
      </w:r>
    </w:p>
    <w:p>
      <w:pPr>
        <w:pStyle w:val="Normal"/>
      </w:pPr>
      <w:r>
        <w:t xml:space="preserve">【开题-实验方案片段】本地 MCP Tasks 测试服务注入 completed/isError=true 与正确 failed/protocol-error 等对照；记录宿主是否写入“成功经验”，并在新会话执行正常触发任务。与同步 isError 投毒、错误文本过滤、状态联合判定比较；消融任务轮询方式、错误提示强度、是否写记忆。测假成功记忆率、持久 ASR、正常任务 TSR、误拦率；约 8—10 净人周。Tasks 仍是扩展草案，必须先完成 SDK 往返；若两周内无法获得稳定实现，立即转 T1 或 M2。</w:t>
      </w:r>
    </w:p>
    <w:p>
      <w:pPr>
        <w:pStyle w:val="Normal"/>
      </w:pPr>
      <w:r>
        <w:t xml:space="preserve">【开题-创新点与预期成果片段】暂定英文题目：Completed-but-Errored MCP Tasks as Persistent Agent Backdoors。拟贡献外层/内层错误状态的受控后门设定、可重放 Tasks 事件集、状态联合写入规则。预期一篇小论文及协议测试脚本。主要限制是规范新、客户端差异大；若被测客户端已完整区分状态且无跨会话效应，则不应以“规范存在”代替攻击成功证据。</w:t>
      </w:r>
    </w:p>
    <w:p>
      <w:pPr>
        <w:pStyle w:val="Heading2"/>
      </w:pPr>
      <w:r>
        <w:t xml:space="preserve">方向五：MCP 工具发现、缓存与延迟读取</w:t>
      </w:r>
    </w:p>
    <w:p>
      <w:pPr>
        <w:pStyle w:val="Normal"/>
      </w:pPr>
      <w:r>
        <w:t xml:space="preserve">2026-07-28 MCP 工具列表响应包含 ttlMs/cacheScope，变更通知经 subscriptions/listen 送达；工具结果还可返回资源链接，客户端稍后再读资源[23]。ETDI、WebMCP 研究和近期工具漂移研究已覆盖一般动态工具表风险[9][27][28]，故本方向只考察“何时取得的能力说明”和“何时读取的结果内容”发生时间错位后的后门。</w:t>
      </w:r>
    </w:p>
    <w:p>
      <w:pPr>
        <w:pStyle w:val="Heading2"/>
      </w:pPr>
      <w:r>
        <w:t xml:space="preserve">T3：工具列表缓存到期与已冻结计划之间的契约错位</w:t>
      </w:r>
    </w:p>
    <w:p>
      <w:pPr>
        <w:pStyle w:val="Normal"/>
      </w:pPr>
      <w:r>
        <w:t xml:space="preserve">【开题复用片段】工具目录 rug pull 已有直接工作[9][28]。本题区别在于工具列表含 TTL 与缓存作用域时，Agent 在有效缓存内制定计划，工具目录到期或收到 list_changed 通知后重新获取新契约，而原计划仍按旧语义执行；若该计划被写成未来经验，偏差可跨会话保留。是否存在这一“计划冻结—目录失效—执行与记忆”连锁，需要在真实客户端和本地可控服务中验证，不能仅根据规范推断漏洞。</w:t>
      </w:r>
    </w:p>
    <w:p>
      <w:pPr>
        <w:pStyle w:val="Normal"/>
      </w:pPr>
      <w:r>
        <w:t xml:space="preserve">【研究目标、内容与关键科学问题】目标是测量计划对工具契约版本的依赖，并提出只在契约实质变更时的计划重绑定；关键问题是正常 TTL 到期是否应触发全计划重做，怎样减少不必要的任务中断。</w:t>
      </w:r>
    </w:p>
    <w:p>
      <w:pPr>
        <w:pStyle w:val="Normal"/>
      </w:pPr>
      <w:r>
        <w:t xml:space="preserve">【威胁模型与属性】攻击者控制一个可变更的低信任 MCP 工具目录和响应，不控制宿主缓存管理、用户任务或其他工具；研究属性为攻击与执行前契约校验。</w:t>
      </w:r>
    </w:p>
    <w:p>
      <w:pPr>
        <w:pStyle w:val="Normal"/>
      </w:pPr>
      <w:r>
        <w:t xml:space="preserve">【开题-实验方案片段】本地 MCP 服务按计划生成前、TTL 到期时、通知到达时、执行前四时点改变同名工具的一个决策相关字段；Eino 记录目录版本、计划版本及调用版本。比较只在会话开始获取目录、收到通知重抓、执行前 schema 哈希校验、完整计划重算；消融 ttlMs、cacheScope、通知丢失和变更幅度。测旧计划错误执行率、跨会话 ASR、正常 TSR 与重规划开销；约 8—10 净人周。若被测 SDK 不支持新版缓存字段，只能以协议测试服务作为概念验证，并将工程风险评为较高。</w:t>
      </w:r>
    </w:p>
    <w:p>
      <w:pPr>
        <w:pStyle w:val="Normal"/>
      </w:pPr>
      <w:r>
        <w:t xml:space="preserve">【开题-创新点与预期成果片段】暂定英文题目：Frozen Agent Plans across MCP Tool-List Cache Transitions。拟贡献三时刻契约错配任务集、计划与工具版本关联指标、轻量重绑定策略。预期协议测试脚本与候选小论文。若现有 ETDI/工具漂移方法在同一序列中已完全覆盖，或实验只能复现普通 rug pull，淘汰。</w:t>
      </w:r>
    </w:p>
    <w:p>
      <w:pPr>
        <w:pStyle w:val="Heading2"/>
      </w:pPr>
      <w:r>
        <w:t xml:space="preserve">T4：MCP resource_link 在返回与迟读之间发生内容替换</w:t>
      </w:r>
    </w:p>
    <w:p>
      <w:pPr>
        <w:pStyle w:val="Normal"/>
      </w:pPr>
      <w:r>
        <w:t xml:space="preserve">【开题复用片段】MCP 工具可以返回 resource_link，链接指向的资源并不保证预先出现在 resources/list 中，客户端常在之后才读取[23]。现有工具返回值注入主要按“结果被调用时立即消费”评测，尚未检得“链接返回时正常、稍后 resources/read 时内容被替换、再进入长期记忆”的直接成套实验。与一般网页 TOCTOU 相比，本题限定 MCP 资源链接、读取时点和记忆保存三者的关系。</w:t>
      </w:r>
    </w:p>
    <w:p>
      <w:pPr>
        <w:pStyle w:val="Normal"/>
      </w:pPr>
      <w:r>
        <w:t xml:space="preserve">【研究目标、内容与关键科学问题】目标是确定客户端是否把链接生成时的信任判断沿用到迟读内容；关键问题是资源内容更新后如何重做来源和版本检查，而不禁止正常实时数据更新。</w:t>
      </w:r>
    </w:p>
    <w:p>
      <w:pPr>
        <w:pStyle w:val="Normal"/>
      </w:pPr>
      <w:r>
        <w:t xml:space="preserve">【威胁模型与属性】攻击者仅控制一个第三方 MCP 资源 URI 对应的内容更新，或控制返回该链接的恶意工具；不控制客户端、用户指令及合法工具。属性为工具与记忆组合攻击、迟读校验防御。</w:t>
      </w:r>
    </w:p>
    <w:p>
      <w:pPr>
        <w:pStyle w:val="Normal"/>
      </w:pPr>
      <w:r>
        <w:t xml:space="preserve">【开题-实验方案片段】本地 MCP 服务返回固定 resource_link，在调用结束后、资源读取前改变内容；建立读取即用、延迟读取、读取后摘要入记忆三组。对照嵌入式资源、普通文本工具结果、资源读时重新校验与 URI/内容哈希绑定；消融更新时间、链接缓存、同 URI 多版本。指标为迟读后 ASR、跨会话保留率、正常资源更新通过率、FPR；约 7—9 净人周。自建用例须包含合法会变化的资源，防止防御仅靠禁止更新获胜。</w:t>
      </w:r>
    </w:p>
    <w:p>
      <w:pPr>
        <w:pStyle w:val="Normal"/>
      </w:pPr>
      <w:r>
        <w:t xml:space="preserve">【开题-创新点与预期成果片段】暂定英文题目：Deferred MCP Resource Reads as a Persistent Agent Backdoor Surface。拟贡献链接取得与资源消费分离的时序威胁模型、成对动态资源任务、读取时版本与信任复核策略。预期一篇小论文和本地 MCP 服务样例。若真实客户端不会自动迟读链接、或资源变化总是由用户重新确认，则只能作为较窄协议案例。</w:t>
      </w:r>
    </w:p>
    <w:p>
      <w:pPr>
        <w:pStyle w:val="Heading2"/>
      </w:pPr>
      <w:r>
        <w:t xml:space="preserve">方向六：多 Agent 异步交接中的后门再传播</w:t>
      </w:r>
    </w:p>
    <w:p>
      <w:pPr>
        <w:pStyle w:val="Normal"/>
      </w:pPr>
      <w:r>
        <w:t xml:space="preserve">Prompt Infection、PlanFlip、MEMOREPAIR 及多 Agent 记忆传播修复工作已覆盖普通消息感染、协作传播和存储内级联修复[5][22][33]。近期授权撤销、执行状态遗忘和来源绑定研究也已涉及撤销后的状态问题[14][20][29]。本方向仅针对安全清理或任务取消之后的“在途产物”如何被另一 Agent 重新解释为新证据，避免把简单延迟消息包装为新问题。</w:t>
      </w:r>
    </w:p>
    <w:p>
      <w:pPr>
        <w:pStyle w:val="Heading2"/>
      </w:pPr>
      <w:r>
        <w:t xml:space="preserve">A1：修复后旧产物被其他 Agent 重新摘要并取得新时间戳</w:t>
      </w:r>
    </w:p>
    <w:p>
      <w:pPr>
        <w:pStyle w:val="Normal"/>
      </w:pPr>
      <w:r>
        <w:t xml:space="preserve">【开题复用片段】多 Agent 传播和记忆修复已有研究[5][22][33]，但若污染源已被检疫、共享记忆已清理，而在途旧消息被另一 Agent 再次摘要、获得新消息 ID 与新时间戳，按到达时间过滤可能误判它是修复后的新证据。本题研究“旧来源—新包装”这一确定的跨 Agent 转换，必须记录不可变来源祖先才能区别于一般迟到消息。</w:t>
      </w:r>
    </w:p>
    <w:p>
      <w:pPr>
        <w:pStyle w:val="Normal"/>
      </w:pPr>
      <w:r>
        <w:t xml:space="preserve">【研究目标、内容与关键科学问题】目标是量化新包装是否绕过只看创建时间的修复门控；关键问题是来源祖先和修复纪元如何跨交接保真，以及怎样避免阻断无关的修复后新工作。</w:t>
      </w:r>
    </w:p>
    <w:p>
      <w:pPr>
        <w:pStyle w:val="Normal"/>
      </w:pPr>
      <w:r>
        <w:t xml:space="preserve">【威胁模型与属性】攻击者仅控制最初被检索的一个外部文档或工具片段，不能修改消息队列、其他 Agent、修复逻辑和最终合法工具；属性为多 Agent 后门传播与隔离防御。</w:t>
      </w:r>
    </w:p>
    <w:p>
      <w:pPr>
        <w:pStyle w:val="Normal"/>
      </w:pPr>
      <w:r>
        <w:t xml:space="preserve">【开题-实验方案片段】三 Agent 分别负责检索、摘要、执行；安排源检疫、共享记忆清理、旧产物新摘要、跨会话触发四阶段。对照旧消息原样送达、旧消息被重摘要、完全新消息和无污染消息；比较只按到达时间拦截、全队列清空、不可变来源祖先+修复纪元检查。消融消息延迟、摘要次数、source_id 保留率；指标为再污染率、后续 ASR、正常消息通过率与清理成本。Eino 队列即可实现，约 8—10 净人周。</w:t>
      </w:r>
    </w:p>
    <w:p>
      <w:pPr>
        <w:pStyle w:val="Normal"/>
      </w:pPr>
      <w:r>
        <w:t xml:space="preserve">【开题-创新点与预期成果片段】暂定英文题目：Repair-Epoch Repackaging of Poisoned Handoffs in Multi-Agent Systems。拟贡献“新包装旧来源”的后门闭环、可复现交接时序、源祖先绑定的隔离边界。预期独立小论文与三 Agent 回放环境。若真实框架不产生跨 Agent 重包装，或 TMA-NM 原样已经完全解决该场景，则淘汰。</w:t>
      </w:r>
    </w:p>
    <w:p>
      <w:pPr>
        <w:pStyle w:val="Heading2"/>
      </w:pPr>
      <w:r>
        <w:t xml:space="preserve">A2：已取消子任务的延迟回调仍进入共享记忆</w:t>
      </w:r>
    </w:p>
    <w:p>
      <w:pPr>
        <w:pStyle w:val="Normal"/>
      </w:pPr>
      <w:r>
        <w:t xml:space="preserve">【开题复用片段】授权撤销研究已讨论长任务取消后可能产生迟到外部效果，执行状态遗忘研究关注残留状态[14][29]。本题不研究取消后工具仍执行，而研究一个已取消子任务的结果回调被另一个 Agent 当作“新证据”写入共享记忆，随后在未来合法任务中触发错误。尚未检得把“取消状态—回调接收—记忆入库—延迟触发”作为独立终点的直接受控评测。</w:t>
      </w:r>
    </w:p>
    <w:p>
      <w:pPr>
        <w:pStyle w:val="Normal"/>
      </w:pPr>
      <w:r>
        <w:t xml:space="preserve">【研究目标、内容与关键科学问题】目标是判定取消语义应延伸到结果入库；关键问题是任务取消和结果写入如何形成原子约束，同时保留取消前已合法完成且应保留的结果。</w:t>
      </w:r>
    </w:p>
    <w:p>
      <w:pPr>
        <w:pStyle w:val="Normal"/>
      </w:pPr>
      <w:r>
        <w:t xml:space="preserve">【威胁模型与属性】攻击者仅控制一个子任务将读取的低信任结果文本，不能发起或撤销任务、不能直接编辑共享记忆；属性为多 Agent 攻击与运行时状态门控。</w:t>
      </w:r>
    </w:p>
    <w:p>
      <w:pPr>
        <w:pStyle w:val="Normal"/>
      </w:pPr>
      <w:r>
        <w:t xml:space="preserve">【开题-实验方案片段】三 Agent 分别负责调度、检索、写记忆，设置取消在结果生成前、生成后未回调、回调后未写入和写入后四种顺序。比较无状态检查、只阻止取消后外部执行、接收回调时检查、写入前原子检查；消融队列延迟与重试次数。测取消后写入率、跨会话 ASR、合法未取消任务 TSR、误拒率；约 8—10 净人周，无需训练。若真实框架取消后绝不会交付回调，或简单状态检查已完全解决且无效用权衡，则不单投。</w:t>
      </w:r>
    </w:p>
    <w:p>
      <w:pPr>
        <w:pStyle w:val="Normal"/>
      </w:pPr>
      <w:r>
        <w:t xml:space="preserve">【开题-创新点与预期成果片段】暂定英文题目：Cancelled-Task Result Re-entry into Shared Agent Memory。拟贡献取消与记忆入库的明确时序模型、回调顺序测试集、提交前原子状态检查。预期论文与回放脚本。A1 与 A2 机制相近，二者只选一篇独立论文；另一题保留给导师讨论或作为拓展实验。</w:t>
      </w:r>
    </w:p>
    <w:p>
      <w:pPr>
        <w:pStyle w:val="Heading2"/>
      </w:pPr>
      <w:r>
        <w:t xml:space="preserve">方向七：与攻击链对应的推理时修复和隔离</w:t>
      </w:r>
    </w:p>
    <w:p>
      <w:pPr>
        <w:pStyle w:val="Normal"/>
      </w:pPr>
      <w:r>
        <w:t xml:space="preserve">MemSentry、MemTX、MEMOREPAIR、TMA-NM 与 ShieldMCP 已提出写入拦截、事务式提交、级联修复、来源绑定和工具运行时检测[13][16][20][22][34]。本方向只提出能与前述窄攻击形成不同实验问题的轻量防御：修复后消息准入的不可变源约束，以及双表示结果的决策相关一致性判断。单纯关键词过滤或“对所有内容再审一遍”不是创新。</w:t>
      </w:r>
    </w:p>
    <w:p>
      <w:pPr>
        <w:pStyle w:val="Heading2"/>
      </w:pPr>
      <w:r>
        <w:t xml:space="preserve">D1：基于源祖先与修复纪元的在途消息准入</w:t>
      </w:r>
    </w:p>
    <w:p>
      <w:pPr>
        <w:pStyle w:val="Normal"/>
      </w:pPr>
      <w:r>
        <w:t xml:space="preserve">【开题复用片段】现有记忆修复主要在已存储记录和可追踪衍生物上操作[13][22]，A1 指向的风险是修复后旧消息被另一 Agent 重摘要，以新时间戳进入队列。若只删除旧记录、按消息到达时间判断或全清队列，可能分别漏放旧来源或损失正常任务。本题拟研究不可变源祖先加修复纪元的入库规则，能否在后续交接环节提供更准确隔离。</w:t>
      </w:r>
    </w:p>
    <w:p>
      <w:pPr>
        <w:pStyle w:val="Normal"/>
      </w:pPr>
      <w:r>
        <w:t xml:space="preserve">【研究目标、内容与关键科学问题】目标是保持修复后新消息的正常通过率，同时阻断旧来源重包装；关键问题是来源链丢失时采取何种保守策略，以及其误报成本。</w:t>
      </w:r>
    </w:p>
    <w:p>
      <w:pPr>
        <w:pStyle w:val="Normal"/>
      </w:pPr>
      <w:r>
        <w:t xml:space="preserve">【威胁模型与属性】防御者可修改 Eino 消息元数据、共享记忆入口和检疫事件日志，不修改底层模型；攻击者能力同 A1。属性为推理时防御，可与 A1 分开投稿的前提是覆盖额外正常业务与至少两类已知传播载体。</w:t>
      </w:r>
    </w:p>
    <w:p>
      <w:pPr>
        <w:pStyle w:val="Normal"/>
      </w:pPr>
      <w:r>
        <w:t xml:space="preserve">【开题-实验方案片段】先在 A1 数据外新增正常的消息重摘要、跨 Agent 转述、部分来源缺失任务，比较存储清理、全队列清空、按时间戳过滤、TMA-NM 来源绑定、所提纪元准入。指标为后门阻断率、FPR、正常任务 TSR、平均队列等待和缺失来源降级率；消融源祖先深度与纪元更新频率。约 7—9 净人周。若只在 A1 单一攻击模板有效，或现有来源绑定基线同等有效，合入 A1 实验而不单投。</w:t>
      </w:r>
    </w:p>
    <w:p>
      <w:pPr>
        <w:pStyle w:val="Normal"/>
      </w:pPr>
      <w:r>
        <w:t xml:space="preserve">【开题-创新点与预期成果片段】暂定英文题目：Repair-Epoch Admission for In-Flight Multi-Agent Messages。拟贡献修复事件与在途消息关联的准入边界、合法转述与恶意重包装的成对数据、效用与隔离权衡。预期一篇防御小论文及中间件。不得将一般“做来源追踪”写成原创。</w:t>
      </w:r>
    </w:p>
    <w:p>
      <w:pPr>
        <w:pStyle w:val="Heading2"/>
      </w:pPr>
      <w:r>
        <w:t xml:space="preserve">D2：MCP 双表示结果的决策相关一致性门控</w:t>
      </w:r>
    </w:p>
    <w:p>
      <w:pPr>
        <w:pStyle w:val="Normal"/>
      </w:pPr>
      <w:r>
        <w:t xml:space="preserve">【开题复用片段】MCP 规范允许 content 为自然语言摘要而 structuredContent 为结构化值，简单字节相等检查会错误拒绝合法结果[23]；ShieldMCP 已研究一般运行时拦截[34]。T1 提出的更窄防御目标是，在结果进入模型和长期记忆之前，仅识别两种表示在实体、状态、权限含义和操作建议上的决策相关矛盾，避免“只审计一侧”造成的持久化风险。</w:t>
      </w:r>
    </w:p>
    <w:p>
      <w:pPr>
        <w:pStyle w:val="Normal"/>
      </w:pPr>
      <w:r>
        <w:t xml:space="preserve">【研究目标、内容与关键科学问题】目标是在低误拦下阻断双视图结果对未来行为的分裂影响；关键问题是非结构化摘要与 JSON 表达不同但等价时如何不过度报警。</w:t>
      </w:r>
    </w:p>
    <w:p>
      <w:pPr>
        <w:pStyle w:val="Normal"/>
      </w:pPr>
      <w:r>
        <w:t xml:space="preserve">【威胁模型与属性】防御者可在 MCP 客户端接入结果校验与记忆写入门控；攻击者控制低信任 MCP 服务端返回。属性为纯推理时防御，不要求训练或修改模型。</w:t>
      </w:r>
    </w:p>
    <w:p>
      <w:pPr>
        <w:pStyle w:val="Normal"/>
      </w:pPr>
      <w:r>
        <w:t xml:space="preserve">【开题-实验方案片段】构造事实一致但措辞不同、只缺字段、字段互相矛盾、状态与建议冲突四组双视图数据；用 T1 之外的正常工具和非持久任务测试泛化。基线为只扫描文本、只校验 JSON Schema、两侧独立扫描、ShieldMCP 式单结果拦截；消融冲突粒度、是否有 outputSchema、JSON 值类型、写记忆开关。测检测率、持久 ASR 降幅、FPR、正常 TSR 和延迟；约 7—9 净人周。若“独立扫描两侧”已经同等有效，防御不应单投。</w:t>
      </w:r>
    </w:p>
    <w:p>
      <w:pPr>
        <w:pStyle w:val="Normal"/>
      </w:pPr>
      <w:r>
        <w:t xml:space="preserve">【开题-创新点与预期成果片段】暂定英文题目：Decision-Relevant Consistency Gates for Dual-View MCP Results。拟贡献双表示冲突分类、决策相关而非字节相等的校验规则、跨会话效用评测。预期独立论文与可复用门控组件。其论文独立性要求跨任务、多客户端可移植，并证明对合法摘要差异的低误报。</w:t>
      </w:r>
    </w:p>
    <w:p>
      <w:pPr>
        <w:pStyle w:val="Heading1"/>
      </w:pPr>
      <w:r>
        <w:t xml:space="preserve">六、拟选两篇小论文的组合方案</w:t>
      </w:r>
    </w:p>
    <w:p>
      <w:pPr>
        <w:pStyle w:val="Heading2"/>
      </w:pPr>
      <w:r>
        <w:t xml:space="preserve">A 主方案：MCP 双表示结果的持久后门与决策相关一致性门控</w:t>
      </w:r>
    </w:p>
    <w:p>
      <w:pPr>
        <w:pStyle w:val="Normal"/>
      </w:pPr>
      <w:r>
        <w:t xml:space="preserve">【总体研究背景与研究现状】MCP 工具结果的 content 与 structuredContent 被规范并列提供，客户端对两侧的消费差异已有实际观察[23][32]，但公开研究主要分别评测工具描述投毒、结果注入与一般运行时防护[8][17][34]。若审计器、模型和长期记忆读取不同表示，一次结果可在本轮保持表面正常，却在未来触发工具偏好或操作规则偏离。主方案聚焦这个单一而可复现的跨层边界。</w:t>
      </w:r>
    </w:p>
    <w:p>
      <w:pPr>
        <w:pStyle w:val="Normal"/>
      </w:pPr>
      <w:r>
        <w:t xml:space="preserve">【第一篇子课题：研究目标、内容、关键科学问题与技术路线】题目为 T1。目标是建立 MCP 双表示读写分裂导致跨会话后门的因果证据；内容包括双视图 MCP 服务、审计/执行/写记忆三方消费矩阵、成对任务和至少两个不同消费策略的客户端适配。关键问题是何种语义冲突真正影响行动，而非仅文本形式不同。技术路线为“规范字段确认—服务端构造一致与不一致结果—Agent 调用及入库—未来正常任务触发—与单字段投毒和结构化校验对照”。论文独立成果是攻击机制、最小测试集和实证边界。</w:t>
      </w:r>
    </w:p>
    <w:p>
      <w:pPr>
        <w:pStyle w:val="Normal"/>
      </w:pPr>
      <w:r>
        <w:t xml:space="preserve">【第二篇子课题：研究目标、内容、关键科学问题与技术路线】题目为 D2。目标是提出在结果进入模型和记忆前识别决策相关冲突的推理时门控；内容包括事实提取、字段对应、冲突等级、拒绝或降级策略，并覆盖 T1 之外的正常动态摘要与非持久工具任务。关键问题是在合法“文本摘要不同于 JSON 原文”的情况下维持低误报。技术路线为“冲突标注—基线复现—门控实现—跨任务和跨客户端效用测试—针对误报的消融”。第二篇必须通过额外数据和任务证明独立性；若只复用第一篇样例，改为第一篇防御章节。</w:t>
      </w:r>
    </w:p>
    <w:p>
      <w:pPr>
        <w:pStyle w:val="Normal"/>
      </w:pPr>
      <w:r>
        <w:t xml:space="preserve">【整套方案实验可行性分析】两篇共享一个本地 MCP 服务和 Eino 结果拦截、记忆日志底座，但使用不同研究问题和额外测试集；均不需要训练或微调。第一篇约 7—9 净人周，第二篇约 7—9 净人周，合计 14—18 净人周。先验风险是客户端只消费一侧，或自然语言摘要没有明确一一对应字段。前两周先跑通双表示往返并确认审计/记忆消费差异；失败则不投入整学期。</w:t>
      </w:r>
    </w:p>
    <w:p>
      <w:pPr>
        <w:pStyle w:val="Normal"/>
      </w:pPr>
      <w:r>
        <w:t xml:space="preserve">【整套方案创新点汇总】一是将协议双表示的不一致与持久后门而非单轮注入关联；二是量化审计、执行、记忆三方消费差异；三是以决策相关事实冲突代替字节相等形成低误报防御。以上均为拟验证的贡献，不预设实验已证实。</w:t>
      </w:r>
    </w:p>
    <w:p>
      <w:pPr>
        <w:pStyle w:val="Normal"/>
      </w:pPr>
      <w:r>
        <w:t xml:space="preserve">【整套预期成果】两篇可独立投稿的小论文初稿；双视图 MCP 测试服务、成对攻击与正常任务数据、可复现事件日志；硕士论文主体可写成“工具结果表示分叉的后门形成与隔离”。若第二篇独立性不足，改将 T1 与 D2 合并为一篇攻防论文，另一篇从 B 方案挑选 M2 或 A1，保证毕业论文仍有两篇不同子课题。</w:t>
      </w:r>
    </w:p>
    <w:p>
      <w:pPr>
        <w:pStyle w:val="Heading2"/>
      </w:pPr>
      <w:r>
        <w:t xml:space="preserve">B 备选方案：动态佐证撤销与修复后跨 Agent 再污染</w:t>
      </w:r>
    </w:p>
    <w:p>
      <w:pPr>
        <w:pStyle w:val="Normal"/>
      </w:pPr>
      <w:r>
        <w:t xml:space="preserve">【总体研究背景与研究现状】AgentPoison、TMA-NM、MemTX 与 MEMOREPAIR 已将记忆投毒、来源权威和修复问题推进到较细层次[4][13][20][22]。备选方案沿“污染内容的权威随证据与事件变化”展开，但第一篇在单 Agent 的佐证集合变化上研究行动资格，第二篇在多 Agent 的修复后消息重包装上研究再次入库；二者的攻击入口、时间线、数据和终点不同。</w:t>
      </w:r>
    </w:p>
    <w:p>
      <w:pPr>
        <w:pStyle w:val="Normal"/>
      </w:pPr>
      <w:r>
        <w:t xml:space="preserve">【第一篇子课题：研究目标、内容、关键科学问题与技术路线】题目为 M2。研究目标是证明已提升记忆的行动资格应随独立佐证的撤销动态回落；内容为佐证集合版本、撤销/过期事件、动作时重验规则及效用评估。关键问题是如何区分撤销关键佐证和仍有充分支持的正常记忆。技术路线为“复现来源绑定基线—设计一源撤销与无关撤销配对任务—测静态提升的后门窗口—实现动态证据集合门控—评估 ASR/TSR/FPR”。</w:t>
      </w:r>
    </w:p>
    <w:p>
      <w:pPr>
        <w:pStyle w:val="Normal"/>
      </w:pPr>
      <w:r>
        <w:t xml:space="preserve">【第二篇子课题：研究目标、内容、关键科学问题与技术路线】题目为 A1。研究目标是刻画共享记忆完成清理后，旧消息经另一 Agent 重摘要而变成表面新证据的再污染链；内容为三 Agent 异步交接、源祖先传播、修复纪元与延迟触发。关键问题是如何保持来源祖先在消息变换中不被新时间戳覆盖。技术路线为“构造检疫与清理事件—延迟旧消息—转述重包装—未来任务触发—比较时间戳过滤和源祖先检查”。第二篇的主要贡献在跨 Agent 交接语义，而非复述第一篇佐证撤销。</w:t>
      </w:r>
    </w:p>
    <w:p>
      <w:pPr>
        <w:pStyle w:val="Normal"/>
      </w:pPr>
      <w:r>
        <w:t xml:space="preserve">【整套方案实验可行性分析】Eino 可承担单 Agent 记忆与三 Agent 队列，两个任务共享事件日志结构而不共享具体攻击样例；均可用合成工具与无真实敏感信息的动作完成。第一篇约 6—8 净人周，第二篇约 8—10 净人周，合计 14—18 净人周。风险是 TMA-NM 的原实现已经动态处理佐证撤销，或真实框架不会重包装旧消息；必须先以强基线做反证预实验，任一失败即换 T1 或 M3。</w:t>
      </w:r>
    </w:p>
    <w:p>
      <w:pPr>
        <w:pStyle w:val="Normal"/>
      </w:pPr>
      <w:r>
        <w:t xml:space="preserve">【整套方案创新点汇总】一是明确佐证集合成员撤销与记录自身撤销不同；二是把修复后新时间戳、旧来源的关系作为可观测状态；三是在行动前与消息入库前分别实施最小范围的动态重验。这些机制旨在补足已研究的静态提升和存储内修复边界，不宣称一般记忆修复首创。</w:t>
      </w:r>
    </w:p>
    <w:p>
      <w:pPr>
        <w:pStyle w:val="Normal"/>
      </w:pPr>
      <w:r>
        <w:t xml:space="preserve">【整套预期成果】两篇小论文初稿、独立佐证撤销任务集、三 Agent 修复后重包装回放环境及硕士论文“动态记忆权威与跨 Agent 恢复边界”的主体材料。A1 与 A2 不组合为两篇，避免同质化。</w:t>
      </w:r>
    </w:p>
    <w:p>
      <w:pPr>
        <w:pStyle w:val="Heading1"/>
      </w:pPr>
      <w:r>
        <w:t xml:space="preserve">七、统一实验设计与可行性论证</w:t>
      </w:r>
    </w:p>
    <w:p>
      <w:pPr>
        <w:pStyle w:val="Normal"/>
      </w:pPr>
      <w:r>
        <w:t xml:space="preserve">【研究目标】在推理时构建可观测、可重复、可归因的 Agent 后门实验，回答三类问题：低信任内容在哪个状态转换获得行动效力；该效力在载体撤销、工具升级、任务取消或系统修复后能维持多久；轻量校验能否降低持久 ASR 且维持正常任务能力。</w:t>
      </w:r>
    </w:p>
    <w:p>
      <w:pPr>
        <w:pStyle w:val="Normal"/>
      </w:pPr>
      <w:r>
        <w:t xml:space="preserve">【基准与自建数据】InjecAgent、AgentDojo 提供正常任务和工具调用攻击格式[2][3]；AgentPoison、BackdoorAgent、MemSecBench 提供跨会话记忆触发与修复评测参考[4][10][12]；MCPTox、MCP-SafetyBench 适合抽取 MCP 工具任务与风险类别[8][35]。原基准通常缺少本报告要求的“检疫后提交”“双表示消费”“取消后回调”等事件状态，须自建成对时序数据。每个测试单元同时含正常意图、攻击者可控工件、事件时间线、允许动作、禁止动作、触发会话和预期安全行为；同一语义构造攻击与干净对照，杜绝只凭关键词判定成功。</w:t>
      </w:r>
    </w:p>
    <w:p>
      <w:pPr>
        <w:pStyle w:val="Normal"/>
      </w:pPr>
      <w:r>
        <w:t xml:space="preserve">【框架与实施边界】优先使用已有基础的 Eino 实现 Agent 编排、记忆钩子和事件日志；MCP 题目增加本地可控服务与协议适配，只有 T2 依赖 Tasks 草案完整支持。LangChain 仅在公开基线复现所需或 Eino 暂不支持某个事件时使用，不在同一主实验中无控制地混用框架。动作接收端为本地 mock 工具，使用模拟订单、模拟配置和虚构数据，禁止把真实账户、文件或网络端点作为攻击目标。</w:t>
      </w:r>
    </w:p>
    <w:p>
      <w:pPr>
        <w:pStyle w:val="Normal"/>
      </w:pPr>
      <w:r>
        <w:t xml:space="preserve">【统一实验流程】先跑通正常任务和干净长期记忆；随后仅替换威胁模型许可的一处外部工件；在事件日志中冻结每次读取、摘要、排队、检疫、目录更新、写入与执行的时间戳和 source_id；最后在新会话施加预定义正常触发。攻击实验设置“无投毒、单轮直接注入、普通记忆投毒、所提机制”四组，防御实验比较“无防御、强基线、所提门控、所提门控去除关键状态”四组。每组至少重复多个独立任务和随机种子，报告分层置信区间；无显著差异时如实报告负结果，不把少数成功案例当总体结论。</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4500"/>
        <w:gridCol w:w="4500"/>
      </w:tblGrid>
      <w:tr>
        <w:trPr>
          <w:tblHeader w:val="true"/>
        </w:trPr>
        <w:tc>
          <w:tcPr>
            <w:tcW w:w="4500" w:type="dxa"/>
            <w:shd w:fill="DCE6F1"/>
          </w:tcPr>
          <w:p>
            <w:pPr>
              <w:pStyle w:val="TableText"/>
            </w:pPr>
            <w:r>
              <w:rPr>
                <w:b/>
              </w:rPr>
              <w:t xml:space="preserve">指标</w:t>
            </w:r>
          </w:p>
        </w:tc>
        <w:tc>
          <w:tcPr>
            <w:tcW w:w="4500" w:type="dxa"/>
            <w:shd w:fill="DCE6F1"/>
          </w:tcPr>
          <w:p>
            <w:pPr>
              <w:pStyle w:val="TableText"/>
            </w:pPr>
            <w:r>
              <w:rPr>
                <w:b/>
              </w:rPr>
              <w:t xml:space="preserve">定义与解释</w:t>
            </w:r>
          </w:p>
        </w:tc>
      </w:tr>
      <w:tr>
        <w:tc>
          <w:tcPr>
            <w:tcW w:w="4500" w:type="dxa"/>
          </w:tcPr>
          <w:p>
            <w:pPr>
              <w:pStyle w:val="TableText"/>
            </w:pPr>
            <w:r>
              <w:t xml:space="preserve">ASR / 持久 ASR</w:t>
            </w:r>
          </w:p>
        </w:tc>
        <w:tc>
          <w:tcPr>
            <w:tcW w:w="4500" w:type="dxa"/>
          </w:tcPr>
          <w:p>
            <w:pPr>
              <w:pStyle w:val="TableText"/>
            </w:pPr>
            <w:r>
              <w:t xml:space="preserve">攻击在预定义触发后的禁止动作比例；跨会话成功需与注入会话分离</w:t>
            </w:r>
          </w:p>
        </w:tc>
      </w:tr>
      <w:tr>
        <w:tc>
          <w:tcPr>
            <w:tcW w:w="4500" w:type="dxa"/>
          </w:tcPr>
          <w:p>
            <w:pPr>
              <w:pStyle w:val="TableText"/>
            </w:pPr>
            <w:r>
              <w:t xml:space="preserve">TSR</w:t>
            </w:r>
          </w:p>
        </w:tc>
        <w:tc>
          <w:tcPr>
            <w:tcW w:w="4500" w:type="dxa"/>
          </w:tcPr>
          <w:p>
            <w:pPr>
              <w:pStyle w:val="TableText"/>
            </w:pPr>
            <w:r>
              <w:t xml:space="preserve">正常任务完成比例，必须与 ASR 同报，避免通过拒绝所有任务得到虚高安全性</w:t>
            </w:r>
          </w:p>
        </w:tc>
      </w:tr>
      <w:tr>
        <w:tc>
          <w:tcPr>
            <w:tcW w:w="4500" w:type="dxa"/>
          </w:tcPr>
          <w:p>
            <w:pPr>
              <w:pStyle w:val="TableText"/>
            </w:pPr>
            <w:r>
              <w:t xml:space="preserve">再污染率</w:t>
            </w:r>
          </w:p>
        </w:tc>
        <w:tc>
          <w:tcPr>
            <w:tcW w:w="4500" w:type="dxa"/>
          </w:tcPr>
          <w:p>
            <w:pPr>
              <w:pStyle w:val="TableText"/>
            </w:pPr>
            <w:r>
              <w:t xml:space="preserve">已检疫、撤销或取消来源仍在随后进入可检索记忆的比例</w:t>
            </w:r>
          </w:p>
        </w:tc>
      </w:tr>
      <w:tr>
        <w:tc>
          <w:tcPr>
            <w:tcW w:w="4500" w:type="dxa"/>
          </w:tcPr>
          <w:p>
            <w:pPr>
              <w:pStyle w:val="TableText"/>
            </w:pPr>
            <w:r>
              <w:t xml:space="preserve">FPR / 误拦率</w:t>
            </w:r>
          </w:p>
        </w:tc>
        <w:tc>
          <w:tcPr>
            <w:tcW w:w="4500" w:type="dxa"/>
          </w:tcPr>
          <w:p>
            <w:pPr>
              <w:pStyle w:val="TableText"/>
            </w:pPr>
            <w:r>
              <w:t xml:space="preserve">干净结果或合法更新被防御拦下的比例</w:t>
            </w:r>
          </w:p>
        </w:tc>
      </w:tr>
      <w:tr>
        <w:tc>
          <w:tcPr>
            <w:tcW w:w="4500" w:type="dxa"/>
          </w:tcPr>
          <w:p>
            <w:pPr>
              <w:pStyle w:val="TableText"/>
            </w:pPr>
            <w:r>
              <w:t xml:space="preserve">检测率与漏检率</w:t>
            </w:r>
          </w:p>
        </w:tc>
        <w:tc>
          <w:tcPr>
            <w:tcW w:w="4500" w:type="dxa"/>
          </w:tcPr>
          <w:p>
            <w:pPr>
              <w:pStyle w:val="TableText"/>
            </w:pPr>
            <w:r>
              <w:t xml:space="preserve">审计对真正决策相关矛盾或恶意来源的识别情况</w:t>
            </w:r>
          </w:p>
        </w:tc>
      </w:tr>
      <w:tr>
        <w:tc>
          <w:tcPr>
            <w:tcW w:w="4500" w:type="dxa"/>
          </w:tcPr>
          <w:p>
            <w:pPr>
              <w:pStyle w:val="TableText"/>
            </w:pPr>
            <w:r>
              <w:t xml:space="preserve">持续时间与开销</w:t>
            </w:r>
          </w:p>
        </w:tc>
        <w:tc>
          <w:tcPr>
            <w:tcW w:w="4500" w:type="dxa"/>
          </w:tcPr>
          <w:p>
            <w:pPr>
              <w:pStyle w:val="TableText"/>
            </w:pPr>
            <w:r>
              <w:t xml:space="preserve">从载体变更至触发的会话数、额外校验时间、重规划或重试次数</w:t>
            </w:r>
          </w:p>
        </w:tc>
      </w:tr>
    </w:tbl>
    <w:p>
      <w:pPr>
        <w:pStyle w:val="Normal"/>
      </w:pPr>
      <w:r>
        <w:t xml:space="preserve">【关键科学问题】第一，低信任文本在何种“摘要、缓存、队列、协议结果”转换后被赋予新的权威；第二，行动资格应绑定原始内容、来源祖先、证据集合还是工具契约版本；第三，最小范围的运行时校验能否在正常任务效用和防护之间取得可重复的改善。研究采用实证因果对照而非纯理论论证，创新是否成立最终由强基线和消融结果决定。</w:t>
      </w:r>
    </w:p>
    <w:p>
      <w:pPr>
        <w:pStyle w:val="Normal"/>
      </w:pPr>
      <w:r>
        <w:t xml:space="preserve">【实验可行性与风险控制】十四题是讨论池而非同时执行计划。学期内只落实一套两篇方案。每题先进行两周预实验，达到三个进入门槛：可稳定复现正常任务；可在日志中定位拟研究的状态转换；所提机制相对至少一个强基线产生明确差异。若第一条件失败，换框架或淘汰；若第二条件失败，缩小事件链；若第三条件失败，承认撞题或合并为消融。对最新 MCP 扩展，必须把官方规范存在、SDK 支持、具体客户端脆弱性三者分开报告。</w:t>
      </w:r>
    </w:p>
    <w:p>
      <w:pPr>
        <w:pStyle w:val="Heading1"/>
      </w:pPr>
      <w:r>
        <w:t xml:space="preserve">八、创新点、预期成果与论文独立性</w:t>
      </w:r>
    </w:p>
    <w:p>
      <w:pPr>
        <w:pStyle w:val="Normal"/>
      </w:pPr>
      <w:r>
        <w:t xml:space="preserve">本报告的创新点不是一种新的“万能 Agent 后门”，而是三个可证伪的经验命题。第一，后门在安全拒绝、检疫、撤销、工具退役或取消后仍可能因中间状态获得第二次生效机会，必须用完整事件时间线证明而非凭单例展示。第二，MCP 双表示、Tasks 外层/内层状态、工具目录缓存和资源迟读形成细粒度的语义或时间错位，只有确定客户端如何消费才能论证漏洞。第三，推理时门控应针对源祖先、佐证集合版本或决策相关事实冲突等最小状态，不应简单清空全部记忆或拒绝所有工具结果。</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2250"/>
        <w:gridCol w:w="2250"/>
        <w:gridCol w:w="2250"/>
        <w:gridCol w:w="2250"/>
      </w:tblGrid>
      <w:tr>
        <w:trPr>
          <w:tblHeader w:val="true"/>
        </w:trPr>
        <w:tc>
          <w:tcPr>
            <w:tcW w:w="2250" w:type="dxa"/>
            <w:shd w:fill="DCE6F1"/>
          </w:tcPr>
          <w:p>
            <w:pPr>
              <w:pStyle w:val="TableText"/>
            </w:pPr>
            <w:r>
              <w:rPr>
                <w:b/>
              </w:rPr>
              <w:t xml:space="preserve">成果类别</w:t>
            </w:r>
          </w:p>
        </w:tc>
        <w:tc>
          <w:tcPr>
            <w:tcW w:w="2250" w:type="dxa"/>
            <w:shd w:fill="DCE6F1"/>
          </w:tcPr>
          <w:p>
            <w:pPr>
              <w:pStyle w:val="TableText"/>
            </w:pPr>
            <w:r>
              <w:rPr>
                <w:b/>
              </w:rPr>
              <w:t xml:space="preserve">A 主方案预期</w:t>
            </w:r>
          </w:p>
        </w:tc>
        <w:tc>
          <w:tcPr>
            <w:tcW w:w="2250" w:type="dxa"/>
            <w:shd w:fill="DCE6F1"/>
          </w:tcPr>
          <w:p>
            <w:pPr>
              <w:pStyle w:val="TableText"/>
            </w:pPr>
            <w:r>
              <w:rPr>
                <w:b/>
              </w:rPr>
              <w:t xml:space="preserve">B 备选方案预期</w:t>
            </w:r>
          </w:p>
        </w:tc>
        <w:tc>
          <w:tcPr>
            <w:tcW w:w="2250" w:type="dxa"/>
            <w:shd w:fill="DCE6F1"/>
          </w:tcPr>
          <w:p>
            <w:pPr>
              <w:pStyle w:val="TableText"/>
            </w:pPr>
            <w:r>
              <w:rPr>
                <w:b/>
              </w:rPr>
              <w:t xml:space="preserve">判定条件</w:t>
            </w:r>
          </w:p>
        </w:tc>
      </w:tr>
      <w:tr>
        <w:tc>
          <w:tcPr>
            <w:tcW w:w="2250" w:type="dxa"/>
          </w:tcPr>
          <w:p>
            <w:pPr>
              <w:pStyle w:val="TableText"/>
            </w:pPr>
            <w:r>
              <w:t xml:space="preserve">第一篇小论文</w:t>
            </w:r>
          </w:p>
        </w:tc>
        <w:tc>
          <w:tcPr>
            <w:tcW w:w="2250" w:type="dxa"/>
          </w:tcPr>
          <w:p>
            <w:pPr>
              <w:pStyle w:val="TableText"/>
            </w:pPr>
            <w:r>
              <w:t xml:space="preserve">双表示结果持久后门机制、基准、实证边界</w:t>
            </w:r>
          </w:p>
        </w:tc>
        <w:tc>
          <w:tcPr>
            <w:tcW w:w="2250" w:type="dxa"/>
          </w:tcPr>
          <w:p>
            <w:pPr>
              <w:pStyle w:val="TableText"/>
            </w:pPr>
            <w:r>
              <w:t xml:space="preserve">动态佐证撤销后的行动权限实验</w:t>
            </w:r>
          </w:p>
        </w:tc>
        <w:tc>
          <w:tcPr>
            <w:tcW w:w="2250" w:type="dxa"/>
          </w:tcPr>
          <w:p>
            <w:pPr>
              <w:pStyle w:val="TableText"/>
            </w:pPr>
            <w:r>
              <w:t xml:space="preserve">有清楚对照、强基线和跨会话效果</w:t>
            </w:r>
          </w:p>
        </w:tc>
      </w:tr>
      <w:tr>
        <w:tc>
          <w:tcPr>
            <w:tcW w:w="2250" w:type="dxa"/>
          </w:tcPr>
          <w:p>
            <w:pPr>
              <w:pStyle w:val="TableText"/>
            </w:pPr>
            <w:r>
              <w:t xml:space="preserve">第二篇小论文</w:t>
            </w:r>
          </w:p>
        </w:tc>
        <w:tc>
          <w:tcPr>
            <w:tcW w:w="2250" w:type="dxa"/>
          </w:tcPr>
          <w:p>
            <w:pPr>
              <w:pStyle w:val="TableText"/>
            </w:pPr>
            <w:r>
              <w:t xml:space="preserve">双表示决策相关一致性门控与独立正常任务评测</w:t>
            </w:r>
          </w:p>
        </w:tc>
        <w:tc>
          <w:tcPr>
            <w:tcW w:w="2250" w:type="dxa"/>
          </w:tcPr>
          <w:p>
            <w:pPr>
              <w:pStyle w:val="TableText"/>
            </w:pPr>
            <w:r>
              <w:t xml:space="preserve">修复后多 Agent 旧消息重包装与再污染</w:t>
            </w:r>
          </w:p>
        </w:tc>
        <w:tc>
          <w:tcPr>
            <w:tcW w:w="2250" w:type="dxa"/>
          </w:tcPr>
          <w:p>
            <w:pPr>
              <w:pStyle w:val="TableText"/>
            </w:pPr>
            <w:r>
              <w:t xml:space="preserve">实验对象、方法、数据和结论可独立审稿</w:t>
            </w:r>
          </w:p>
        </w:tc>
      </w:tr>
      <w:tr>
        <w:tc>
          <w:tcPr>
            <w:tcW w:w="2250" w:type="dxa"/>
          </w:tcPr>
          <w:p>
            <w:pPr>
              <w:pStyle w:val="TableText"/>
            </w:pPr>
            <w:r>
              <w:t xml:space="preserve">工程与数据</w:t>
            </w:r>
          </w:p>
        </w:tc>
        <w:tc>
          <w:tcPr>
            <w:tcW w:w="2250" w:type="dxa"/>
          </w:tcPr>
          <w:p>
            <w:pPr>
              <w:pStyle w:val="TableText"/>
            </w:pPr>
            <w:r>
              <w:t xml:space="preserve">本地 MCP 服务、Eino 结果日志、双视图成对任务</w:t>
            </w:r>
          </w:p>
        </w:tc>
        <w:tc>
          <w:tcPr>
            <w:tcW w:w="2250" w:type="dxa"/>
          </w:tcPr>
          <w:p>
            <w:pPr>
              <w:pStyle w:val="TableText"/>
            </w:pPr>
            <w:r>
              <w:t xml:space="preserve">佐证版本任务集、三 Agent 队列回放</w:t>
            </w:r>
          </w:p>
        </w:tc>
        <w:tc>
          <w:tcPr>
            <w:tcW w:w="2250" w:type="dxa"/>
          </w:tcPr>
          <w:p>
            <w:pPr>
              <w:pStyle w:val="TableText"/>
            </w:pPr>
            <w:r>
              <w:t xml:space="preserve">脚本可运行、事件可重放、无真实敏感信息</w:t>
            </w:r>
          </w:p>
        </w:tc>
      </w:tr>
      <w:tr>
        <w:tc>
          <w:tcPr>
            <w:tcW w:w="2250" w:type="dxa"/>
          </w:tcPr>
          <w:p>
            <w:pPr>
              <w:pStyle w:val="TableText"/>
            </w:pPr>
            <w:r>
              <w:t xml:space="preserve">毕业论文主体</w:t>
            </w:r>
          </w:p>
        </w:tc>
        <w:tc>
          <w:tcPr>
            <w:tcW w:w="2250" w:type="dxa"/>
          </w:tcPr>
          <w:p>
            <w:pPr>
              <w:pStyle w:val="TableText"/>
            </w:pPr>
            <w:r>
              <w:t xml:space="preserve">工具结果表示分叉的形成与防御</w:t>
            </w:r>
          </w:p>
        </w:tc>
        <w:tc>
          <w:tcPr>
            <w:tcW w:w="2250" w:type="dxa"/>
          </w:tcPr>
          <w:p>
            <w:pPr>
              <w:pStyle w:val="TableText"/>
            </w:pPr>
            <w:r>
              <w:t xml:space="preserve">动态记忆权威与跨 Agent 恢复</w:t>
            </w:r>
          </w:p>
        </w:tc>
        <w:tc>
          <w:tcPr>
            <w:tcW w:w="2250" w:type="dxa"/>
          </w:tcPr>
          <w:p>
            <w:pPr>
              <w:pStyle w:val="TableText"/>
            </w:pPr>
            <w:r>
              <w:t xml:space="preserve">两篇共享总问题但不重复主要实验</w:t>
            </w:r>
          </w:p>
        </w:tc>
      </w:tr>
    </w:tbl>
    <w:p>
      <w:pPr>
        <w:pStyle w:val="Normal"/>
      </w:pPr>
      <w:r>
        <w:t xml:space="preserve">研究产出只以实验完成后的结果为准，开题阶段不写预设成功率、不承诺一定录用。若攻击效果不显著，仍应保留可复现的负结果和对环境条件的分析，并根据淘汰规则调整题目。</w:t>
      </w:r>
    </w:p>
    <w:p>
      <w:pPr>
        <w:pStyle w:val="Heading1"/>
      </w:pPr>
      <w:r>
        <w:t xml:space="preserve">九、研二上学期研究进度安排</w:t>
      </w:r>
    </w:p>
    <w:p>
      <w:pPr>
        <w:pStyle w:val="Normal"/>
      </w:pPr>
      <w:r>
        <w:t xml:space="preserve">以下按 2026 年 9 月末至 2027 年 1 月安排，覆盖调研、方案、全部实验与两篇初稿；每月同时维护文献查新表、实验日志和代码版本。A/B 仅执行一套，不能把十四题都塞进学期计划。</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时间</w:t>
            </w:r>
          </w:p>
        </w:tc>
        <w:tc>
          <w:tcPr>
            <w:tcW w:w="3000" w:type="dxa"/>
            <w:shd w:fill="DCE6F1"/>
          </w:tcPr>
          <w:p>
            <w:pPr>
              <w:pStyle w:val="TableText"/>
            </w:pPr>
            <w:r>
              <w:rPr>
                <w:b/>
              </w:rPr>
              <w:t xml:space="preserve">研究任务</w:t>
            </w:r>
          </w:p>
        </w:tc>
        <w:tc>
          <w:tcPr>
            <w:tcW w:w="3000" w:type="dxa"/>
            <w:shd w:fill="DCE6F1"/>
          </w:tcPr>
          <w:p>
            <w:pPr>
              <w:pStyle w:val="TableText"/>
            </w:pPr>
            <w:r>
              <w:rPr>
                <w:b/>
              </w:rPr>
              <w:t xml:space="preserve">阶段成果与检查点</w:t>
            </w:r>
          </w:p>
        </w:tc>
      </w:tr>
      <w:tr>
        <w:tc>
          <w:tcPr>
            <w:tcW w:w="3000" w:type="dxa"/>
          </w:tcPr>
          <w:p>
            <w:pPr>
              <w:pStyle w:val="TableText"/>
            </w:pPr>
            <w:r>
              <w:t xml:space="preserve">2026 年 9 月末—10 月上旬</w:t>
            </w:r>
          </w:p>
        </w:tc>
        <w:tc>
          <w:tcPr>
            <w:tcW w:w="3000" w:type="dxa"/>
          </w:tcPr>
          <w:p>
            <w:pPr>
              <w:pStyle w:val="TableText"/>
            </w:pPr>
            <w:r>
              <w:t xml:space="preserve">完成候选 14 题最近邻查新；复现第一篇最强基线；搭建 Eino、MCP 或记忆事件日志；做两周预实验</w:t>
            </w:r>
          </w:p>
        </w:tc>
        <w:tc>
          <w:tcPr>
            <w:tcW w:w="3000" w:type="dxa"/>
          </w:tcPr>
          <w:p>
            <w:pPr>
              <w:pStyle w:val="TableText"/>
            </w:pPr>
            <w:r>
              <w:t xml:space="preserve">确定 A 或 B；若正常协议/事件链不能稳定运行，按淘汰条件切换题目</w:t>
            </w:r>
          </w:p>
        </w:tc>
      </w:tr>
      <w:tr>
        <w:tc>
          <w:tcPr>
            <w:tcW w:w="3000" w:type="dxa"/>
          </w:tcPr>
          <w:p>
            <w:pPr>
              <w:pStyle w:val="TableText"/>
            </w:pPr>
            <w:r>
              <w:t xml:space="preserve">2026 年 10 月中下旬</w:t>
            </w:r>
          </w:p>
        </w:tc>
        <w:tc>
          <w:tcPr>
            <w:tcW w:w="3000" w:type="dxa"/>
          </w:tcPr>
          <w:p>
            <w:pPr>
              <w:pStyle w:val="TableText"/>
            </w:pPr>
            <w:r>
              <w:t xml:space="preserve">冻结第一篇威胁模型、成对数据、指标和评价脚本；实现第一篇攻击链与正常任务对照</w:t>
            </w:r>
          </w:p>
        </w:tc>
        <w:tc>
          <w:tcPr>
            <w:tcW w:w="3000" w:type="dxa"/>
          </w:tcPr>
          <w:p>
            <w:pPr>
              <w:pStyle w:val="TableText"/>
            </w:pPr>
            <w:r>
              <w:t xml:space="preserve">第一篇完整样例、可复现实验配置、初步 ASR/TSR/FPR</w:t>
            </w:r>
          </w:p>
        </w:tc>
      </w:tr>
      <w:tr>
        <w:tc>
          <w:tcPr>
            <w:tcW w:w="3000" w:type="dxa"/>
          </w:tcPr>
          <w:p>
            <w:pPr>
              <w:pStyle w:val="TableText"/>
            </w:pPr>
            <w:r>
              <w:t xml:space="preserve">2026 年 11 月</w:t>
            </w:r>
          </w:p>
        </w:tc>
        <w:tc>
          <w:tcPr>
            <w:tcW w:w="3000" w:type="dxa"/>
          </w:tcPr>
          <w:p>
            <w:pPr>
              <w:pStyle w:val="TableText"/>
            </w:pPr>
            <w:r>
              <w:t xml:space="preserve">第一篇补齐强基线、消融、误差分析和置信区间；完成第一篇论文初稿并内部检查撞题</w:t>
            </w:r>
          </w:p>
        </w:tc>
        <w:tc>
          <w:tcPr>
            <w:tcW w:w="3000" w:type="dxa"/>
          </w:tcPr>
          <w:p>
            <w:pPr>
              <w:pStyle w:val="TableText"/>
            </w:pPr>
            <w:r>
              <w:t xml:space="preserve">第一篇初稿、数据说明、结果表、导师讨论版本</w:t>
            </w:r>
          </w:p>
        </w:tc>
      </w:tr>
      <w:tr>
        <w:tc>
          <w:tcPr>
            <w:tcW w:w="3000" w:type="dxa"/>
          </w:tcPr>
          <w:p>
            <w:pPr>
              <w:pStyle w:val="TableText"/>
            </w:pPr>
            <w:r>
              <w:t xml:space="preserve">2026 年 12 月</w:t>
            </w:r>
          </w:p>
        </w:tc>
        <w:tc>
          <w:tcPr>
            <w:tcW w:w="3000" w:type="dxa"/>
          </w:tcPr>
          <w:p>
            <w:pPr>
              <w:pStyle w:val="TableText"/>
            </w:pPr>
            <w:r>
              <w:t xml:space="preserve">冻结第二篇与第一篇不同的科学问题；实现防御或跨 Agent 场景；新增独立正常任务与攻击样例</w:t>
            </w:r>
          </w:p>
        </w:tc>
        <w:tc>
          <w:tcPr>
            <w:tcW w:w="3000" w:type="dxa"/>
          </w:tcPr>
          <w:p>
            <w:pPr>
              <w:pStyle w:val="TableText"/>
            </w:pPr>
            <w:r>
              <w:t xml:space="preserve">第二篇主实验结果；若方法等效于简单基线，立即收窄或切换备选</w:t>
            </w:r>
          </w:p>
        </w:tc>
      </w:tr>
      <w:tr>
        <w:tc>
          <w:tcPr>
            <w:tcW w:w="3000" w:type="dxa"/>
          </w:tcPr>
          <w:p>
            <w:pPr>
              <w:pStyle w:val="TableText"/>
            </w:pPr>
            <w:r>
              <w:t xml:space="preserve">2027 年 1 月</w:t>
            </w:r>
          </w:p>
        </w:tc>
        <w:tc>
          <w:tcPr>
            <w:tcW w:w="3000" w:type="dxa"/>
          </w:tcPr>
          <w:p>
            <w:pPr>
              <w:pStyle w:val="TableText"/>
            </w:pPr>
            <w:r>
              <w:t xml:space="preserve">第二篇完成消融、效用和误报实验，撰写初稿；两篇统一术语、图表、引用和毕业论文总框架</w:t>
            </w:r>
          </w:p>
        </w:tc>
        <w:tc>
          <w:tcPr>
            <w:tcW w:w="3000" w:type="dxa"/>
          </w:tcPr>
          <w:p>
            <w:pPr>
              <w:pStyle w:val="TableText"/>
            </w:pPr>
            <w:r>
              <w:t xml:space="preserve">第二篇初稿；两套可复现代码与数据；毕业论文主体章节大纲</w:t>
            </w:r>
          </w:p>
        </w:tc>
      </w:tr>
    </w:tbl>
    <w:p>
      <w:pPr>
        <w:pStyle w:val="Normal"/>
      </w:pPr>
      <w:r>
        <w:t xml:space="preserve">两篇合计约 14—18 净人周，学期有课程时处于紧凑上限。若十月底第一篇仍无法形成稳定基线，不继续同时推进第二篇工程；立即改用已通过预实验的题目。论文写作与实验并行，避免一月集中补稿。</w:t>
      </w:r>
    </w:p>
    <w:p>
      <w:pPr>
        <w:pStyle w:val="Heading1"/>
      </w:pPr>
      <w:r>
        <w:t xml:space="preserve">十、结论、查新限制与学术规范</w:t>
      </w:r>
    </w:p>
    <w:p>
      <w:pPr>
        <w:pStyle w:val="Normal"/>
      </w:pPr>
      <w:r>
        <w:t xml:space="preserve">就“可快速落地、可实验、撞题相对较低”的综合排序，优先讨论 T1、M2、T4、M3；A1 适合作为多 Agent 方向的候选，但须先排查来源绑定强基线。P1、P2 是安全处理链的探索性储备，不能以“事故报告投毒”或“经验反思投毒”名义单投；M1、M4、T3、T2 具有更强的已有研究邻接或工程实现风险，应设置预实验淘汰门槛。D1、D2 只有在超出配对攻击数据的正常任务中保持低误报，才具有独立防御论文价值。</w:t>
      </w:r>
    </w:p>
    <w:p>
      <w:pPr>
        <w:pStyle w:val="Normal"/>
      </w:pPr>
      <w:r>
        <w:t xml:space="preserve">“没有人做过”无法由有限检索证明。arXiv 收录存在延迟，部分安全研究先在工业博客、系统漏洞报告或非英文会议公开；本次检索没有对所有代码仓库、未发表稿件和付费数据库做到穷尽。作者在向导师确定题目和投稿前，应按附录检索式重新查询最近 30 日新论文，逐条打开全文而非仅凭标题或摘要，并记录五元组差异。对已有研究如 MemTX、TMA-NM、MEMOREPAIR、GhostSplice 应复现其最强相关基线；若强基线已完全解决某候选，则及时撤销“创新”主张。特别是 MCP 2026-07-28 新规范与 Tasks 扩展的实现覆盖面可能有限，规范合法状态不能直接推导现实攻击成功。</w:t>
      </w:r>
    </w:p>
    <w:p>
      <w:pPr>
        <w:pStyle w:val="Normal"/>
      </w:pPr>
      <w:r>
        <w:t xml:space="preserve">本报告由 AI 辅助完成文献检索、交叉核对、方案组织与 Word 排版；论文真实性、引文最终核验、实验数据采集及原创性判断由作者承担。所有实验应在隔离环境中执行，使用虚构身份和模拟动作，不对真实第三方服务实施攻击。</w:t>
      </w:r>
    </w:p>
    <w:p>
      <w:pPr>
        <w:pStyle w:val="Heading1"/>
      </w:pPr>
      <w:r>
        <w:t xml:space="preserve">参考文献与原始来源</w:t>
      </w:r>
    </w:p>
    <w:p>
      <w:pPr>
        <w:pStyle w:val="Normal"/>
      </w:pPr>
      <w:r>
        <w:t xml:space="preserve">[1] Greshake et al. Not What You've Signed Up For: Compromising Real-World LLM-Integrated Applications with Indirect Prompt Injection. 2023. https://arxiv.org/abs/2302.12173</w:t>
      </w:r>
    </w:p>
    <w:p>
      <w:pPr>
        <w:pStyle w:val="Normal"/>
      </w:pPr>
      <w:r>
        <w:t xml:space="preserve">[2] Zhan et al. InjecAgent: Benchmarking Indirect Prompt Injections in Tool-Integrated Large Language Model Agents. Findings of ACL, 2024. https://aclanthology.org/2024.findings-acl.624/</w:t>
      </w:r>
    </w:p>
    <w:p>
      <w:pPr>
        <w:pStyle w:val="Normal"/>
      </w:pPr>
      <w:r>
        <w:t xml:space="preserve">[3] Debenedetti et al. AgentDojo: A Dynamic Environment to Evaluate Prompt Injection Attacks and Defenses for LLM Agents. NeurIPS, 2024. https://proceedings.neurips.cc/paper_files/paper/2024/file/97091a5177d8dc64b1da8bf3e1f6fb54-Paper-Datasets_and_Benchmarks_Track.pdf</w:t>
      </w:r>
    </w:p>
    <w:p>
      <w:pPr>
        <w:pStyle w:val="Normal"/>
      </w:pPr>
      <w:r>
        <w:t xml:space="preserve">[4] Chen et al. AgentPoison: Red-teaming LLM Agents via Poisoning Memory or Knowledge Bases. NeurIPS, 2024. https://papers.nips.cc/paper_files/paper/2024/file/eb113910e9c3f6242541c1652e30dfd6-Paper-Conference.pdf</w:t>
      </w:r>
    </w:p>
    <w:p>
      <w:pPr>
        <w:pStyle w:val="Normal"/>
      </w:pPr>
      <w:r>
        <w:t xml:space="preserve">[5] Prompt Infection: LLM-to-LLM Prompt Injection within Multi-Agent Systems. 2024 预印本. https://arxiv.org/abs/2410.07283</w:t>
      </w:r>
    </w:p>
    <w:p>
      <w:pPr>
        <w:pStyle w:val="Normal"/>
      </w:pPr>
      <w:r>
        <w:t xml:space="preserve">[6] MINJA: Memory Injection Attack against LLM Agents. NeurIPS, 2025. https://papers.nips.cc/paper_files/paper/2025/file/42a97bbd9844d2bf68596730af80bcdf-Paper-Conference.pdf</w:t>
      </w:r>
    </w:p>
    <w:p>
      <w:pPr>
        <w:pStyle w:val="Normal"/>
      </w:pPr>
      <w:r>
        <w:t xml:space="preserve">[7] MemoryGraft: Persistent Compromise of LLM Agents via Poisoned Experience Retrieval. 2025 预印本. https://arxiv.org/abs/2512.16962</w:t>
      </w:r>
    </w:p>
    <w:p>
      <w:pPr>
        <w:pStyle w:val="Normal"/>
      </w:pPr>
      <w:r>
        <w:t xml:space="preserve">[8] Wang et al. MCPTox: A Benchmark for Tool Poisoning Attack on Real-World MCP Servers. AAAI, 2026. https://ojs.aaai.org/index.php/AAAI/article/view/40895</w:t>
      </w:r>
    </w:p>
    <w:p>
      <w:pPr>
        <w:pStyle w:val="Normal"/>
      </w:pPr>
      <w:r>
        <w:t xml:space="preserve">[9] ETDI: Mitigating Tool Squatting and Rug Pull Attacks in Model Context Protocol. 2025 预印本. https://arxiv.org/abs/2506.01333</w:t>
      </w:r>
    </w:p>
    <w:p>
      <w:pPr>
        <w:pStyle w:val="Normal"/>
      </w:pPr>
      <w:r>
        <w:t xml:space="preserve">[10] BackdoorAgent: A Unified Framework for Backdoor Attacks on LLM-based Agents. 2026 预印本. https://arxiv.org/abs/2601.04566</w:t>
      </w:r>
    </w:p>
    <w:p>
      <w:pPr>
        <w:pStyle w:val="Normal"/>
      </w:pPr>
      <w:r>
        <w:t xml:space="preserve">[11] MemMorph: Tool Hijacking in LLM Agents via Memory Poisoning. 2026 预印本. https://arxiv.org/abs/2605.26154</w:t>
      </w:r>
    </w:p>
    <w:p>
      <w:pPr>
        <w:pStyle w:val="Normal"/>
      </w:pPr>
      <w:r>
        <w:t xml:space="preserve">[12] MemSecBench: Tracking Agent Memory Poisoning from Persistence to Consequence and Repair. 2026 预印本. https://arxiv.org/abs/2607.27080</w:t>
      </w:r>
    </w:p>
    <w:p>
      <w:pPr>
        <w:pStyle w:val="Normal"/>
      </w:pPr>
      <w:r>
        <w:t xml:space="preserve">[13] MemTX: Transactional Belief Commit for Stateful Agent Memory. 2026 预印本. https://arxiv.org/abs/2607.23929</w:t>
      </w:r>
    </w:p>
    <w:p>
      <w:pPr>
        <w:pStyle w:val="Normal"/>
      </w:pPr>
      <w:r>
        <w:t xml:space="preserve">[14] Forgetting Without Restarting: Execution-State Unlearning for Stateful LLM Agents. 2026 预印本. https://arxiv.org/abs/2609.04875</w:t>
      </w:r>
    </w:p>
    <w:p>
      <w:pPr>
        <w:pStyle w:val="Normal"/>
      </w:pPr>
      <w:r>
        <w:t xml:space="preserve">[15] Bad Memory: Evaluating Prompt Injection Risks from Memory in Agentic Systems. 2026 预印本. https://arxiv.org/abs/2607.14611</w:t>
      </w:r>
    </w:p>
    <w:p>
      <w:pPr>
        <w:pStyle w:val="Normal"/>
      </w:pPr>
      <w:r>
        <w:t xml:space="preserve">[16] MemSentry: A Framework for Detecting Persistent Memory Poisoning in Agentic AI. 2026 预印本. https://arxiv.org/abs/2609.08747</w:t>
      </w:r>
    </w:p>
    <w:p>
      <w:pPr>
        <w:pStyle w:val="Normal"/>
      </w:pPr>
      <w:r>
        <w:t xml:space="preserve">[17] Measuring and Exploiting Implicit Trust in LLM Tool-Calling Pipelines（GhostSplice）. 2026 预印本. https://arxiv.org/abs/2609.18217</w:t>
      </w:r>
    </w:p>
    <w:p>
      <w:pPr>
        <w:pStyle w:val="Normal"/>
      </w:pPr>
      <w:r>
        <w:t xml:space="preserve">[18] Trust Propagation and Structural Containment in Multi-agent LLM Pipelines. 2026 预印本. https://arxiv.org/abs/2609.17648</w:t>
      </w:r>
    </w:p>
    <w:p>
      <w:pPr>
        <w:pStyle w:val="Normal"/>
      </w:pPr>
      <w:r>
        <w:t xml:space="preserve">[19] Silence Is Endorsement: Verification-Status Laundering in LLM Agent Pipelines. 2026 预印本. https://arxiv.org/abs/2609.20211</w:t>
      </w:r>
    </w:p>
    <w:p>
      <w:pPr>
        <w:pStyle w:val="Normal"/>
      </w:pPr>
      <w:r>
        <w:t xml:space="preserve">[20] Securing LLM-Agent Long-Term Memory Against Poisoning: Non-Malleable, Origin-Bound Authority with Machine-Checked Guarantees（TMA-NM）. 2026 预印本. https://arxiv.org/abs/2606.24322</w:t>
      </w:r>
    </w:p>
    <w:p>
      <w:pPr>
        <w:pStyle w:val="Normal"/>
      </w:pPr>
      <w:r>
        <w:t xml:space="preserve">[21] From Approval to Execution: Reconstruction-Aware Repair Analysis for LLM-Agent Software. 2026 预印本. https://arxiv.org/abs/2609.26529</w:t>
      </w:r>
    </w:p>
    <w:p>
      <w:pPr>
        <w:pStyle w:val="Normal"/>
      </w:pPr>
      <w:r>
        <w:t xml:space="preserve">[22] MEMOREPAIR: Barrier-First Cascade Repair in Agentic Memory. 2026 预印本. https://arxiv.org/abs/2605.07242</w:t>
      </w:r>
    </w:p>
    <w:p>
      <w:pPr>
        <w:pStyle w:val="Normal"/>
      </w:pPr>
      <w:r>
        <w:t xml:space="preserve">[23] Model Context Protocol. Tools Specification, 2026-07-28. https://modelcontextprotocol.io/specification/2026-07-28/server/tools</w:t>
      </w:r>
    </w:p>
    <w:p>
      <w:pPr>
        <w:pStyle w:val="Normal"/>
      </w:pPr>
      <w:r>
        <w:t xml:space="preserve">[24] Model Context Protocol. Tasks Extension Specification, draft, 2026-07-28. https://tasks.extensions.modelcontextprotocol.io/specification/draft/tasks</w:t>
      </w:r>
    </w:p>
    <w:p>
      <w:pPr>
        <w:pStyle w:val="Normal"/>
      </w:pPr>
      <w:r>
        <w:t xml:space="preserve">[25] OEP: Poisoning Self-Evolving LLM Agents via Locally Correct but Non-Transferable Experiences. 2026 预印本. https://arxiv.org/abs/2605.18930</w:t>
      </w:r>
    </w:p>
    <w:p>
      <w:pPr>
        <w:pStyle w:val="Normal"/>
      </w:pPr>
      <w:r>
        <w:t xml:space="preserve">[26] Can MCP Clients Decide What to Do After Failure? A Result-Only Actionability Audit. 2026 预印本. https://arxiv.org/abs/2609.00072</w:t>
      </w:r>
    </w:p>
    <w:p>
      <w:pPr>
        <w:pStyle w:val="Normal"/>
      </w:pPr>
      <w:r>
        <w:t xml:space="preserve">[27] Registry Descriptions Go Stale Unevenly: An 89-Day Measurement of Model Context Protocol Drift, and Why Drift-Ranked Re-Auditing Under-Covers It. 2026 预印本. https://arxiv.org/abs/2608.00997</w:t>
      </w:r>
    </w:p>
    <w:p>
      <w:pPr>
        <w:pStyle w:val="Normal"/>
      </w:pPr>
      <w:r>
        <w:t xml:space="preserve">[28] WebMCP Tool Surface Poisoning: Runtime Manipulation Attacks on LLM Agents. 2026 预印本. https://arxiv.org/abs/2606.06387</w:t>
      </w:r>
    </w:p>
    <w:p>
      <w:pPr>
        <w:pStyle w:val="Normal"/>
      </w:pPr>
      <w:r>
        <w:t xml:space="preserve">[29] Authorization Revocation for Long-Running AI Agents: Root-Scoped Quiescence under Delegation and Asynchronous Execution. 2026 预印本. https://arxiv.org/abs/2609.21284</w:t>
      </w:r>
    </w:p>
    <w:p>
      <w:pPr>
        <w:pStyle w:val="Normal"/>
      </w:pPr>
      <w:r>
        <w:t xml:space="preserve">[30] Revoked but Still Authoritative: An Empirical Study of Revocation Enforcement in Agent-Memory Systems. 2026 预印本. https://arxiv.org/abs/2609.08258</w:t>
      </w:r>
    </w:p>
    <w:p>
      <w:pPr>
        <w:pStyle w:val="Normal"/>
      </w:pPr>
      <w:r>
        <w:t xml:space="preserve">[31] A Benchmark and Diagnostic Study of Epistemic Admission in Shared Agent Memory. 2026 预印本. https://arxiv.org/abs/2609.30813</w:t>
      </w:r>
    </w:p>
    <w:p>
      <w:pPr>
        <w:pStyle w:val="Normal"/>
      </w:pPr>
      <w:r>
        <w:t xml:space="preserve">[32] Microsoft VS Code 官方项目，Issue #290063：MCP structuredContent 与 content 的模型可见性差异。2026. https://github.com/microsoft/vscode/issues/290063</w:t>
      </w:r>
    </w:p>
    <w:p>
      <w:pPr>
        <w:pStyle w:val="Normal"/>
      </w:pPr>
      <w:r>
        <w:t xml:space="preserve">[33] Memory Poisoning Propagation and Repair Mechanism in Multi-Agent Collaborative Environments. 2026. https://doi.org/10.1145/3806262.3806294</w:t>
      </w:r>
    </w:p>
    <w:p>
      <w:pPr>
        <w:pStyle w:val="Normal"/>
      </w:pPr>
      <w:r>
        <w:t xml:space="preserve">[34] Yergattikar. Securing the Tool Layer: A Threat Taxonomy and Runtime Defense Framework for Model Context Protocol Deployments（ShieldMCP）. ACL Industry Track, 2026. https://aclanthology.org/2026.acl-industry.58/</w:t>
      </w:r>
    </w:p>
    <w:p>
      <w:pPr>
        <w:pStyle w:val="Normal"/>
      </w:pPr>
      <w:r>
        <w:t xml:space="preserve">[35] MCP-SafetyBench: A Benchmark for Safety Evaluation of Large Language Models with Real-World MCP Servers. ICLR, 2026. https://proceedings.iclr.cc/paper_files/paper/2026/hash/d46f127a80dc58cbc0732a717285c43a-Abstract-Conference.html</w:t>
      </w:r>
    </w:p>
    <w:p>
      <w:pPr>
        <w:pStyle w:val="Heading1"/>
      </w:pPr>
      <w:r>
        <w:t xml:space="preserve">附录：投稿前逐题查新检索式与记录表</w:t>
      </w:r>
    </w:p>
    <w:p>
      <w:pPr>
        <w:pStyle w:val="Normal"/>
      </w:pPr>
      <w:r>
        <w:t xml:space="preserve">建议分别在 arXiv、ACL Anthology、NeurIPS Proceedings、ACM Digital Library、Semantic Scholar、Google Scholar 和 MCP 官方仓库使用英文精确检索，并把日期限制更新到投稿前最近一天。通用式为 (agent OR LLM agent) AND (backdoor OR prompt injection OR memory poisoning) AND (persistence OR cross-session OR delayed trigger)。对应题目可追加：P1 rejected injection incident summary safety log；P2 negative safety example retrieval label loss；M1 quarantined source asynchronous memory consolidation stale snapshot；M2 corroborator revocation memory authority de-elevation；M3 retired MCP tool cross-tool memory；M4 tool version procedural memory invalidation；T1 structuredContent content divergent audit persistent；T2 MCP tasks completed isError memory；T3 tools/list ttlMs cacheScope frozen plan；T4 MCP resource_link delayed read poisoning；A1 repaired multi-agent handoff repackaged message；A2 cancelled task late callback shared memory；D1 repair epoch source ancestry admission；D2 decision relevant dual view consistency。逐题记录标题、日期、公开链接、控制点、状态转换、触发、终点、基线、与候选差异。若发现五元组同构，立即修改或淘汰，不以改名规避撞题。</w:t>
      </w:r>
    </w:p>
    <w:sectPr>
      <w:footerReference w:type="default" r:id="rId1"/>
      <w:pgSz w:w="11906" w:h="16838"/>
      <w:pgMar w:top="1440" w:right="1440" w:bottom="1440" w:left="1440" w:header="708" w:footer="708"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Times New Roman" w:eastAsia="SimSun" w:hAnsi="Times New Roman"/>
        <w:sz w:val="24"/>
        <w:szCs w:val="24"/>
      </w:rPr>
    </w:rPrDefault>
  </w:docDefaults>
  <w:style w:type="paragraph" w:default="1" w:styleId="Normal">
    <w:name w:val="Normal"/>
    <w:pPr>
      <w:spacing w:after="120" w:line="360" w:lineRule="auto"/>
      <w:ind w:firstLine="480"/>
    </w:pPr>
    <w:rPr>
      <w:rFonts w:eastAsia="SimSun"/>
      <w:sz w:val="24"/>
    </w:rPr>
  </w:style>
  <w:style w:type="paragraph" w:styleId="Title">
    <w:name w:val="Title"/>
    <w:basedOn w:val="Normal"/>
    <w:pPr>
      <w:jc w:val="center"/>
      <w:spacing w:before="520" w:after="600"/>
      <w:ind w:firstLine="0"/>
    </w:pPr>
    <w:rPr>
      <w:rFonts w:eastAsia="SimHei"/>
      <w:b/>
      <w:sz w:val="36"/>
    </w:rPr>
  </w:style>
  <w:style w:type="paragraph" w:styleId="Heading1">
    <w:name w:val="heading 1"/>
    <w:basedOn w:val="Normal"/>
    <w:pPr>
      <w:keepNext/>
      <w:spacing w:before="360" w:after="180"/>
      <w:ind w:firstLine="0"/>
      <w:outlineLvl w:val="0"/>
    </w:pPr>
    <w:rPr>
      <w:rFonts w:eastAsia="SimHei"/>
      <w:b/>
      <w:sz w:val="32"/>
    </w:rPr>
  </w:style>
  <w:style w:type="paragraph" w:styleId="Heading2">
    <w:name w:val="heading 2"/>
    <w:basedOn w:val="Normal"/>
    <w:pPr>
      <w:keepNext/>
      <w:spacing w:before="260" w:after="140"/>
      <w:ind w:firstLine="0"/>
      <w:outlineLvl w:val="1"/>
    </w:pPr>
    <w:rPr>
      <w:rFonts w:eastAsia="SimHei"/>
      <w:b/>
      <w:sz w:val="28"/>
    </w:rPr>
  </w:style>
  <w:style w:type="paragraph" w:styleId="TableText">
    <w:name w:val="Table Text"/>
    <w:basedOn w:val="Normal"/>
    <w:pPr>
      <w:spacing w:after="0" w:line="300" w:lineRule="auto"/>
      <w:ind w:firstLine="0"/>
    </w:pPr>
    <w:rPr>
      <w:rFonts w:eastAsia="SimSun"/>
      <w:sz w:val="21"/>
    </w:r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Agent 后门攻击研究——硕士学位论文开题报告</dc:title>
  <dc:subject>Agent 推理时后门攻击与防护选题调研</dc:subject>
</cp:coreProperties>
</file>