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FE64D" w14:textId="0E1C526B" w:rsidR="005B55E1" w:rsidRPr="00EC6E99" w:rsidRDefault="005B55E1">
      <w:pPr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</w:pPr>
      <w:r w:rsidRPr="00EC6E99">
        <w:rPr>
          <w:rFonts w:ascii="Arial" w:eastAsia="宋体" w:hAnsi="Arial" w:cs="Arial" w:hint="eastAsia"/>
          <w:color w:val="000000"/>
          <w:kern w:val="0"/>
          <w:sz w:val="18"/>
          <w:szCs w:val="18"/>
          <w:shd w:val="clear" w:color="auto" w:fill="FFFFFF"/>
        </w:rPr>
        <w:t>测试代码编写</w:t>
      </w:r>
    </w:p>
    <w:p w14:paraId="6F927F3A" w14:textId="772D16EF" w:rsidR="00600763" w:rsidRPr="00EC6E99" w:rsidRDefault="00600763">
      <w:pPr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</w:pPr>
      <w:r w:rsidRPr="00EC6E99">
        <w:rPr>
          <w:rFonts w:ascii="Arial" w:eastAsia="宋体" w:hAnsi="Arial" w:cs="Arial" w:hint="eastAsia"/>
          <w:color w:val="000000"/>
          <w:kern w:val="0"/>
          <w:sz w:val="18"/>
          <w:szCs w:val="18"/>
          <w:shd w:val="clear" w:color="auto" w:fill="FFFFFF"/>
        </w:rPr>
        <w:t>上面测试的是双检锁类的单例序列化和反序列化，下面的是枚举类的单例</w:t>
      </w:r>
    </w:p>
    <w:p w14:paraId="14EC014E" w14:textId="22259E9B" w:rsidR="005B55E1" w:rsidRDefault="005B55E1">
      <w:r>
        <w:rPr>
          <w:noProof/>
        </w:rPr>
        <w:drawing>
          <wp:inline distT="0" distB="0" distL="0" distR="0" wp14:anchorId="18425B94" wp14:editId="0528132D">
            <wp:extent cx="5274310" cy="40430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B7E47" w14:textId="7EA2FE37" w:rsidR="006A6A1E" w:rsidRPr="00EC6E99" w:rsidRDefault="00344E45" w:rsidP="00EC6E99">
      <w:pPr>
        <w:pStyle w:val="4"/>
        <w:keepNext w:val="0"/>
        <w:keepLines w:val="0"/>
        <w:widowControl/>
        <w:spacing w:before="240" w:after="0" w:line="450" w:lineRule="atLeast"/>
        <w:jc w:val="left"/>
        <w:rPr>
          <w:rFonts w:ascii="微软雅黑" w:eastAsia="微软雅黑" w:hAnsi="微软雅黑" w:cs="微软雅黑"/>
          <w:bCs w:val="0"/>
          <w:color w:val="ED4E4E"/>
          <w:kern w:val="0"/>
          <w:sz w:val="27"/>
          <w:szCs w:val="27"/>
          <w:shd w:val="clear" w:color="auto" w:fill="FFFFFF"/>
        </w:rPr>
      </w:pPr>
      <w:r w:rsidRPr="00EC6E99">
        <w:rPr>
          <w:rFonts w:ascii="微软雅黑" w:eastAsia="微软雅黑" w:hAnsi="微软雅黑" w:cs="微软雅黑" w:hint="eastAsia"/>
          <w:bCs w:val="0"/>
          <w:color w:val="ED4E4E"/>
          <w:kern w:val="0"/>
          <w:sz w:val="27"/>
          <w:szCs w:val="27"/>
          <w:shd w:val="clear" w:color="auto" w:fill="FFFFFF"/>
        </w:rPr>
        <w:t>双检锁单例序列化</w:t>
      </w:r>
    </w:p>
    <w:p w14:paraId="4DFF7D24" w14:textId="7CA9EF6A" w:rsidR="00B867CD" w:rsidRPr="00EC6E99" w:rsidRDefault="00B867CD">
      <w:pPr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</w:pPr>
      <w:r w:rsidRPr="00EC6E99">
        <w:rPr>
          <w:rFonts w:ascii="Arial" w:eastAsia="宋体" w:hAnsi="Arial" w:cs="Arial" w:hint="eastAsia"/>
          <w:color w:val="000000"/>
          <w:kern w:val="0"/>
          <w:sz w:val="18"/>
          <w:szCs w:val="18"/>
          <w:shd w:val="clear" w:color="auto" w:fill="FFFFFF"/>
        </w:rPr>
        <w:t>可以看到，普通单例会创建相关的对象，属性信息是无法直接看到，显示的是一串内存地址</w:t>
      </w:r>
    </w:p>
    <w:p w14:paraId="4AE500E6" w14:textId="1D546989" w:rsidR="00344E45" w:rsidRDefault="00344E45">
      <w:r>
        <w:rPr>
          <w:noProof/>
        </w:rPr>
        <w:drawing>
          <wp:inline distT="0" distB="0" distL="0" distR="0" wp14:anchorId="1023AE2F" wp14:editId="220178A7">
            <wp:extent cx="5274310" cy="34251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167F6" w14:textId="747246DD" w:rsidR="003E41D4" w:rsidRDefault="00B171DE">
      <w:pPr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</w:pPr>
      <w:r w:rsidRPr="00EC6E99">
        <w:rPr>
          <w:rFonts w:ascii="Arial" w:eastAsia="宋体" w:hAnsi="Arial" w:cs="Arial" w:hint="eastAsia"/>
          <w:color w:val="000000"/>
          <w:kern w:val="0"/>
          <w:sz w:val="18"/>
          <w:szCs w:val="18"/>
          <w:shd w:val="clear" w:color="auto" w:fill="FFFFFF"/>
        </w:rPr>
        <w:lastRenderedPageBreak/>
        <w:t>重新</w:t>
      </w:r>
      <w:r w:rsidR="00CE06B0" w:rsidRPr="00EC6E99">
        <w:rPr>
          <w:rFonts w:ascii="Arial" w:eastAsia="宋体" w:hAnsi="Arial" w:cs="Arial" w:hint="eastAsia"/>
          <w:color w:val="000000"/>
          <w:kern w:val="0"/>
          <w:sz w:val="18"/>
          <w:szCs w:val="18"/>
          <w:shd w:val="clear" w:color="auto" w:fill="FFFFFF"/>
        </w:rPr>
        <w:t>debug</w:t>
      </w:r>
      <w:r w:rsidR="003E41D4" w:rsidRPr="00EC6E99">
        <w:rPr>
          <w:rFonts w:ascii="Arial" w:eastAsia="宋体" w:hAnsi="Arial" w:cs="Arial" w:hint="eastAsia"/>
          <w:color w:val="000000"/>
          <w:kern w:val="0"/>
          <w:sz w:val="18"/>
          <w:szCs w:val="18"/>
          <w:shd w:val="clear" w:color="auto" w:fill="FFFFFF"/>
        </w:rPr>
        <w:t>，找到具体调用的地方</w:t>
      </w:r>
      <w:r w:rsidR="00C33C68" w:rsidRPr="00EC6E99">
        <w:rPr>
          <w:rFonts w:ascii="Arial" w:eastAsia="宋体" w:hAnsi="Arial" w:cs="Arial" w:hint="eastAsia"/>
          <w:color w:val="000000"/>
          <w:kern w:val="0"/>
          <w:sz w:val="18"/>
          <w:szCs w:val="18"/>
          <w:shd w:val="clear" w:color="auto" w:fill="FFFFFF"/>
        </w:rPr>
        <w:t>，可以看到新建了一个对象，导致单例被改变</w:t>
      </w:r>
    </w:p>
    <w:p w14:paraId="5F1576FB" w14:textId="25E1C081" w:rsidR="008E3316" w:rsidRPr="008E3316" w:rsidRDefault="0084335E">
      <w:pPr>
        <w:rPr>
          <w:rFonts w:ascii="Arial" w:eastAsia="宋体" w:hAnsi="Arial" w:cs="Arial" w:hint="eastAsia"/>
          <w:color w:val="000000"/>
          <w:kern w:val="0"/>
          <w:sz w:val="18"/>
          <w:szCs w:val="18"/>
          <w:shd w:val="clear" w:color="auto" w:fill="FFFFFF"/>
        </w:rPr>
      </w:pPr>
      <w:r>
        <w:rPr>
          <w:rFonts w:ascii="Arial" w:eastAsia="宋体" w:hAnsi="Arial" w:cs="Arial" w:hint="eastAsia"/>
          <w:color w:val="000000"/>
          <w:kern w:val="0"/>
          <w:sz w:val="18"/>
          <w:szCs w:val="18"/>
          <w:shd w:val="clear" w:color="auto" w:fill="FFFFFF"/>
        </w:rPr>
        <w:t>对应</w:t>
      </w:r>
      <w:r w:rsidR="008E3316">
        <w:rPr>
          <w:rFonts w:ascii="Arial" w:eastAsia="宋体" w:hAnsi="Arial" w:cs="Arial" w:hint="eastAsia"/>
          <w:color w:val="000000"/>
          <w:kern w:val="0"/>
          <w:sz w:val="18"/>
          <w:szCs w:val="18"/>
          <w:shd w:val="clear" w:color="auto" w:fill="FFFFFF"/>
        </w:rPr>
        <w:t>的调用栈：</w:t>
      </w:r>
      <w:r w:rsidR="008E3316" w:rsidRPr="008E3316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readObject---&gt;readObject0---&gt;case TC_OBJECT---&gt;readOrdinaryObject</w:t>
      </w:r>
    </w:p>
    <w:p w14:paraId="5331EEF8" w14:textId="27C45E4C" w:rsidR="003E41D4" w:rsidRDefault="003E41D4">
      <w:r>
        <w:rPr>
          <w:noProof/>
        </w:rPr>
        <w:drawing>
          <wp:inline distT="0" distB="0" distL="0" distR="0" wp14:anchorId="33625A75" wp14:editId="7E25D04D">
            <wp:extent cx="5274310" cy="464248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D89A1" w14:textId="575913EC" w:rsidR="003E41D4" w:rsidRDefault="003E41D4">
      <w:r>
        <w:rPr>
          <w:noProof/>
        </w:rPr>
        <w:lastRenderedPageBreak/>
        <w:drawing>
          <wp:inline distT="0" distB="0" distL="0" distR="0" wp14:anchorId="0F5E1A15" wp14:editId="60A5EF91">
            <wp:extent cx="5274310" cy="52514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5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3DA29" w14:textId="1E52AFF1" w:rsidR="00B867CD" w:rsidRDefault="00B867CD"/>
    <w:p w14:paraId="403383EE" w14:textId="5F57A0A8" w:rsidR="00F37AB3" w:rsidRPr="00EC6E99" w:rsidRDefault="00F37AB3">
      <w:pPr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</w:pPr>
      <w:r w:rsidRPr="00EC6E99">
        <w:rPr>
          <w:rFonts w:ascii="Arial" w:eastAsia="宋体" w:hAnsi="Arial" w:cs="Arial" w:hint="eastAsia"/>
          <w:color w:val="000000"/>
          <w:kern w:val="0"/>
          <w:sz w:val="18"/>
          <w:szCs w:val="18"/>
          <w:shd w:val="clear" w:color="auto" w:fill="FFFFFF"/>
        </w:rPr>
        <w:t>双检锁单例序列化结果</w:t>
      </w:r>
    </w:p>
    <w:p w14:paraId="0B98FA38" w14:textId="322CAEC6" w:rsidR="00F37AB3" w:rsidRDefault="00F37AB3">
      <w:r>
        <w:rPr>
          <w:noProof/>
        </w:rPr>
        <w:drawing>
          <wp:inline distT="0" distB="0" distL="0" distR="0" wp14:anchorId="7739A417" wp14:editId="7958EF1A">
            <wp:extent cx="3219450" cy="2171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C0243" w14:textId="65503C9D" w:rsidR="00167B89" w:rsidRDefault="00167B89"/>
    <w:p w14:paraId="299F1017" w14:textId="7F437488" w:rsidR="00344E45" w:rsidRPr="00EC6E99" w:rsidRDefault="00344E45" w:rsidP="00EC6E99">
      <w:pPr>
        <w:pStyle w:val="4"/>
        <w:keepNext w:val="0"/>
        <w:keepLines w:val="0"/>
        <w:widowControl/>
        <w:spacing w:before="240" w:after="0" w:line="450" w:lineRule="atLeast"/>
        <w:jc w:val="left"/>
        <w:rPr>
          <w:rFonts w:ascii="微软雅黑" w:eastAsia="微软雅黑" w:hAnsi="微软雅黑" w:cs="微软雅黑"/>
          <w:bCs w:val="0"/>
          <w:color w:val="ED4E4E"/>
          <w:kern w:val="0"/>
          <w:sz w:val="27"/>
          <w:szCs w:val="27"/>
          <w:shd w:val="clear" w:color="auto" w:fill="FFFFFF"/>
        </w:rPr>
      </w:pPr>
      <w:r w:rsidRPr="00EC6E99">
        <w:rPr>
          <w:rFonts w:ascii="微软雅黑" w:eastAsia="微软雅黑" w:hAnsi="微软雅黑" w:cs="微软雅黑" w:hint="eastAsia"/>
          <w:bCs w:val="0"/>
          <w:color w:val="ED4E4E"/>
          <w:kern w:val="0"/>
          <w:sz w:val="27"/>
          <w:szCs w:val="27"/>
          <w:shd w:val="clear" w:color="auto" w:fill="FFFFFF"/>
        </w:rPr>
        <w:t>枚举类序列化</w:t>
      </w:r>
    </w:p>
    <w:p w14:paraId="59DA7469" w14:textId="52EEBB47" w:rsidR="00B867CD" w:rsidRPr="00EC6E99" w:rsidRDefault="00B867CD">
      <w:pPr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</w:pPr>
      <w:r w:rsidRPr="00EC6E99">
        <w:rPr>
          <w:rFonts w:ascii="Arial" w:eastAsia="宋体" w:hAnsi="Arial" w:cs="Arial" w:hint="eastAsia"/>
          <w:color w:val="000000"/>
          <w:kern w:val="0"/>
          <w:sz w:val="18"/>
          <w:szCs w:val="18"/>
          <w:shd w:val="clear" w:color="auto" w:fill="FFFFFF"/>
        </w:rPr>
        <w:t>可以看到，普通单例会创建相关的对象，属性信息是直接可以看到</w:t>
      </w:r>
    </w:p>
    <w:p w14:paraId="582829B2" w14:textId="39B95860" w:rsidR="00344E45" w:rsidRDefault="00344E45">
      <w:r>
        <w:rPr>
          <w:noProof/>
        </w:rPr>
        <w:lastRenderedPageBreak/>
        <w:drawing>
          <wp:inline distT="0" distB="0" distL="0" distR="0" wp14:anchorId="052DFC92" wp14:editId="7972E9F4">
            <wp:extent cx="5274310" cy="37877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0352B" w14:textId="60A2E9D5" w:rsidR="00593191" w:rsidRDefault="00593191">
      <w:pPr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</w:pPr>
      <w:r w:rsidRPr="00EC6E99">
        <w:rPr>
          <w:rFonts w:ascii="Arial" w:eastAsia="宋体" w:hAnsi="Arial" w:cs="Arial" w:hint="eastAsia"/>
          <w:color w:val="000000"/>
          <w:kern w:val="0"/>
          <w:sz w:val="18"/>
          <w:szCs w:val="18"/>
          <w:shd w:val="clear" w:color="auto" w:fill="FFFFFF"/>
        </w:rPr>
        <w:t>重新</w:t>
      </w:r>
      <w:r w:rsidRPr="00EC6E99">
        <w:rPr>
          <w:rFonts w:ascii="Arial" w:eastAsia="宋体" w:hAnsi="Arial" w:cs="Arial" w:hint="eastAsia"/>
          <w:color w:val="000000"/>
          <w:kern w:val="0"/>
          <w:sz w:val="18"/>
          <w:szCs w:val="18"/>
          <w:shd w:val="clear" w:color="auto" w:fill="FFFFFF"/>
        </w:rPr>
        <w:t>debug</w:t>
      </w:r>
      <w:r w:rsidRPr="00EC6E99">
        <w:rPr>
          <w:rFonts w:ascii="Arial" w:eastAsia="宋体" w:hAnsi="Arial" w:cs="Arial" w:hint="eastAsia"/>
          <w:color w:val="000000"/>
          <w:kern w:val="0"/>
          <w:sz w:val="18"/>
          <w:szCs w:val="18"/>
          <w:shd w:val="clear" w:color="auto" w:fill="FFFFFF"/>
        </w:rPr>
        <w:t>，进入的方法是</w:t>
      </w:r>
      <w:r w:rsidRPr="00EC6E99">
        <w:rPr>
          <w:rFonts w:ascii="Arial" w:eastAsia="宋体" w:hAnsi="Arial" w:cs="Arial" w:hint="eastAsia"/>
          <w:color w:val="000000"/>
          <w:kern w:val="0"/>
          <w:sz w:val="18"/>
          <w:szCs w:val="18"/>
          <w:shd w:val="clear" w:color="auto" w:fill="FFFFFF"/>
        </w:rPr>
        <w:t>read</w:t>
      </w:r>
      <w:r w:rsidRPr="00EC6E99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Enum</w:t>
      </w:r>
    </w:p>
    <w:p w14:paraId="64F16977" w14:textId="2DFF460B" w:rsidR="0084335E" w:rsidRPr="00EC6E99" w:rsidRDefault="0084335E">
      <w:pPr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</w:pPr>
      <w:r>
        <w:rPr>
          <w:rFonts w:ascii="Arial" w:eastAsia="宋体" w:hAnsi="Arial" w:cs="Arial" w:hint="eastAsia"/>
          <w:color w:val="000000"/>
          <w:kern w:val="0"/>
          <w:sz w:val="18"/>
          <w:szCs w:val="18"/>
          <w:shd w:val="clear" w:color="auto" w:fill="FFFFFF"/>
        </w:rPr>
        <w:t>对应</w:t>
      </w:r>
      <w:bookmarkStart w:id="0" w:name="_GoBack"/>
      <w:bookmarkEnd w:id="0"/>
      <w:r w:rsidRPr="0084335E">
        <w:rPr>
          <w:rFonts w:ascii="Arial" w:eastAsia="宋体" w:hAnsi="Arial" w:cs="Arial" w:hint="eastAsia"/>
          <w:color w:val="000000"/>
          <w:kern w:val="0"/>
          <w:sz w:val="18"/>
          <w:szCs w:val="18"/>
          <w:shd w:val="clear" w:color="auto" w:fill="FFFFFF"/>
        </w:rPr>
        <w:t>的调用栈：</w:t>
      </w:r>
      <w:r w:rsidRPr="0084335E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readObject---&gt;readObject0---&gt;case TC_ENUM---&gt;readEnum</w:t>
      </w:r>
    </w:p>
    <w:p w14:paraId="49280D7A" w14:textId="33EBBCC7" w:rsidR="00593191" w:rsidRDefault="00593191">
      <w:r>
        <w:rPr>
          <w:noProof/>
        </w:rPr>
        <w:drawing>
          <wp:inline distT="0" distB="0" distL="0" distR="0" wp14:anchorId="75B5FFFF" wp14:editId="622AD471">
            <wp:extent cx="4095750" cy="4381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886E7" w14:textId="7F0FFEB3" w:rsidR="00593191" w:rsidRDefault="00593191">
      <w:r>
        <w:rPr>
          <w:noProof/>
        </w:rPr>
        <w:lastRenderedPageBreak/>
        <w:drawing>
          <wp:inline distT="0" distB="0" distL="0" distR="0" wp14:anchorId="23AB1CFA" wp14:editId="31C10585">
            <wp:extent cx="5274310" cy="63639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6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5E88C" w14:textId="0231B4C2" w:rsidR="00F37AB3" w:rsidRPr="00EC6E99" w:rsidRDefault="00F37AB3">
      <w:pPr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</w:pPr>
      <w:r w:rsidRPr="00EC6E99">
        <w:rPr>
          <w:rFonts w:ascii="Arial" w:eastAsia="宋体" w:hAnsi="Arial" w:cs="Arial" w:hint="eastAsia"/>
          <w:color w:val="000000"/>
          <w:kern w:val="0"/>
          <w:sz w:val="18"/>
          <w:szCs w:val="18"/>
          <w:shd w:val="clear" w:color="auto" w:fill="FFFFFF"/>
        </w:rPr>
        <w:t>枚举类单例序列化结果</w:t>
      </w:r>
    </w:p>
    <w:p w14:paraId="6E292E6B" w14:textId="33984430" w:rsidR="00F37AB3" w:rsidRDefault="00F37AB3">
      <w:r>
        <w:rPr>
          <w:noProof/>
        </w:rPr>
        <w:lastRenderedPageBreak/>
        <w:drawing>
          <wp:inline distT="0" distB="0" distL="0" distR="0" wp14:anchorId="737CAF17" wp14:editId="1155F467">
            <wp:extent cx="3390900" cy="2171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7A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685"/>
    <w:rsid w:val="00167B89"/>
    <w:rsid w:val="00344E45"/>
    <w:rsid w:val="003E41D4"/>
    <w:rsid w:val="00536A81"/>
    <w:rsid w:val="00593191"/>
    <w:rsid w:val="005B55E1"/>
    <w:rsid w:val="00600763"/>
    <w:rsid w:val="006A6A1E"/>
    <w:rsid w:val="0084335E"/>
    <w:rsid w:val="008E3316"/>
    <w:rsid w:val="00AA7685"/>
    <w:rsid w:val="00B171DE"/>
    <w:rsid w:val="00B867CD"/>
    <w:rsid w:val="00C33C68"/>
    <w:rsid w:val="00CE06B0"/>
    <w:rsid w:val="00D20C62"/>
    <w:rsid w:val="00EC6E99"/>
    <w:rsid w:val="00F37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34299"/>
  <w15:chartTrackingRefBased/>
  <w15:docId w15:val="{4E4A96A0-61AA-4416-8C1D-1C21CE89C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a"/>
    <w:link w:val="40"/>
    <w:qFormat/>
    <w:rsid w:val="00EC6E99"/>
    <w:pPr>
      <w:keepNext/>
      <w:keepLines/>
      <w:spacing w:before="280" w:after="290" w:line="376" w:lineRule="auto"/>
      <w:outlineLvl w:val="3"/>
    </w:pPr>
    <w:rPr>
      <w:rFonts w:ascii="Arial" w:eastAsia="宋体" w:hAnsi="Arial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rsid w:val="00EC6E99"/>
    <w:rPr>
      <w:rFonts w:ascii="Arial" w:eastAsia="宋体" w:hAnsi="Arial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6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</cp:revision>
  <dcterms:created xsi:type="dcterms:W3CDTF">2019-07-22T03:58:00Z</dcterms:created>
  <dcterms:modified xsi:type="dcterms:W3CDTF">2019-07-22T08:06:00Z</dcterms:modified>
</cp:coreProperties>
</file>