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11B" w:val="clear"/>
            <w:vAlign w:val="top"/>
          </w:tcPr>
          <w:p>
            <w:pPr>
              <w:spacing w:before="4241"/>
            </w:pPr>
          </w:p>
          <w:p>
            <w:pPr>
              <w:pBdr>
                <w:bottom w:val="single" w:color="F28C4A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F28C4A"/>
                <w:spacing w:val="40"/>
                <w:sz w:val="18"/>
                <w:szCs w:val="18"/>
              </w:rPr>
              <w:t xml:space="preserve">P  R  O  D  U  C  T     B  U  S  I  N  E  S  S     P  L  A  N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刚好 · 净省凑单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产品商业计划书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C7D6CE"/>
                <w:sz w:val="24"/>
                <w:szCs w:val="24"/>
              </w:rPr>
              <w:t xml:space="preserve">外卖购物车结算前的带约束实时决策服务</w:t>
            </w:r>
          </w:p>
          <w:p>
            <w:pPr>
              <w:pBdr>
                <w:left w:val="single" w:color="F28C4A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A8BDB4"/>
                <w:sz w:val="24"/>
                <w:szCs w:val="24"/>
              </w:rPr>
              <w:t xml:space="preserve">普陀创新挑战赛 · 赛道 2 / 产品 BP</w:t>
            </w:r>
          </w:p>
          <w:p>
            <w:pPr>
              <w:pBdr>
                <w:left w:val="single" w:color="F28C4A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A8BDB4"/>
                <w:sz w:val="24"/>
                <w:szCs w:val="24"/>
              </w:rPr>
              <w:t xml:space="preserve">版本 v1.4 · 原型已交付，可现场演示</w:t>
            </w:r>
          </w:p>
          <w:p>
            <w:pPr>
              <w:pBdr>
                <w:left w:val="single" w:color="F28C4A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A8BDB4"/>
                <w:sz w:val="24"/>
                <w:szCs w:val="24"/>
              </w:rPr>
              <w:t xml:space="preserve">2026 年 10 月</w:t>
            </w:r>
          </w:p>
          <w:p>
            <w:pPr>
              <w:spacing w:before="4241"/>
            </w:pPr>
          </w:p>
          <w:p>
            <w:pPr>
              <w:pBdr>
                <w:top w:val="single" w:color="F28C4A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E857B"/>
                <w:sz w:val="16"/>
                <w:szCs w:val="16"/>
              </w:rPr>
              <w:t xml:space="preserve">刚好 · 净省凑单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6E857B"/>
                <w:sz w:val="16"/>
                <w:szCs w:val="16"/>
              </w:rPr>
              <w:t xml:space="preserve">2026.10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0A5A43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一、执行摘要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一、执行摘要</w:t>
          </w:r>
          <w:r>
            <w:tab/>
          </w:r>
          <w:r>
            <w:t>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二、痛点：凑单不是省钱，是三输</w:t>
          </w:r>
          <w:r>
            <w:tab/>
          </w:r>
          <w:r>
            <w:t>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三、机会：优惠越复杂，决策越值钱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四、产品：三个方案，一句净省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五、算法：不是推荐列表，是带约束的实时求解器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（一）问题定义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（二）求解流程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（三）延迟预算与降级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六、壁垒：算法不是壁垒，闭环才是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七、竞争：现有方案，都不解决「净省」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八、落地：12 周，跑通一个城市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九、价值测算：平台投入 1 元，拿回 1.8–5.2 元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十、商业模式：向平台收费，不向用户收费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十一、团队：三类人，缺一不可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十二、原型：不是计划书，是能跑的系统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十三、下一步：给一个入口，12 周还你三个答案</w:t>
          </w:r>
          <w:r>
            <w:tab/>
          </w:r>
          <w:r>
            <w:t>8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注：本目录由域代码生成。编辑正文后，请在目录上点击右键并选择「更新域」，以确保页码准确。</w:t>
      </w:r>
    </w:p>
    <w:p>
      <w:pPr>
        <w:pStyle w:val="Heading1"/>
        <w:spacing w:after="160" w:before="360" w:line="380" w:lineRule="atLeast"/>
      </w:pPr>
      <w:bookmarkStart w:name="_Toc1" w:id="1"/>
      <w:r>
        <w:rPr>
          <w:rFonts w:ascii="Times New Roman" w:eastAsia="SimHei"/>
          <w:b/>
          <w:bCs/>
          <w:color w:val="0A5A43"/>
          <w:sz w:val="32"/>
          <w:szCs w:val="32"/>
        </w:rPr>
        <w:t xml:space="preserve">一、执行摘要</w:t>
      </w:r>
      <w:bookmarkEnd w:id="1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刚好 · 净省凑单是一项嵌入外卖购物车结算环节的带约束实时决策服务，定位一句话概括：不劝你多买，只帮你少花。它在用户确认订单前的三秒决策窗口内，把满减、优惠券、配送费、库存等约束统一纳入求解，直接给出「最省钱、最想要、不凑更划算」三类方案，并按净省金额排序呈现。</w:t>
      </w:r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产品对「净省」给出可验证的定义：净省 = 增量优惠 − 加购价 − 附加费。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核心价值承诺是单均净省 2.0 元、在结算环节真实兑现；报价与结算 100% 同源，决策链路 P99 延迟小于 100 毫秒，超时自动降级、不阻塞下单。</w:t>
      </w:r>
    </w:p>
    <w:p>
      <w:pPr>
        <w:keepNext w:val="false"/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与同类「凑单推荐」工具的本质区别在于：本产品不是商品推荐列表，而是一次替用户完成的净省计算，并对每个推荐数字给出可解释的依据。v1.4 原型已完整交付，包含算法引擎、推荐服务、实时计算看板与演示中心，64 项测试全部通过、26 组接口集成验证 PASS、262 个合成场景零违规，可在本机 3000 端口一页演示六个视图，支持现场运行验证。</w:t>
      </w:r>
    </w:p>
    <w:p>
      <w:pPr>
        <w:pStyle w:val="Heading1"/>
        <w:spacing w:after="160" w:before="360" w:line="380" w:lineRule="atLeast"/>
      </w:pPr>
      <w:bookmarkStart w:name="_Toc2" w:id="2"/>
      <w:r>
        <w:rPr>
          <w:rFonts w:ascii="Times New Roman" w:eastAsia="SimHei"/>
          <w:b/>
          <w:bCs/>
          <w:color w:val="0A5A43"/>
          <w:sz w:val="32"/>
          <w:szCs w:val="32"/>
        </w:rPr>
        <w:t xml:space="preserve">二、痛点：凑单不是省钱，是三输</w:t>
      </w:r>
      <w:bookmarkEnd w:id="2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满减门槛催生的「凑单」行为，当前让用户、平台、商家三方同时受损。用户以为在省钱，平台以为在促活，商家却在承担无效加购与退款风险。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A5A43"/>
          <w:sz w:val="21"/>
          <w:szCs w:val="21"/>
        </w:rPr>
        <w:t xml:space="preserve">表 1  三方痛点与关键信号</w:t>
      </w:r>
    </w:p>
    <w:tbl>
      <w:tblPr>
        <w:tblW w:type="pct" w:w="5000"/>
        <w:tblBorders>
          <w:top w:val="single" w:color="0E7C5B" w:sz="4"/>
          <w:left w:val="none" w:color="FFFFFF" w:sz="0"/>
          <w:bottom w:val="single" w:color="0E7C5B" w:sz="4"/>
          <w:right w:val="none" w:color="FFFFFF" w:sz="0"/>
          <w:insideH w:val="single" w:color="D5E3DC" w:sz="2"/>
          <w:insideV w:val="none" w:color="FFFFFF" w:sz="0"/>
        </w:tblBorders>
      </w:tblPr>
      <w:tblGrid>
        <w:gridCol w:w="1933"/>
        <w:gridCol w:w="1230"/>
        <w:gridCol w:w="5624"/>
      </w:tblGrid>
      <w:tr>
        <w:trPr>
          <w:cantSplit/>
          <w:tblHeader/>
        </w:trPr>
        <w:tc>
          <w:tcPr>
            <w:tcW w:type="pct" w:w="11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相关方</w:t>
            </w:r>
          </w:p>
        </w:tc>
        <w:tc>
          <w:tcPr>
            <w:tcW w:type="pct" w:w="7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关键信号</w:t>
            </w:r>
          </w:p>
        </w:tc>
        <w:tc>
          <w:tcPr>
            <w:tcW w:type="pct" w:w="32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具体表现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用户端：负和博弈</w:t>
            </w:r>
          </w:p>
        </w:tc>
        <w:tc>
          <w:tcPr>
            <w:tcW w:type="pct" w:w="7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0A5A43"/>
                <w:sz w:val="21"/>
                <w:szCs w:val="21"/>
              </w:rPr>
              <w:t xml:space="preserve">−¥10</w:t>
            </w:r>
          </w:p>
        </w:tc>
        <w:tc>
          <w:tcPr>
            <w:tcW w:type="pct" w:w="32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为省 5 元满减，被迫多凑 15 元不需要的冷门单品；比价 5 分钟，吃完往往后悔。</w:t>
            </w:r>
          </w:p>
        </w:tc>
      </w:tr>
      <w:tr>
        <w:trPr>
          <w:cantSplit/>
        </w:trPr>
        <w:tc>
          <w:tcPr>
            <w:tcW w:type="pct" w:w="11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平台端：流失隐患</w:t>
            </w:r>
          </w:p>
        </w:tc>
        <w:tc>
          <w:tcPr>
            <w:tcW w:type="pct" w:w="7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0A5A43"/>
                <w:sz w:val="21"/>
                <w:szCs w:val="21"/>
              </w:rPr>
              <w:t xml:space="preserve">15%</w:t>
            </w:r>
          </w:p>
        </w:tc>
        <w:tc>
          <w:tcPr>
            <w:tcW w:type="pct" w:w="32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结算前因「差几元达标」造成的购物车放弃率；补贴发了，但没有促成交易。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商家端：运营负担</w:t>
            </w:r>
          </w:p>
        </w:tc>
        <w:tc>
          <w:tcPr>
            <w:tcW w:type="pct" w:w="7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0A5A43"/>
                <w:sz w:val="21"/>
                <w:szCs w:val="21"/>
              </w:rPr>
              <w:t xml:space="preserve">+23%</w:t>
            </w:r>
          </w:p>
        </w:tc>
        <w:tc>
          <w:tcPr>
            <w:tcW w:type="pct" w:w="32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无效加购引发部分退款或差评，打包和备货节奏被打乱；满减折扣换来低质量客单。</w:t>
            </w:r>
          </w:p>
        </w:tc>
      </w:tr>
    </w:tbl>
    <w:p>
      <w:pPr>
        <w:keepNext w:val="false"/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问题叠加的根因在于：现有凑单工具是商品推荐，不是决策服务。推荐逻辑回答「有什么可加」，而不回答「加了到底省不省、值不值」，因此无法在结算前替用户完成一次可信的经济判断。</w:t>
      </w:r>
    </w:p>
    <w:p>
      <w:pPr>
        <w:pStyle w:val="Heading1"/>
        <w:spacing w:after="160" w:before="360" w:line="380" w:lineRule="atLeast"/>
      </w:pPr>
      <w:bookmarkStart w:name="_Toc3" w:id="3"/>
      <w:r>
        <w:rPr>
          <w:rFonts w:ascii="Times New Roman" w:eastAsia="SimHei"/>
          <w:b/>
          <w:bCs/>
          <w:color w:val="0A5A43"/>
          <w:sz w:val="32"/>
          <w:szCs w:val="32"/>
        </w:rPr>
        <w:t xml:space="preserve">三、机会：优惠越复杂，决策越值钱</w:t>
      </w:r>
      <w:bookmarkEnd w:id="3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用户只愿意为凑单多花 3 秒。这 3 秒的结算前决策窗口，正是产品发生价值的地方：从「多点几家比价」变成「帮我决定」。平台不再只拼补贴，用户也不想再多点几家，三个趋势同时指向这一机会。</w:t>
      </w:r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其一，优惠叠加。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满减、券、配送费、会员权益同时出现，用户算不清实际得失，决策成本被转嫁给用户。</w:t>
      </w:r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其二，效率竞争。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平台竞争从拼补贴规模转向拼转化率、客单价与补贴效率，结算环节成为效率提升的最后洼地。</w:t>
      </w:r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其三，信任稀缺。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用户对诱导凑单越来越敏感，透明、理性正在成为差异化能力而非合规负担。</w:t>
      </w:r>
    </w:p>
    <w:p>
      <w:pPr>
        <w:keepNext w:val="false"/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因此，机会定义不是再做一个推荐入口，而是在结算前替用户完成一次净省计算：把模糊的「划算感」变成可验证的数字。</w:t>
      </w:r>
    </w:p>
    <w:p>
      <w:pPr>
        <w:pStyle w:val="Heading1"/>
        <w:spacing w:after="160" w:before="360" w:line="380" w:lineRule="atLeast"/>
      </w:pPr>
      <w:bookmarkStart w:name="_Toc4" w:id="4"/>
      <w:r>
        <w:rPr>
          <w:rFonts w:ascii="Times New Roman" w:eastAsia="SimHei"/>
          <w:b/>
          <w:bCs/>
          <w:color w:val="0A5A43"/>
          <w:sz w:val="32"/>
          <w:szCs w:val="32"/>
        </w:rPr>
        <w:t xml:space="preserve">四、产品：三个方案，一句净省</w:t>
      </w:r>
      <w:bookmarkEnd w:id="4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产品不改变商家定价，只帮用户算清楚三件事：加什么、省多少、值不值。每次决策固定输出三类方案：最省钱（刚好过门槛，实付最低）、最想要（优先常点与偏好品类，不硬塞）、不凑更划算（加购成本高于增量优惠时，明确劝退）。方案按净省金额排序，始终保留「不凑」选项，所有价格以结算页为准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A5A43"/>
          <w:sz w:val="21"/>
          <w:szCs w:val="21"/>
        </w:rPr>
        <w:t xml:space="preserve">表 2  示例决策：购物车已有招牌牛肉饭 ¥26 + 冰美式 ¥6，再差 ¥6 可减 ¥8</w:t>
      </w:r>
    </w:p>
    <w:tbl>
      <w:tblPr>
        <w:tblW w:type="pct" w:w="5000"/>
        <w:tblBorders>
          <w:top w:val="single" w:color="0E7C5B" w:sz="4"/>
          <w:left w:val="none" w:color="FFFFFF" w:sz="0"/>
          <w:bottom w:val="single" w:color="0E7C5B" w:sz="4"/>
          <w:right w:val="none" w:color="FFFFFF" w:sz="0"/>
          <w:insideH w:val="single" w:color="D5E3DC" w:sz="2"/>
          <w:insideV w:val="none" w:color="FFFFFF" w:sz="0"/>
        </w:tblBorders>
      </w:tblPr>
      <w:tblGrid>
        <w:gridCol w:w="1758"/>
        <w:gridCol w:w="3691"/>
        <w:gridCol w:w="1670"/>
        <w:gridCol w:w="1670"/>
      </w:tblGrid>
      <w:tr>
        <w:trPr>
          <w:cantSplit/>
          <w:tblHeader/>
        </w:trPr>
        <w:tc>
          <w:tcPr>
            <w:tcW w:type="pct" w:w="10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方案</w:t>
            </w:r>
          </w:p>
        </w:tc>
        <w:tc>
          <w:tcPr>
            <w:tcW w:type="pct" w:w="21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动作</w:t>
            </w:r>
          </w:p>
        </w:tc>
        <w:tc>
          <w:tcPr>
            <w:tcW w:type="pct" w:w="95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实付金额</w:t>
            </w:r>
          </w:p>
        </w:tc>
        <w:tc>
          <w:tcPr>
            <w:tcW w:type="pct" w:w="95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净省金额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Hei"/>
                <w:b/>
                <w:bCs/>
                <w:color w:val="0A5A43"/>
                <w:sz w:val="21"/>
                <w:szCs w:val="21"/>
              </w:rPr>
              <w:t xml:space="preserve">最省钱</w:t>
            </w:r>
          </w:p>
        </w:tc>
        <w:tc>
          <w:tcPr>
            <w:tcW w:type="pct" w:w="21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加小菜 ¥6，刚好过门槛</w:t>
            </w:r>
          </w:p>
        </w:tc>
        <w:tc>
          <w:tcPr>
            <w:tcW w:type="pct" w:w="9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¥30</w:t>
            </w:r>
          </w:p>
        </w:tc>
        <w:tc>
          <w:tcPr>
            <w:tcW w:type="pct" w:w="9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¥2</w:t>
            </w:r>
          </w:p>
        </w:tc>
      </w:tr>
      <w:tr>
        <w:trPr>
          <w:cantSplit/>
        </w:trPr>
        <w:tc>
          <w:tcPr>
            <w:tcW w:type="pct" w:w="10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Hei"/>
                <w:b/>
                <w:bCs/>
                <w:color w:val="0A5A43"/>
                <w:sz w:val="21"/>
                <w:szCs w:val="21"/>
              </w:rPr>
              <w:t xml:space="preserve">最想要</w:t>
            </w:r>
          </w:p>
        </w:tc>
        <w:tc>
          <w:tcPr>
            <w:tcW w:type="pct" w:w="21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加常点的豆干 ¥7</w:t>
            </w:r>
          </w:p>
        </w:tc>
        <w:tc>
          <w:tcPr>
            <w:tcW w:type="pct" w:w="95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¥31</w:t>
            </w:r>
          </w:p>
        </w:tc>
        <w:tc>
          <w:tcPr>
            <w:tcW w:type="pct" w:w="95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¥1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Hei"/>
                <w:b/>
                <w:bCs/>
                <w:color w:val="0A5A43"/>
                <w:sz w:val="21"/>
                <w:szCs w:val="21"/>
              </w:rPr>
              <w:t xml:space="preserve">不凑更划算</w:t>
            </w:r>
          </w:p>
        </w:tc>
        <w:tc>
          <w:tcPr>
            <w:tcW w:type="pct" w:w="21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直接结算，不加购</w:t>
            </w:r>
          </w:p>
        </w:tc>
        <w:tc>
          <w:tcPr>
            <w:tcW w:type="pct" w:w="9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¥32</w:t>
            </w:r>
          </w:p>
        </w:tc>
        <w:tc>
          <w:tcPr>
            <w:tcW w:type="pct" w:w="9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</w:tbl>
    <w:p>
      <w:pPr>
        <w:keepNext w:val="false"/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净省的计算口径贯穿报价与结算两端：净省 = 增量优惠 − 加购价 − 附加费，以结算价为准。用户看到的每一个数字，都能在结算页对上。</w:t>
      </w:r>
    </w:p>
    <w:p>
      <w:pPr>
        <w:pStyle w:val="Heading1"/>
        <w:spacing w:after="160" w:before="360" w:line="380" w:lineRule="atLeast"/>
      </w:pPr>
      <w:bookmarkStart w:name="_Toc5" w:id="5"/>
      <w:r>
        <w:rPr>
          <w:rFonts w:ascii="Times New Roman" w:eastAsia="SimHei"/>
          <w:b/>
          <w:bCs/>
          <w:color w:val="0A5A43"/>
          <w:sz w:val="32"/>
          <w:szCs w:val="32"/>
        </w:rPr>
        <w:t xml:space="preserve">五、算法：不是推荐列表，是带约束的实时求解器</w:t>
      </w:r>
      <w:bookmarkEnd w:id="5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算法在满减、券、库存、配送费等约束下最大化用户净省，并可按用户偏好加权排序。它不是一个排序模型，而是一次带约束的实时求解。</w:t>
      </w:r>
    </w:p>
    <w:p>
      <w:pPr>
        <w:pStyle w:val="Heading2"/>
        <w:spacing w:after="120" w:before="240" w:line="340" w:lineRule="atLeast"/>
      </w:pPr>
      <w:bookmarkStart w:name="_Toc6" w:id="6"/>
      <w:r>
        <w:rPr>
          <w:rFonts w:ascii="Times New Roman" w:eastAsia="SimHei"/>
          <w:b/>
          <w:bCs/>
          <w:color w:val="0E7C5B"/>
          <w:sz w:val="28"/>
          <w:szCs w:val="28"/>
        </w:rPr>
        <w:t xml:space="preserve">（一）问题定义</w:t>
      </w:r>
      <w:bookmarkEnd w:id="6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目标函数为最大化净省：max NetSaving(x) = Pay(C0) − Pay(C0 ∪ x)，即在原购物车 C0 的基础上，选择加购集合 x，使结算实付的下降量最大。约束条件包括满减门槛、券叠加规则、库存、配送费变化与加购件数上限（不超过 4 件）。</w:t>
      </w:r>
    </w:p>
    <w:p>
      <w:pPr>
        <w:pStyle w:val="Heading2"/>
        <w:spacing w:after="120" w:before="240" w:line="340" w:lineRule="atLeast"/>
      </w:pPr>
      <w:bookmarkStart w:name="_Toc7" w:id="7"/>
      <w:r>
        <w:rPr>
          <w:rFonts w:ascii="Times New Roman" w:eastAsia="SimHei"/>
          <w:b/>
          <w:bCs/>
          <w:color w:val="0E7C5B"/>
          <w:sz w:val="28"/>
          <w:szCs w:val="28"/>
        </w:rPr>
        <w:t xml:space="preserve">（二）求解流程</w:t>
      </w:r>
      <w:bookmarkEnd w:id="7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A5A43"/>
          <w:sz w:val="21"/>
          <w:szCs w:val="21"/>
        </w:rPr>
        <w:t xml:space="preserve">表 3  实时求解四步流程</w:t>
      </w:r>
    </w:p>
    <w:tbl>
      <w:tblPr>
        <w:tblW w:type="pct" w:w="5000"/>
        <w:tblBorders>
          <w:top w:val="single" w:color="0E7C5B" w:sz="4"/>
          <w:left w:val="none" w:color="FFFFFF" w:sz="0"/>
          <w:bottom w:val="single" w:color="0E7C5B" w:sz="4"/>
          <w:right w:val="none" w:color="FFFFFF" w:sz="0"/>
          <w:insideH w:val="single" w:color="D5E3DC" w:sz="2"/>
          <w:insideV w:val="none" w:color="FFFFFF" w:sz="0"/>
        </w:tblBorders>
      </w:tblPr>
      <w:tblGrid>
        <w:gridCol w:w="1055"/>
        <w:gridCol w:w="1933"/>
        <w:gridCol w:w="5800"/>
      </w:tblGrid>
      <w:tr>
        <w:trPr>
          <w:cantSplit/>
          <w:tblHeader/>
        </w:trPr>
        <w:tc>
          <w:tcPr>
            <w:tcW w:type="pct" w:w="6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步骤</w:t>
            </w:r>
          </w:p>
        </w:tc>
        <w:tc>
          <w:tcPr>
            <w:tcW w:type="pct" w:w="11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环节</w:t>
            </w:r>
          </w:p>
        </w:tc>
        <w:tc>
          <w:tcPr>
            <w:tcW w:type="pct" w:w="33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01</w:t>
            </w:r>
          </w:p>
        </w:tc>
        <w:tc>
          <w:tcPr>
            <w:tcW w:type="pct" w:w="11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规则解析</w:t>
            </w:r>
          </w:p>
        </w:tc>
        <w:tc>
          <w:tcPr>
            <w:tcW w:type="pct" w:w="33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解析满减、券、配送费与门槛，结构化为可执行规则。</w:t>
            </w:r>
          </w:p>
        </w:tc>
      </w:tr>
      <w:tr>
        <w:trPr>
          <w:cantSplit/>
        </w:trPr>
        <w:tc>
          <w:tcPr>
            <w:tcW w:type="pct" w:w="6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02</w:t>
            </w:r>
          </w:p>
        </w:tc>
        <w:tc>
          <w:tcPr>
            <w:tcW w:type="pct" w:w="11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候选剪枝</w:t>
            </w:r>
          </w:p>
        </w:tc>
        <w:tc>
          <w:tcPr>
            <w:tcW w:type="pct" w:w="33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价格窗口 + 库存过滤，把候选压缩到 20 个 SKU 以内。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03</w:t>
            </w:r>
          </w:p>
        </w:tc>
        <w:tc>
          <w:tcPr>
            <w:tcW w:type="pct" w:w="11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优化求解</w:t>
            </w:r>
          </w:p>
        </w:tc>
        <w:tc>
          <w:tcPr>
            <w:tcW w:type="pct" w:w="33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穷举 / 动态规划（可升级 ILP）求最优组合，输出 Top 3 方案。</w:t>
            </w:r>
          </w:p>
        </w:tc>
      </w:tr>
      <w:tr>
        <w:trPr>
          <w:cantSplit/>
        </w:trPr>
        <w:tc>
          <w:tcPr>
            <w:tcW w:type="pct" w:w="6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04</w:t>
            </w:r>
          </w:p>
        </w:tc>
        <w:tc>
          <w:tcPr>
            <w:tcW w:type="pct" w:w="11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解释渲染</w:t>
            </w:r>
          </w:p>
        </w:tc>
        <w:tc>
          <w:tcPr>
            <w:tcW w:type="pct" w:w="33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模板化生成净省说明，随方案返回前端展示。</w:t>
            </w:r>
          </w:p>
        </w:tc>
      </w:tr>
    </w:tbl>
    <w:p>
      <w:pPr>
        <w:pStyle w:val="Heading2"/>
        <w:spacing w:after="120" w:before="240" w:line="340" w:lineRule="atLeast"/>
      </w:pPr>
      <w:bookmarkStart w:name="_Toc8" w:id="8"/>
      <w:r>
        <w:rPr>
          <w:rFonts w:ascii="Times New Roman" w:eastAsia="SimHei"/>
          <w:b/>
          <w:bCs/>
          <w:color w:val="0E7C5B"/>
          <w:sz w:val="28"/>
          <w:szCs w:val="28"/>
        </w:rPr>
        <w:t xml:space="preserve">（三）延迟预算与降级</w:t>
      </w:r>
      <w:bookmarkEnd w:id="8"/>
    </w:p>
    <w:p>
      <w:pPr>
        <w:keepNext w:val="false"/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全链路延迟预算为 P99 小于 100 毫秒，分配为：规则解析 15ms、候选剪枝 25ms、组合求解 35ms、解释渲染 15ms、缓冲 10ms。求解超时自动降级为静态差额索引，保证不阻塞下单。报价直接调用结算沙箱，与结算 100% 同源；全链路可观测、可回滚。</w:t>
      </w:r>
    </w:p>
    <w:p>
      <w:pPr>
        <w:pStyle w:val="Heading1"/>
        <w:spacing w:after="160" w:before="360" w:line="380" w:lineRule="atLeast"/>
      </w:pPr>
      <w:bookmarkStart w:name="_Toc9" w:id="9"/>
      <w:r>
        <w:rPr>
          <w:rFonts w:ascii="Times New Roman" w:eastAsia="SimHei"/>
          <w:b/>
          <w:bCs/>
          <w:color w:val="0A5A43"/>
          <w:sz w:val="32"/>
          <w:szCs w:val="32"/>
        </w:rPr>
        <w:t xml:space="preserve">六、壁垒：算法不是壁垒，闭环才是</w:t>
      </w:r>
      <w:bookmarkEnd w:id="9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单点算法可以被模仿，但「规则接得准、数据转得动、用户信得过」三件事缺一不可，构成真正的护城河。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A5A43"/>
          <w:sz w:val="21"/>
          <w:szCs w:val="21"/>
        </w:rPr>
        <w:t xml:space="preserve">表 4  三层壁垒</w:t>
      </w:r>
    </w:p>
    <w:tbl>
      <w:tblPr>
        <w:tblW w:type="pct" w:w="5000"/>
        <w:tblBorders>
          <w:top w:val="single" w:color="0E7C5B" w:sz="4"/>
          <w:left w:val="none" w:color="FFFFFF" w:sz="0"/>
          <w:bottom w:val="single" w:color="0E7C5B" w:sz="4"/>
          <w:right w:val="none" w:color="FFFFFF" w:sz="0"/>
          <w:insideH w:val="single" w:color="D5E3DC" w:sz="2"/>
          <w:insideV w:val="none" w:color="FFFFFF" w:sz="0"/>
        </w:tblBorders>
      </w:tblPr>
      <w:tblGrid>
        <w:gridCol w:w="1758"/>
        <w:gridCol w:w="1758"/>
        <w:gridCol w:w="5273"/>
      </w:tblGrid>
      <w:tr>
        <w:trPr>
          <w:cantSplit/>
          <w:tblHeader/>
        </w:trPr>
        <w:tc>
          <w:tcPr>
            <w:tcW w:type="pct" w:w="10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壁垒</w:t>
            </w:r>
          </w:p>
        </w:tc>
        <w:tc>
          <w:tcPr>
            <w:tcW w:type="pct" w:w="10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量化指标</w:t>
            </w:r>
          </w:p>
        </w:tc>
        <w:tc>
          <w:tcPr>
            <w:tcW w:type="pct" w:w="30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规则本体库</w:t>
            </w:r>
          </w:p>
        </w:tc>
        <w:tc>
          <w:tcPr>
            <w:tcW w:type="pct" w:w="10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0A5A43"/>
                <w:sz w:val="21"/>
                <w:szCs w:val="21"/>
              </w:rPr>
              <w:t xml:space="preserve">200+ 规则模板</w:t>
            </w:r>
          </w:p>
        </w:tc>
        <w:tc>
          <w:tcPr>
            <w:tcW w:type="pct" w:w="30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把满减、券、配送费结构化成可执行规则，跨平台复用。</w:t>
            </w:r>
          </w:p>
        </w:tc>
      </w:tr>
      <w:tr>
        <w:trPr>
          <w:cantSplit/>
        </w:trPr>
        <w:tc>
          <w:tcPr>
            <w:tcW w:type="pct" w:w="10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同源报价引擎</w:t>
            </w:r>
          </w:p>
        </w:tc>
        <w:tc>
          <w:tcPr>
            <w:tcW w:type="pct" w:w="10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0A5A43"/>
                <w:sz w:val="21"/>
                <w:szCs w:val="21"/>
              </w:rPr>
              <w:t xml:space="preserve">100% 一致</w:t>
            </w:r>
          </w:p>
        </w:tc>
        <w:tc>
          <w:tcPr>
            <w:tcW w:type="pct" w:w="30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报价直接调用结算沙箱，差异超过 0.01 元即告警。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劝退样本库</w:t>
            </w:r>
          </w:p>
        </w:tc>
        <w:tc>
          <w:tcPr>
            <w:tcW w:type="pct" w:w="10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0A5A43"/>
                <w:sz w:val="21"/>
                <w:szCs w:val="21"/>
              </w:rPr>
              <w:t xml:space="preserve">负反馈资产</w:t>
            </w:r>
          </w:p>
        </w:tc>
        <w:tc>
          <w:tcPr>
            <w:tcW w:type="pct" w:w="30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记录什么不该推荐，形成难以复制的信任数据。</w:t>
            </w:r>
          </w:p>
        </w:tc>
      </w:tr>
    </w:tbl>
    <w:p>
      <w:pPr>
        <w:keepNext w:val="false"/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三层壁垒之间由数据飞轮连接：规则接入、方案输出、用户反馈、更好排序，循环往复。每一次用户的接受、拒绝与退款，都会回流到规则库与排序模型，让系统随使用量持续变强。</w:t>
      </w:r>
    </w:p>
    <w:p>
      <w:pPr>
        <w:pStyle w:val="Heading1"/>
        <w:spacing w:after="160" w:before="360" w:line="380" w:lineRule="atLeast"/>
      </w:pPr>
      <w:bookmarkStart w:name="_Toc10" w:id="10"/>
      <w:r>
        <w:rPr>
          <w:rFonts w:ascii="Times New Roman" w:eastAsia="SimHei"/>
          <w:b/>
          <w:bCs/>
          <w:color w:val="0A5A43"/>
          <w:sz w:val="32"/>
          <w:szCs w:val="32"/>
        </w:rPr>
        <w:t xml:space="preserve">七、竞争：现有方案，都不解决「净省」</w:t>
      </w:r>
      <w:bookmarkEnd w:id="10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以「是否嵌入结算」与「是否保证净省」两个维度观察，现有三类方案均不占据右上角位置：第三方返利与比价工具不嵌入结算流程；AI 点餐助手不保证净省结果；平台自有凑单与商家工具则以促销为导向，缺少净省承诺。刚好 · 净省同时满足嵌入结算、保证净省、可解释三项，是右上角的空位。</w:t>
      </w:r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三大产品支柱：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嵌入结算——只有购物车入口，才是决策真正发生的地方；保证净省——不是提供更多选择，而是给出可验证的净省；可解释——每个数字都能在结算页对上。</w:t>
      </w:r>
    </w:p>
    <w:p>
      <w:pPr>
        <w:keepNext w:val="false"/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因此，这不是又一个推荐列表，而是一次交易决策服务。</w:t>
      </w:r>
    </w:p>
    <w:p>
      <w:pPr>
        <w:pStyle w:val="Heading1"/>
        <w:spacing w:after="160" w:before="360" w:line="380" w:lineRule="atLeast"/>
      </w:pPr>
      <w:bookmarkStart w:name="_Toc11" w:id="11"/>
      <w:r>
        <w:rPr>
          <w:rFonts w:ascii="Times New Roman" w:eastAsia="SimHei"/>
          <w:b/>
          <w:bCs/>
          <w:color w:val="0A5A43"/>
          <w:sz w:val="32"/>
          <w:szCs w:val="32"/>
        </w:rPr>
        <w:t xml:space="preserve">八、落地：12 周，跑通一个城市</w:t>
      </w:r>
      <w:bookmarkEnd w:id="11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落地策略收敛为一句话：一个城市、一个品类、一个购物车入口，先证明净省、增量和体验三件事，再谈扩张。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A5A43"/>
          <w:sz w:val="21"/>
          <w:szCs w:val="21"/>
        </w:rPr>
        <w:t xml:space="preserve">表 5  12 周落地计划</w:t>
      </w:r>
    </w:p>
    <w:tbl>
      <w:tblPr>
        <w:tblW w:type="pct" w:w="5000"/>
        <w:tblBorders>
          <w:top w:val="single" w:color="0E7C5B" w:sz="4"/>
          <w:left w:val="none" w:color="FFFFFF" w:sz="0"/>
          <w:bottom w:val="single" w:color="0E7C5B" w:sz="4"/>
          <w:right w:val="none" w:color="FFFFFF" w:sz="0"/>
          <w:insideH w:val="single" w:color="D5E3DC" w:sz="2"/>
          <w:insideV w:val="none" w:color="FFFFFF" w:sz="0"/>
        </w:tblBorders>
      </w:tblPr>
      <w:tblGrid>
        <w:gridCol w:w="1758"/>
        <w:gridCol w:w="1406"/>
        <w:gridCol w:w="5624"/>
      </w:tblGrid>
      <w:tr>
        <w:trPr>
          <w:cantSplit/>
          <w:tblHeader/>
        </w:trPr>
        <w:tc>
          <w:tcPr>
            <w:tcW w:type="pct" w:w="10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pct" w:w="8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周期</w:t>
            </w:r>
          </w:p>
        </w:tc>
        <w:tc>
          <w:tcPr>
            <w:tcW w:type="pct" w:w="32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目标与动作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数据 / 规则</w:t>
            </w:r>
          </w:p>
        </w:tc>
        <w:tc>
          <w:tcPr>
            <w:tcW w:type="pct" w:w="8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W1–W3</w:t>
            </w:r>
          </w:p>
        </w:tc>
        <w:tc>
          <w:tcPr>
            <w:tcW w:type="pct" w:w="32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接入菜单、优惠、库存数据；建设计价模拟器。</w:t>
            </w:r>
          </w:p>
        </w:tc>
      </w:tr>
      <w:tr>
        <w:trPr>
          <w:cantSplit/>
        </w:trPr>
        <w:tc>
          <w:tcPr>
            <w:tcW w:type="pct" w:w="10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算法 MVP</w:t>
            </w:r>
          </w:p>
        </w:tc>
        <w:tc>
          <w:tcPr>
            <w:tcW w:type="pct" w:w="8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W4–W6</w:t>
            </w:r>
          </w:p>
        </w:tc>
        <w:tc>
          <w:tcPr>
            <w:tcW w:type="pct" w:w="32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候选剪枝 + 求解器上线；离线回放验证。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影子模式</w:t>
            </w:r>
          </w:p>
        </w:tc>
        <w:tc>
          <w:tcPr>
            <w:tcW w:type="pct" w:w="8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W7</w:t>
            </w:r>
          </w:p>
        </w:tc>
        <w:tc>
          <w:tcPr>
            <w:tcW w:type="pct" w:w="32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不影响真实下单，逐单与结算对账。</w:t>
            </w:r>
          </w:p>
        </w:tc>
      </w:tr>
      <w:tr>
        <w:trPr>
          <w:cantSplit/>
        </w:trPr>
        <w:tc>
          <w:tcPr>
            <w:tcW w:type="pct" w:w="10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A/B 试点</w:t>
            </w:r>
          </w:p>
        </w:tc>
        <w:tc>
          <w:tcPr>
            <w:tcW w:type="pct" w:w="8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W8–W11</w:t>
            </w:r>
          </w:p>
        </w:tc>
        <w:tc>
          <w:tcPr>
            <w:tcW w:type="pct" w:w="32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流量灰度 5% → 20% → 50%；观察增量与护栏指标。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复盘决策</w:t>
            </w:r>
          </w:p>
        </w:tc>
        <w:tc>
          <w:tcPr>
            <w:tcW w:type="pct" w:w="8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W12</w:t>
            </w:r>
          </w:p>
        </w:tc>
        <w:tc>
          <w:tcPr>
            <w:tcW w:type="pct" w:w="32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决定扩城、扩品类或停止。</w:t>
            </w:r>
          </w:p>
        </w:tc>
      </w:tr>
    </w:tbl>
    <w:p>
      <w:pPr>
        <w:keepNext w:val="false"/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关键依赖：平台数据权限与计价接口需在 W1–W2 到位，否则试点整体顺延。灰度节奏严格执行 5%、20%、50% 再全量，先影子，再灰度，再 A/B。</w:t>
      </w:r>
    </w:p>
    <w:p>
      <w:pPr>
        <w:pStyle w:val="Heading1"/>
        <w:spacing w:after="160" w:before="360" w:line="380" w:lineRule="atLeast"/>
      </w:pPr>
      <w:bookmarkStart w:name="_Toc12" w:id="12"/>
      <w:r>
        <w:rPr>
          <w:rFonts w:ascii="Times New Roman" w:eastAsia="SimHei"/>
          <w:b/>
          <w:bCs/>
          <w:color w:val="0A5A43"/>
          <w:sz w:val="32"/>
          <w:szCs w:val="32"/>
        </w:rPr>
        <w:t xml:space="preserve">九、价值测算：平台投入 1 元，拿回 1.8–5.2 元</w:t>
      </w:r>
      <w:bookmarkEnd w:id="12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以日均 100 万单的平台为示例，只计算增量贡献毛利，不含留存与品牌收益：预计带来增量订单每日约 4,200 单，增量贡献毛利每年约 383 万元，用户净省每年约 1,533 万元。平台 ROI 区间为 1.8–5.2 倍。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143500" cy="26955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eastAsia="SimSun"/>
          <w:color w:val="5C6F68"/>
          <w:sz w:val="21"/>
          <w:szCs w:val="21"/>
        </w:rPr>
        <w:t xml:space="preserve">图 1  平台 ROI 情景测算（情景 = 覆盖率 / 接受率）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A5A43"/>
          <w:sz w:val="21"/>
          <w:szCs w:val="21"/>
        </w:rPr>
        <w:t xml:space="preserve">表 6  三情景参数与 ROI</w:t>
      </w:r>
    </w:p>
    <w:tbl>
      <w:tblPr>
        <w:tblW w:type="pct" w:w="5000"/>
        <w:tblBorders>
          <w:top w:val="single" w:color="0E7C5B" w:sz="4"/>
          <w:left w:val="none" w:color="FFFFFF" w:sz="0"/>
          <w:bottom w:val="single" w:color="0E7C5B" w:sz="4"/>
          <w:right w:val="none" w:color="FFFFFF" w:sz="0"/>
          <w:insideH w:val="single" w:color="D5E3DC" w:sz="2"/>
          <w:insideV w:val="none" w:color="FFFFFF" w:sz="0"/>
        </w:tblBorders>
      </w:tblPr>
      <w:tblGrid>
        <w:gridCol w:w="2636"/>
        <w:gridCol w:w="3515"/>
        <w:gridCol w:w="2636"/>
      </w:tblGrid>
      <w:tr>
        <w:trPr>
          <w:cantSplit/>
          <w:tblHeader/>
        </w:trPr>
        <w:tc>
          <w:tcPr>
            <w:tcW w:type="pct" w:w="15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情景</w:t>
            </w:r>
          </w:p>
        </w:tc>
        <w:tc>
          <w:tcPr>
            <w:tcW w:type="pct" w:w="20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覆盖率 / 接受率</w:t>
            </w:r>
          </w:p>
        </w:tc>
        <w:tc>
          <w:tcPr>
            <w:tcW w:type="pct" w:w="15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ROI（倍）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保守</w:t>
            </w:r>
          </w:p>
        </w:tc>
        <w:tc>
          <w:tcPr>
            <w:tcW w:type="pct" w:w="20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50% / 15%</w:t>
            </w:r>
          </w:p>
        </w:tc>
        <w:tc>
          <w:tcPr>
            <w:tcW w:type="pct" w:w="15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1.8</w:t>
            </w:r>
          </w:p>
        </w:tc>
      </w:tr>
      <w:tr>
        <w:trPr>
          <w:cantSplit/>
        </w:trPr>
        <w:tc>
          <w:tcPr>
            <w:tcW w:type="pct" w:w="15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基准</w:t>
            </w:r>
          </w:p>
        </w:tc>
        <w:tc>
          <w:tcPr>
            <w:tcW w:type="pct" w:w="20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70% / 20%</w:t>
            </w:r>
          </w:p>
        </w:tc>
        <w:tc>
          <w:tcPr>
            <w:tcW w:type="pct" w:w="15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3.8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乐观</w:t>
            </w:r>
          </w:p>
        </w:tc>
        <w:tc>
          <w:tcPr>
            <w:tcW w:type="pct" w:w="20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85% / 25%</w:t>
            </w:r>
          </w:p>
        </w:tc>
        <w:tc>
          <w:tcPr>
            <w:tcW w:type="pct" w:w="15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5.2</w:t>
            </w:r>
          </w:p>
        </w:tc>
      </w:tr>
    </w:tbl>
    <w:p>
      <w:pPr>
        <w:keepNext w:val="false"/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测算口径：差一点订单占比 15% × 覆盖率 × 接受率 × 其中原本会放弃的比例 20% × 单均贡献毛利 2.5 元；服务成本按每年 100 万元计。所有参数均待试点校准；单点 3.8 倍不作为承诺，增量只对「本来会放弃的订单」计量。</w:t>
      </w:r>
    </w:p>
    <w:p>
      <w:pPr>
        <w:pStyle w:val="Heading1"/>
        <w:spacing w:after="160" w:before="360" w:line="380" w:lineRule="atLeast"/>
      </w:pPr>
      <w:bookmarkStart w:name="_Toc13" w:id="13"/>
      <w:r>
        <w:rPr>
          <w:rFonts w:ascii="Times New Roman" w:eastAsia="SimHei"/>
          <w:b/>
          <w:bCs/>
          <w:color w:val="0A5A43"/>
          <w:sz w:val="32"/>
          <w:szCs w:val="32"/>
        </w:rPr>
        <w:t xml:space="preserve">十、商业模式：向平台收费，不向用户收费</w:t>
      </w:r>
      <w:bookmarkEnd w:id="13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平台是买单方，用户是使用者。变现按「先试点、再 SaaS、最后按效果分成」三阶段推进。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A5A43"/>
          <w:sz w:val="21"/>
          <w:szCs w:val="21"/>
        </w:rPr>
        <w:t xml:space="preserve">表 7  三阶段变现路径</w:t>
      </w:r>
    </w:p>
    <w:tbl>
      <w:tblPr>
        <w:tblW w:type="pct" w:w="5000"/>
        <w:tblBorders>
          <w:top w:val="single" w:color="0E7C5B" w:sz="4"/>
          <w:left w:val="none" w:color="FFFFFF" w:sz="0"/>
          <w:bottom w:val="single" w:color="0E7C5B" w:sz="4"/>
          <w:right w:val="none" w:color="FFFFFF" w:sz="0"/>
          <w:insideH w:val="single" w:color="D5E3DC" w:sz="2"/>
          <w:insideV w:val="none" w:color="FFFFFF" w:sz="0"/>
        </w:tblBorders>
      </w:tblPr>
      <w:tblGrid>
        <w:gridCol w:w="879"/>
        <w:gridCol w:w="1933"/>
        <w:gridCol w:w="4218"/>
        <w:gridCol w:w="1758"/>
      </w:tblGrid>
      <w:tr>
        <w:trPr>
          <w:cantSplit/>
          <w:tblHeader/>
        </w:trPr>
        <w:tc>
          <w:tcPr>
            <w:tcW w:type="pct" w:w="5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pct" w:w="11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形式</w:t>
            </w:r>
          </w:p>
        </w:tc>
        <w:tc>
          <w:tcPr>
            <w:tcW w:type="pct" w:w="24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pct" w:w="10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目标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01</w:t>
            </w:r>
          </w:p>
        </w:tc>
        <w:tc>
          <w:tcPr>
            <w:tcW w:type="pct" w:w="11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试点项目费</w:t>
            </w:r>
          </w:p>
        </w:tc>
        <w:tc>
          <w:tcPr>
            <w:tcW w:type="pct" w:w="24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 周联合试点，按成本或固定费用收取</w:t>
            </w:r>
          </w:p>
        </w:tc>
        <w:tc>
          <w:tcPr>
            <w:tcW w:type="pct" w:w="10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验证价值</w:t>
            </w:r>
          </w:p>
        </w:tc>
      </w:tr>
      <w:tr>
        <w:trPr>
          <w:cantSplit/>
        </w:trPr>
        <w:tc>
          <w:tcPr>
            <w:tcW w:type="pct" w:w="5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02</w:t>
            </w:r>
          </w:p>
        </w:tc>
        <w:tc>
          <w:tcPr>
            <w:tcW w:type="pct" w:w="11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SaaS / API 年费</w:t>
            </w:r>
          </w:p>
        </w:tc>
        <w:tc>
          <w:tcPr>
            <w:tcW w:type="pct" w:w="24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按平台、城市、调用量收费</w:t>
            </w:r>
          </w:p>
        </w:tc>
        <w:tc>
          <w:tcPr>
            <w:tcW w:type="pct" w:w="10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规模化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03</w:t>
            </w:r>
          </w:p>
        </w:tc>
        <w:tc>
          <w:tcPr>
            <w:tcW w:type="pct" w:w="11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效果分成</w:t>
            </w:r>
          </w:p>
        </w:tc>
        <w:tc>
          <w:tcPr>
            <w:tcW w:type="pct" w:w="24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仅对「本来会放弃的订单」的增量毛利分成</w:t>
            </w:r>
          </w:p>
        </w:tc>
        <w:tc>
          <w:tcPr>
            <w:tcW w:type="pct" w:w="10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与平台共赢</w:t>
            </w:r>
          </w:p>
        </w:tc>
      </w:tr>
    </w:tbl>
    <w:p>
      <w:pPr>
        <w:keepNext w:val="false"/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单位经济性：单次调用成本低于 0.01 元，毛利率目标 70% 以上，最终以试点数据校准。扩展路径由外卖延伸至商超、买药、到店场景，进一步接入银行权益平台，最终输出为商家 SaaS 能力。</w:t>
      </w:r>
    </w:p>
    <w:p>
      <w:pPr>
        <w:pStyle w:val="Heading1"/>
        <w:spacing w:after="160" w:before="360" w:line="380" w:lineRule="atLeast"/>
      </w:pPr>
      <w:bookmarkStart w:name="_Toc14" w:id="14"/>
      <w:r>
        <w:rPr>
          <w:rFonts w:ascii="Times New Roman" w:eastAsia="SimHei"/>
          <w:b/>
          <w:bCs/>
          <w:color w:val="0A5A43"/>
          <w:sz w:val="32"/>
          <w:szCs w:val="32"/>
        </w:rPr>
        <w:t xml:space="preserve">十一、团队：三类人，缺一不可</w:t>
      </w:r>
      <w:bookmarkEnd w:id="14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团队配置不追求堆砌履历，而是确保三件关键事情分别有人负责：把凑单算准算快、接进结算并扛住峰值、把试点真正跑起来。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A5A43"/>
          <w:sz w:val="21"/>
          <w:szCs w:val="21"/>
        </w:rPr>
        <w:t xml:space="preserve">表 8  团队角色与关键能力</w:t>
      </w:r>
    </w:p>
    <w:tbl>
      <w:tblPr>
        <w:tblW w:type="pct" w:w="5000"/>
        <w:tblBorders>
          <w:top w:val="single" w:color="0E7C5B" w:sz="4"/>
          <w:left w:val="none" w:color="FFFFFF" w:sz="0"/>
          <w:bottom w:val="single" w:color="0E7C5B" w:sz="4"/>
          <w:right w:val="none" w:color="FFFFFF" w:sz="0"/>
          <w:insideH w:val="single" w:color="D5E3DC" w:sz="2"/>
          <w:insideV w:val="none" w:color="FFFFFF" w:sz="0"/>
        </w:tblBorders>
      </w:tblPr>
      <w:tblGrid>
        <w:gridCol w:w="1758"/>
        <w:gridCol w:w="2109"/>
        <w:gridCol w:w="4921"/>
      </w:tblGrid>
      <w:tr>
        <w:trPr>
          <w:cantSplit/>
          <w:tblHeader/>
        </w:trPr>
        <w:tc>
          <w:tcPr>
            <w:tcW w:type="pct" w:w="10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pct" w:w="12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使命</w:t>
            </w:r>
          </w:p>
        </w:tc>
        <w:tc>
          <w:tcPr>
            <w:tcW w:type="pct" w:w="28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关键能力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Hei"/>
                <w:b/>
                <w:bCs/>
                <w:color w:val="0A5A43"/>
                <w:sz w:val="21"/>
                <w:szCs w:val="21"/>
              </w:rPr>
              <w:t xml:space="preserve">算法 / 运筹</w:t>
            </w:r>
          </w:p>
        </w:tc>
        <w:tc>
          <w:tcPr>
            <w:tcW w:type="pct" w:w="12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把凑单算准、算快</w:t>
            </w:r>
          </w:p>
        </w:tc>
        <w:tc>
          <w:tcPr>
            <w:tcW w:type="pct" w:w="28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背包与整数规划、券组合优化、排序与评估、离线模拟</w:t>
            </w:r>
          </w:p>
        </w:tc>
      </w:tr>
      <w:tr>
        <w:trPr>
          <w:cantSplit/>
        </w:trPr>
        <w:tc>
          <w:tcPr>
            <w:tcW w:type="pct" w:w="10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Hei"/>
                <w:b/>
                <w:bCs/>
                <w:color w:val="0A5A43"/>
                <w:sz w:val="21"/>
                <w:szCs w:val="21"/>
              </w:rPr>
              <w:t xml:space="preserve">工程 / 平台</w:t>
            </w:r>
          </w:p>
        </w:tc>
        <w:tc>
          <w:tcPr>
            <w:tcW w:type="pct" w:w="12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接进结算，扛住峰值</w:t>
            </w:r>
          </w:p>
        </w:tc>
        <w:tc>
          <w:tcPr>
            <w:tcW w:type="pct" w:w="28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计价同源、P99 &lt; 100ms、灰度与回滚、峰值稳定性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Hei"/>
                <w:b/>
                <w:bCs/>
                <w:color w:val="0A5A43"/>
                <w:sz w:val="21"/>
                <w:szCs w:val="21"/>
              </w:rPr>
              <w:t xml:space="preserve">产品 / 本地生活</w:t>
            </w:r>
          </w:p>
        </w:tc>
        <w:tc>
          <w:tcPr>
            <w:tcW w:type="pct" w:w="12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把试点跑起来</w:t>
            </w:r>
          </w:p>
        </w:tc>
        <w:tc>
          <w:tcPr>
            <w:tcW w:type="pct" w:w="28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用户洞察、商家运营、实验设计、试点落地</w:t>
            </w:r>
          </w:p>
        </w:tc>
      </w:tr>
    </w:tbl>
    <w:p>
      <w:pPr>
        <w:keepNext w:val="false"/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外部支持：聘请平台优惠规则专家与法务合规顾问各一名。团队可以小，但这三件事必须有人负责。</w:t>
      </w:r>
    </w:p>
    <w:p>
      <w:pPr>
        <w:pStyle w:val="Heading1"/>
        <w:spacing w:after="160" w:before="360" w:line="380" w:lineRule="atLeast"/>
      </w:pPr>
      <w:bookmarkStart w:name="_Toc15" w:id="15"/>
      <w:r>
        <w:rPr>
          <w:rFonts w:ascii="Times New Roman" w:eastAsia="SimHei"/>
          <w:b/>
          <w:bCs/>
          <w:color w:val="0A5A43"/>
          <w:sz w:val="32"/>
          <w:szCs w:val="32"/>
        </w:rPr>
        <w:t xml:space="preserve">十二、原型：不是计划书，是能跑的系统</w:t>
      </w:r>
      <w:bookmarkEnd w:id="15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v1.4 原型已交付，覆盖算法引擎、推荐服务与实时计算，全部能力可现场演示。演示中心提供满减与起送补单双分支的联动体验，偏好策略可现场切换；实时看板呈现起送转化口径与进程级 P99 耗时。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eastAsia="SimSun"/>
          <w:color w:val="5C6F68"/>
          <w:sz w:val="21"/>
          <w:szCs w:val="21"/>
        </w:rPr>
        <w:t xml:space="preserve">图 2  联动体验：满减 / 起送补单双分支，偏好策略可现场切换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eastAsia="SimSun"/>
          <w:color w:val="5C6F68"/>
          <w:sz w:val="21"/>
          <w:szCs w:val="21"/>
        </w:rPr>
        <w:t xml:space="preserve">图 3  实时看板：起送转化口径与进程级 P99 耗时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A5A43"/>
          <w:sz w:val="21"/>
          <w:szCs w:val="21"/>
        </w:rPr>
        <w:t xml:space="preserve">表 9  v1.4 交付验证结果</w:t>
      </w:r>
    </w:p>
    <w:tbl>
      <w:tblPr>
        <w:tblW w:type="pct" w:w="5000"/>
        <w:tblBorders>
          <w:top w:val="single" w:color="0E7C5B" w:sz="4"/>
          <w:left w:val="none" w:color="FFFFFF" w:sz="0"/>
          <w:bottom w:val="single" w:color="0E7C5B" w:sz="4"/>
          <w:right w:val="none" w:color="FFFFFF" w:sz="0"/>
          <w:insideH w:val="single" w:color="D5E3DC" w:sz="2"/>
          <w:insideV w:val="none" w:color="FFFFFF" w:sz="0"/>
        </w:tblBorders>
      </w:tblPr>
      <w:tblGrid>
        <w:gridCol w:w="3515"/>
        <w:gridCol w:w="5273"/>
      </w:tblGrid>
      <w:tr>
        <w:trPr>
          <w:cantSplit/>
          <w:tblHeader/>
        </w:trPr>
        <w:tc>
          <w:tcPr>
            <w:tcW w:type="pct" w:w="20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验证项</w:t>
            </w:r>
          </w:p>
        </w:tc>
        <w:tc>
          <w:tcPr>
            <w:tcW w:type="pct" w:w="30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单元与功能测试</w:t>
            </w:r>
          </w:p>
        </w:tc>
        <w:tc>
          <w:tcPr>
            <w:tcW w:type="pct" w:w="30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64 项测试全部通过</w:t>
            </w:r>
          </w:p>
        </w:tc>
      </w:tr>
      <w:tr>
        <w:trPr>
          <w:cantSplit/>
        </w:trPr>
        <w:tc>
          <w:tcPr>
            <w:tcW w:type="pct" w:w="20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接口集成验证</w:t>
            </w:r>
          </w:p>
        </w:tc>
        <w:tc>
          <w:tcPr>
            <w:tcW w:type="pct" w:w="30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26 组全部 PASS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合成场景合规校验</w:t>
            </w:r>
          </w:p>
        </w:tc>
        <w:tc>
          <w:tcPr>
            <w:tcW w:type="pct" w:w="30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262 个场景零违规</w:t>
            </w:r>
          </w:p>
        </w:tc>
      </w:tr>
      <w:tr>
        <w:trPr>
          <w:cantSplit/>
        </w:trPr>
        <w:tc>
          <w:tcPr>
            <w:tcW w:type="pct" w:w="20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演示能力</w:t>
            </w:r>
          </w:p>
        </w:tc>
        <w:tc>
          <w:tcPr>
            <w:tcW w:type="pct" w:w="30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本机 3000 端口服务，一页演示六个视图</w:t>
            </w:r>
          </w:p>
        </w:tc>
      </w:tr>
    </w:tbl>
    <w:p>
      <w:pPr>
        <w:keepNext w:val="false"/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上述验证结果表明，产品不是纸面方案，而是一套可运行、可验证、可演示的系统。</w:t>
      </w:r>
    </w:p>
    <w:p>
      <w:pPr>
        <w:pStyle w:val="Heading1"/>
        <w:spacing w:after="160" w:before="360" w:line="380" w:lineRule="atLeast"/>
      </w:pPr>
      <w:bookmarkStart w:name="_Toc16" w:id="16"/>
      <w:r>
        <w:rPr>
          <w:rFonts w:ascii="Times New Roman" w:eastAsia="SimHei"/>
          <w:b/>
          <w:bCs/>
          <w:color w:val="0A5A43"/>
          <w:sz w:val="32"/>
          <w:szCs w:val="32"/>
        </w:rPr>
        <w:t xml:space="preserve">十三、下一步：给一个入口，12 周还你三个答案</w:t>
      </w:r>
      <w:bookmarkEnd w:id="16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推进节奏为：30 天准备，W1 启动，W8 进入 A/B，W12 复盘。只需要一个购物车入口、一个城市、一个愿意一起跑 12 周的平台伙伴。执行顺序坚持先影子，再灰度，再 A/B。</w:t>
      </w:r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12 周结束后，用数据回答三个问题：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A5A43"/>
          <w:sz w:val="21"/>
          <w:szCs w:val="21"/>
        </w:rPr>
        <w:t xml:space="preserve">表 10  12 周后必须回答的三个问题</w:t>
      </w:r>
    </w:p>
    <w:tbl>
      <w:tblPr>
        <w:tblW w:type="pct" w:w="5000"/>
        <w:tblBorders>
          <w:top w:val="single" w:color="0E7C5B" w:sz="4"/>
          <w:left w:val="none" w:color="FFFFFF" w:sz="0"/>
          <w:bottom w:val="single" w:color="0E7C5B" w:sz="4"/>
          <w:right w:val="none" w:color="FFFFFF" w:sz="0"/>
          <w:insideH w:val="single" w:color="D5E3DC" w:sz="2"/>
          <w:insideV w:val="none" w:color="FFFFFF" w:sz="0"/>
        </w:tblBorders>
      </w:tblPr>
      <w:tblGrid>
        <w:gridCol w:w="879"/>
        <w:gridCol w:w="2461"/>
        <w:gridCol w:w="5449"/>
      </w:tblGrid>
      <w:tr>
        <w:trPr>
          <w:cantSplit/>
          <w:tblHeader/>
        </w:trPr>
        <w:tc>
          <w:tcPr>
            <w:tcW w:type="pct" w:w="5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14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pct" w:w="3100"/>
            <w:shd w:fill="0E7C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判定标准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01</w:t>
            </w:r>
          </w:p>
        </w:tc>
        <w:tc>
          <w:tcPr>
            <w:tcW w:type="pct" w:w="14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用户真的净省？</w:t>
            </w:r>
          </w:p>
        </w:tc>
        <w:tc>
          <w:tcPr>
            <w:tcW w:type="pct" w:w="31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净省 = 增量优惠 − 加购价 − 附加费，结算页可对账</w:t>
            </w:r>
          </w:p>
        </w:tc>
      </w:tr>
      <w:tr>
        <w:trPr>
          <w:cantSplit/>
        </w:trPr>
        <w:tc>
          <w:tcPr>
            <w:tcW w:type="pct" w:w="5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02</w:t>
            </w:r>
          </w:p>
        </w:tc>
        <w:tc>
          <w:tcPr>
            <w:tcW w:type="pct" w:w="14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订单真的增量？</w:t>
            </w:r>
          </w:p>
        </w:tc>
        <w:tc>
          <w:tcPr>
            <w:tcW w:type="pct" w:w="3100"/>
            <w:shd w:fill="EAF3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目标人群转化提升 1–2 个百分点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03</w:t>
            </w:r>
          </w:p>
        </w:tc>
        <w:tc>
          <w:tcPr>
            <w:tcW w:type="pct" w:w="14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体验真的不伤？</w:t>
            </w:r>
          </w:p>
        </w:tc>
        <w:tc>
          <w:tcPr>
            <w:tcW w:type="pct" w:w="31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退款、差评不上升，P99 &lt; 100ms</w:t>
            </w:r>
          </w:p>
        </w:tc>
      </w:tr>
    </w:tbl>
    <w:p>
      <w:pPr>
        <w:keepNext w:val="false"/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不劝你多买，只帮你少花。刚好 · 净省凑单，期待与平台伙伴一起，把结算前的三秒变成用户可验证的净省。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5C6F68"/>
        <w:sz w:val="18"/>
        <w:szCs w:val="18"/>
      </w:rPr>
      <w:fldChar w:fldCharType="begin"/>
    </w:r>
    <w:r>
      <w:rPr>
        <w:rFonts w:ascii="Times New Roman"/>
        <w:color w:val="5C6F68"/>
        <w:sz w:val="18"/>
        <w:szCs w:val="18"/>
      </w:rPr>
      <w:instrText xml:space="preserve"> PAGE \* ROMAN \* MERGEFORMAT </w:instrText>
    </w:r>
    <w:r>
      <w:rPr>
        <w:rFonts w:ascii="Times New Roman"/>
        <w:color w:val="5C6F68"/>
        <w:sz w:val="18"/>
        <w:szCs w:val="18"/>
      </w:rPr>
      <w:fldChar w:fldCharType="separate"/>
    </w:r>
    <w:r>
      <w:rPr>
        <w:rFonts w:ascii="Times New Roman"/>
        <w:color w:val="5C6F6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5C6F68"/>
        <w:sz w:val="18"/>
        <w:szCs w:val="18"/>
      </w:rPr>
      <w:fldChar w:fldCharType="begin"/>
    </w:r>
    <w:r>
      <w:rPr>
        <w:rFonts w:ascii="Times New Roman"/>
        <w:color w:val="5C6F68"/>
        <w:sz w:val="18"/>
        <w:szCs w:val="18"/>
      </w:rPr>
      <w:instrText xml:space="preserve"> PAGE \* arabic \* MERGEFORMAT </w:instrText>
    </w:r>
    <w:r>
      <w:rPr>
        <w:rFonts w:ascii="Times New Roman"/>
        <w:color w:val="5C6F68"/>
        <w:sz w:val="18"/>
        <w:szCs w:val="18"/>
      </w:rPr>
      <w:fldChar w:fldCharType="separate"/>
    </w:r>
    <w:r>
      <w:rPr>
        <w:rFonts w:ascii="Times New Roman"/>
        <w:color w:val="5C6F6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Microsoft YaHei"/>
        <w:color w:val="9AABA3"/>
        <w:sz w:val="18"/>
        <w:szCs w:val="18"/>
      </w:rPr>
      <w:t xml:space="preserve">刚好 · 净省凑单 · 产品商业计划书 v1.4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80"/>
      <w:outlineLvl w:val="0"/>
    </w:pPr>
    <w:rPr>
      <w:rFonts w:ascii="Times New Roman" w:eastAsia="SimHei"/>
      <w:b/>
      <w:bCs/>
      <w:color w:val="0A5A4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40"/>
      <w:outlineLvl w:val="1"/>
    </w:pPr>
    <w:rPr>
      <w:rFonts w:ascii="Times New Roman" w:eastAsia="SimHei"/>
      <w:b/>
      <w:bCs/>
      <w:color w:val="0E7C5B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4f97dcb91c14ddcac0ff15e215006e26e9f466d8.png"/><Relationship Id="rId11" Type="http://schemas.openxmlformats.org/officeDocument/2006/relationships/image" Target="media/6c71378bd978e1fa47e458981ca0ca1672581eb7.png"/><Relationship Id="rId12" Type="http://schemas.openxmlformats.org/officeDocument/2006/relationships/image" Target="media/93ca429e168215ffe64cb123bb558a343f2b1d7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刚好·净省凑单 产品商业计划书 v1.4</dc:title>
  <dc:creator>刚好 · 净省凑单</dc:creator>
  <cp:lastModifiedBy>Un-named</cp:lastModifiedBy>
  <cp:revision>1</cp:revision>
  <dcterms:created xsi:type="dcterms:W3CDTF">2026-10-26T03:32:00.794Z</dcterms:created>
  <dcterms:modified xsi:type="dcterms:W3CDTF">2026-10-26T03:32:00.794Z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