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上线部署方案 + 回滚方案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编写负责人：开发负责人</w:t>
      </w:r>
    </w:p>
    <w:p>
      <w:pPr>
        <w:pStyle w:val="ListBullet"/>
      </w:pPr>
      <w:r>
        <w:t>协作人员：项目经理、测试负责人、实施人员</w:t>
      </w:r>
    </w:p>
    <w:p>
      <w:pPr>
        <w:pStyle w:val="ListBullet"/>
      </w:pPr>
      <w:r>
        <w:t>适用范围：上线步骤、责任人、时间节点、回滚流程、数据保护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一、部署前准备</w:t>
      </w:r>
    </w:p>
    <w:p>
      <w:pPr>
        <w:pStyle w:val="ListNumber"/>
      </w:pPr>
      <w:r>
        <w:t>确认代码版本、数据库版本和部署环境。</w:t>
      </w:r>
    </w:p>
    <w:p>
      <w:pPr>
        <w:pStyle w:val="ListNumber"/>
      </w:pPr>
      <w:r>
        <w:t>确认管理员账号、数据库账号和服务器权限。</w:t>
      </w:r>
    </w:p>
    <w:p>
      <w:pPr>
        <w:pStyle w:val="ListNumber"/>
      </w:pPr>
      <w:r>
        <w:t>确认备份文件已完成，回滚方案可执行。</w:t>
      </w:r>
    </w:p>
    <w:p>
      <w:pPr>
        <w:pStyle w:val="ListNumber"/>
      </w:pPr>
      <w:r>
        <w:t>确认端口 `3000` 未被其他服务占用。</w:t>
      </w:r>
    </w:p>
    <w:p>
      <w:pPr>
        <w:pStyle w:val="Heading2"/>
      </w:pPr>
      <w:r>
        <w:t>二、推荐启动方式</w:t>
      </w:r>
    </w:p>
    <w:p>
      <w:pPr>
        <w:pStyle w:val="Heading3"/>
      </w:pPr>
      <w:r>
        <w:t>Windows</w:t>
      </w:r>
    </w:p>
    <w:p>
      <w:r>
        <w:t>```powershell</w:t>
      </w:r>
    </w:p>
    <w:p>
      <w:r>
        <w:t>cd D:\Supie\crm</w:t>
      </w:r>
    </w:p>
    <w:p>
      <w:r>
        <w:t>python -m venv .venv</w:t>
      </w:r>
    </w:p>
    <w:p>
      <w:r>
        <w:t>.\.venv\Scripts\pip install -r requirements.txt</w:t>
      </w:r>
    </w:p>
    <w:p>
      <w:r>
        <w:t>.\.venv\Scripts\python app.py</w:t>
      </w:r>
    </w:p>
    <w:p>
      <w:r>
        <w:t>```</w:t>
      </w:r>
    </w:p>
    <w:p>
      <w:pPr>
        <w:pStyle w:val="Heading3"/>
      </w:pPr>
      <w:r>
        <w:t>Linux</w:t>
      </w:r>
    </w:p>
    <w:p>
      <w:r>
        <w:t>```bash</w:t>
      </w:r>
    </w:p>
    <w:p>
      <w:r>
        <w:t>cd /workspace/crm</w:t>
      </w:r>
    </w:p>
    <w:p>
      <w:r>
        <w:t>python3 -m venv .venv</w:t>
      </w:r>
    </w:p>
    <w:p>
      <w:r>
        <w:t>.venv/bin/pip install -r requirements.txt</w:t>
      </w:r>
    </w:p>
    <w:p>
      <w:r>
        <w:t>.venv/bin/python app.py</w:t>
      </w:r>
    </w:p>
    <w:p>
      <w:r>
        <w:t>```</w:t>
      </w:r>
    </w:p>
    <w:p>
      <w:pPr>
        <w:pStyle w:val="Heading2"/>
      </w:pPr>
      <w:r>
        <w:t>三、服务化运行</w:t>
      </w:r>
    </w:p>
    <w:p>
      <w:pPr>
        <w:pStyle w:val="ListBullet"/>
      </w:pPr>
      <w:r>
        <w:t>当前环境支持通过 `ops/service_runner.py` 或 Windows 服务方式启动。</w:t>
      </w:r>
    </w:p>
    <w:p>
      <w:pPr>
        <w:pStyle w:val="ListBullet"/>
      </w:pPr>
      <w:r>
        <w:t>Linux 环境可使用 `scripts/service_control.sh` 管理启动、停止、重启和状态检查。</w:t>
      </w:r>
    </w:p>
    <w:p>
      <w:pPr>
        <w:pStyle w:val="ListBullet"/>
      </w:pPr>
      <w:r>
        <w:t>Windows 环境可使用 `ops/windows_service.py` 注册服务。</w:t>
      </w:r>
    </w:p>
    <w:p>
      <w:pPr>
        <w:pStyle w:val="Heading2"/>
      </w:pPr>
      <w:r>
        <w:t>四、上线步骤</w:t>
      </w:r>
    </w:p>
    <w:p>
      <w:pPr>
        <w:pStyle w:val="ListNumber"/>
      </w:pPr>
      <w:r>
        <w:t>停止旧版本服务。</w:t>
      </w:r>
    </w:p>
    <w:p>
      <w:pPr>
        <w:pStyle w:val="ListNumber"/>
      </w:pPr>
      <w:r>
        <w:t>备份数据库和上传文件。</w:t>
      </w:r>
    </w:p>
    <w:p>
      <w:pPr>
        <w:pStyle w:val="ListNumber"/>
      </w:pPr>
      <w:r>
        <w:t>发布新代码。</w:t>
      </w:r>
    </w:p>
    <w:p>
      <w:pPr>
        <w:pStyle w:val="ListNumber"/>
      </w:pPr>
      <w:r>
        <w:t>检查环境变量、数据库连接和配置文件。</w:t>
      </w:r>
    </w:p>
    <w:p>
      <w:pPr>
        <w:pStyle w:val="ListNumber"/>
      </w:pPr>
      <w:r>
        <w:t>启动服务并访问 `http://127.0.0.1:3000` 验证登录页。</w:t>
      </w:r>
    </w:p>
    <w:p>
      <w:pPr>
        <w:pStyle w:val="ListNumber"/>
      </w:pPr>
      <w:r>
        <w:t>逐页检查工作台、客户、项目、审批和财务页面。</w:t>
      </w:r>
    </w:p>
    <w:p>
      <w:pPr>
        <w:pStyle w:val="Heading2"/>
      </w:pPr>
      <w:r>
        <w:t>五、回滚方案</w:t>
      </w:r>
    </w:p>
    <w:p>
      <w:pPr>
        <w:pStyle w:val="Heading3"/>
      </w:pPr>
      <w:r>
        <w:t>适用场景</w:t>
      </w:r>
    </w:p>
    <w:p>
      <w:pPr>
        <w:pStyle w:val="ListBullet"/>
      </w:pPr>
      <w:r>
        <w:t>新版本无法登录。</w:t>
      </w:r>
    </w:p>
    <w:p>
      <w:pPr>
        <w:pStyle w:val="ListBullet"/>
      </w:pPr>
      <w:r>
        <w:t>页面报错或接口异常。</w:t>
      </w:r>
    </w:p>
    <w:p>
      <w:pPr>
        <w:pStyle w:val="ListBullet"/>
      </w:pPr>
      <w:r>
        <w:t>数据库迁移失败。</w:t>
      </w:r>
    </w:p>
    <w:p>
      <w:pPr>
        <w:pStyle w:val="ListBullet"/>
      </w:pPr>
      <w:r>
        <w:t>关键页面权限异常。</w:t>
      </w:r>
    </w:p>
    <w:p>
      <w:pPr>
        <w:pStyle w:val="Heading3"/>
      </w:pPr>
      <w:r>
        <w:t>回滚步骤</w:t>
      </w:r>
    </w:p>
    <w:p>
      <w:pPr>
        <w:pStyle w:val="ListNumber"/>
      </w:pPr>
      <w:r>
        <w:t>停止当前服务。</w:t>
      </w:r>
    </w:p>
    <w:p>
      <w:pPr>
        <w:pStyle w:val="ListNumber"/>
      </w:pPr>
      <w:r>
        <w:t>恢复上一个稳定版本代码。</w:t>
      </w:r>
    </w:p>
    <w:p>
      <w:pPr>
        <w:pStyle w:val="ListNumber"/>
      </w:pPr>
      <w:r>
        <w:t>恢复数据库备份或回滚迁移。</w:t>
      </w:r>
    </w:p>
    <w:p>
      <w:pPr>
        <w:pStyle w:val="ListNumber"/>
      </w:pPr>
      <w:r>
        <w:t>重启服务。</w:t>
      </w:r>
    </w:p>
    <w:p>
      <w:pPr>
        <w:pStyle w:val="ListNumber"/>
      </w:pPr>
      <w:r>
        <w:t>再次验证登录页、工作台和核心业务流程。</w:t>
      </w:r>
    </w:p>
    <w:p>
      <w:pPr>
        <w:pStyle w:val="Heading2"/>
      </w:pPr>
      <w:r>
        <w:t>六、数据保障措施</w:t>
      </w:r>
    </w:p>
    <w:p>
      <w:pPr>
        <w:pStyle w:val="ListBullet"/>
      </w:pPr>
      <w:r>
        <w:t>上线前完成数据库备份。</w:t>
      </w:r>
    </w:p>
    <w:p>
      <w:pPr>
        <w:pStyle w:val="ListBullet"/>
      </w:pPr>
      <w:r>
        <w:t>上线后保留旧版本包和配置文件。</w:t>
      </w:r>
    </w:p>
    <w:p>
      <w:pPr>
        <w:pStyle w:val="ListBullet"/>
      </w:pPr>
      <w:r>
        <w:t>关键账号、密钥、证书独立保存。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