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项目交付说明书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编写负责人：项目经理</w:t>
      </w:r>
    </w:p>
    <w:p>
      <w:pPr>
        <w:pStyle w:val="ListBullet"/>
      </w:pPr>
      <w:r>
        <w:t>协作人员：开发负责人、测试负责人、实施人员</w:t>
      </w:r>
    </w:p>
    <w:p>
      <w:pPr>
        <w:pStyle w:val="ListBullet"/>
      </w:pPr>
      <w:r>
        <w:t>适用范围：甲方验收、交付清单、部署环境、版本范围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一、文档目的</w:t>
      </w:r>
    </w:p>
    <w:p>
      <w:r>
        <w:t>这份说明书的作用，是让甲方第一眼就知道“本次交付了什么、怎么部署、哪些功能在这个版本里、由谁负责后续支持”。</w:t>
      </w:r>
    </w:p>
    <w:p>
      <w:pPr>
        <w:pStyle w:val="Heading2"/>
      </w:pPr>
      <w:r>
        <w:t>二、系统概述</w:t>
      </w:r>
    </w:p>
    <w:p>
      <w:r>
        <w:t>项目过程管理系统覆盖项目类型、工作台、客户、商机、合同、项目、回款、开票、审批、用户和角色权限等功能。系统前台采用中文界面，适合项目、销售、财务和管理人员共同使用。</w:t>
      </w:r>
    </w:p>
    <w:p>
      <w:pPr>
        <w:pStyle w:val="Heading2"/>
      </w:pPr>
      <w:r>
        <w:t>三、交付范围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t>工作台与项目总览</w:t>
            </w:r>
          </w:p>
        </w:tc>
        <w:tc>
          <w:tcPr>
            <w:tcW w:type="dxa" w:w="4968"/>
          </w:tcPr>
          <w:p>
            <w:r>
              <w:t>查看待办、关注事项、经营概览和异常提醒</w:t>
            </w:r>
          </w:p>
        </w:tc>
      </w:tr>
      <w:tr>
        <w:tc>
          <w:tcPr>
            <w:tcW w:type="dxa" w:w="4968"/>
          </w:tcPr>
          <w:p>
            <w:r>
              <w:t>客户、商机、合同</w:t>
            </w:r>
          </w:p>
        </w:tc>
        <w:tc>
          <w:tcPr>
            <w:tcW w:type="dxa" w:w="4968"/>
          </w:tcPr>
          <w:p>
            <w:r>
              <w:t>支撑销售经营、签约转化和数据沉淀</w:t>
            </w:r>
          </w:p>
        </w:tc>
      </w:tr>
      <w:tr>
        <w:tc>
          <w:tcPr>
            <w:tcW w:type="dxa" w:w="4968"/>
          </w:tcPr>
          <w:p>
            <w:r>
              <w:t>项目、任务、里程碑、风险</w:t>
            </w:r>
          </w:p>
        </w:tc>
        <w:tc>
          <w:tcPr>
            <w:tcW w:type="dxa" w:w="4968"/>
          </w:tcPr>
          <w:p>
            <w:r>
              <w:t>支撑交付管理、过程跟踪和项目结项</w:t>
            </w:r>
          </w:p>
        </w:tc>
      </w:tr>
      <w:tr>
        <w:tc>
          <w:tcPr>
            <w:tcW w:type="dxa" w:w="4968"/>
          </w:tcPr>
          <w:p>
            <w:r>
              <w:t>回款与开票</w:t>
            </w:r>
          </w:p>
        </w:tc>
        <w:tc>
          <w:tcPr>
            <w:tcW w:type="dxa" w:w="4968"/>
          </w:tcPr>
          <w:p>
            <w:r>
              <w:t>支撑财务协同、现金流和票据管理</w:t>
            </w:r>
          </w:p>
        </w:tc>
      </w:tr>
      <w:tr>
        <w:tc>
          <w:tcPr>
            <w:tcW w:type="dxa" w:w="4968"/>
          </w:tcPr>
          <w:p>
            <w:r>
              <w:t>审批中心</w:t>
            </w:r>
          </w:p>
        </w:tc>
        <w:tc>
          <w:tcPr>
            <w:tcW w:type="dxa" w:w="4968"/>
          </w:tcPr>
          <w:p>
            <w:r>
              <w:t>支撑赢单、签约、结项三类审批</w:t>
            </w:r>
          </w:p>
        </w:tc>
      </w:tr>
      <w:tr>
        <w:tc>
          <w:tcPr>
            <w:tcW w:type="dxa" w:w="4968"/>
          </w:tcPr>
          <w:p>
            <w:r>
              <w:t>用户、角色与权限</w:t>
            </w:r>
          </w:p>
        </w:tc>
        <w:tc>
          <w:tcPr>
            <w:tcW w:type="dxa" w:w="4968"/>
          </w:tcPr>
          <w:p>
            <w:r>
              <w:t>支撑多角色协作和数据边界控制</w:t>
            </w:r>
          </w:p>
        </w:tc>
      </w:tr>
    </w:tbl>
    <w:p>
      <w:pPr>
        <w:pStyle w:val="Heading2"/>
      </w:pPr>
      <w:r>
        <w:t>四、建议交付清单</w:t>
      </w:r>
    </w:p>
    <w:p>
      <w:pPr>
        <w:pStyle w:val="ListNumber"/>
      </w:pPr>
      <w:r>
        <w:t>可运行系统及部署说明。</w:t>
      </w:r>
    </w:p>
    <w:p>
      <w:pPr>
        <w:pStyle w:val="ListNumber"/>
      </w:pPr>
      <w:r>
        <w:t>用户手册、管理员手册、快速入门指南。</w:t>
      </w:r>
    </w:p>
    <w:p>
      <w:pPr>
        <w:pStyle w:val="ListNumber"/>
      </w:pPr>
      <w:r>
        <w:t>项目验收报告、变更记录、版本说明。</w:t>
      </w:r>
    </w:p>
    <w:p>
      <w:pPr>
        <w:pStyle w:val="ListNumber"/>
      </w:pPr>
      <w:r>
        <w:t>技术类文档，包括部署、架构、数据库、接口等。</w:t>
      </w:r>
    </w:p>
    <w:p>
      <w:pPr>
        <w:pStyle w:val="Heading2"/>
      </w:pPr>
      <w:r>
        <w:t>五、版本与环境</w:t>
      </w:r>
    </w:p>
    <w:p>
      <w:pPr>
        <w:pStyle w:val="ListBullet"/>
      </w:pPr>
      <w:r>
        <w:t>运行端口：`3000`</w:t>
      </w:r>
    </w:p>
    <w:p>
      <w:pPr>
        <w:pStyle w:val="ListBullet"/>
      </w:pPr>
      <w:r>
        <w:t>默认账号：`admin / admin123`</w:t>
      </w:r>
    </w:p>
    <w:p>
      <w:pPr>
        <w:pStyle w:val="ListBullet"/>
      </w:pPr>
      <w:r>
        <w:t>Web 技术栈：Flask 单体应用，Jinja 模板，Bootstrap 风格页面</w:t>
      </w:r>
    </w:p>
    <w:p>
      <w:pPr>
        <w:pStyle w:val="ListBullet"/>
      </w:pPr>
      <w:r>
        <w:t>数据库：当前支持 PostgreSQL，项目也保留本地数据库能力</w:t>
      </w:r>
    </w:p>
    <w:p>
      <w:pPr>
        <w:pStyle w:val="Heading2"/>
      </w:pPr>
      <w:r>
        <w:t>六、建议截图</w:t>
      </w:r>
    </w:p>
    <w:p>
      <w:pPr>
        <w:pStyle w:val="Heading3"/>
      </w:pPr>
      <w:r>
        <w:t>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总览</w:t>
      </w:r>
    </w:p>
    <w:p>
      <w:pPr>
        <w:pStyle w:val="Heading3"/>
      </w:pPr>
      <w:r>
        <w:t>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工作台</w:t>
      </w:r>
    </w:p>
    <w:p>
      <w:pPr>
        <w:pStyle w:val="Heading3"/>
      </w:pPr>
      <w:r>
        <w:t>项目详情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项目详情</w:t>
      </w:r>
    </w:p>
    <w:p>
      <w:pPr>
        <w:pStyle w:val="Heading2"/>
      </w:pPr>
      <w:r>
        <w:t>七、交付验收口径</w:t>
      </w:r>
    </w:p>
    <w:p>
      <w:pPr>
        <w:pStyle w:val="ListBullet"/>
      </w:pPr>
      <w:r>
        <w:t>业务主流程可跑通。</w:t>
      </w:r>
    </w:p>
    <w:p>
      <w:pPr>
        <w:pStyle w:val="ListBullet"/>
      </w:pPr>
      <w:r>
        <w:t>权限、审批、回款、开票等关键节点可查看可验证。</w:t>
      </w:r>
    </w:p>
    <w:p>
      <w:pPr>
        <w:pStyle w:val="ListBullet"/>
      </w:pPr>
      <w:r>
        <w:t>交付文档齐全、命名统一、截图真实。</w:t>
      </w:r>
    </w:p>
    <w:p>
      <w:pPr>
        <w:pStyle w:val="ListBullet"/>
      </w:pPr>
      <w:r>
        <w:t>甲方可按文档独立完成系统查看、基础配置和日常操作。</w:t>
      </w:r>
    </w:p>
    <w:p>
      <w:pPr>
        <w:pStyle w:val="Heading2"/>
      </w:pPr>
      <w:r>
        <w:t>八、签字栏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签字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日期</w:t>
            </w:r>
          </w:p>
        </w:tc>
      </w:tr>
      <w:tr>
        <w:tc>
          <w:tcPr>
            <w:tcW w:type="dxa" w:w="2484"/>
          </w:tcPr>
          <w:p>
            <w:r>
              <w:t>甲方代表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项目经理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开发负责人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测试负责人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