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项目验收报告</w:t>
      </w:r>
    </w:p>
    <w:p>
      <w:pPr>
        <w:pStyle w:val="Heading2"/>
      </w:pPr>
      <w:r>
        <w:t>基本信息</w:t>
      </w:r>
    </w:p>
    <w:p>
      <w:pPr>
        <w:pStyle w:val="ListBullet"/>
      </w:pPr>
      <w:r>
        <w:t>编写负责人：项目经理</w:t>
      </w:r>
    </w:p>
    <w:p>
      <w:pPr>
        <w:pStyle w:val="ListBullet"/>
      </w:pPr>
      <w:r>
        <w:t>协作人员：测试负责人、开发负责人、实施人员</w:t>
      </w:r>
    </w:p>
    <w:p>
      <w:pPr>
        <w:pStyle w:val="ListBullet"/>
      </w:pPr>
      <w:r>
        <w:t>适用范围：功能验收、性能验收、安全验收、签字确认</w:t>
      </w:r>
    </w:p>
    <w:p>
      <w:pPr>
        <w:pStyle w:val="ListBullet"/>
      </w:pPr>
      <w:r>
        <w:t>文档日期：2026-04-03</w:t>
      </w:r>
    </w:p>
    <w:p>
      <w:pPr>
        <w:pStyle w:val="Heading2"/>
      </w:pPr>
      <w:r>
        <w:t>一、验收说明</w:t>
      </w:r>
    </w:p>
    <w:p>
      <w:r>
        <w:t>本报告用于记录当前版本的验收结果，适合甲方最终签字前的复核使用。建议在正式签字前，由测试人员和项目经理再跑一次真实环境确认。</w:t>
      </w:r>
    </w:p>
    <w:p>
      <w:pPr>
        <w:pStyle w:val="Heading2"/>
      </w:pPr>
      <w:r>
        <w:t>二、验收范围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验收项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验收内容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结论建议</w:t>
            </w:r>
          </w:p>
        </w:tc>
      </w:tr>
      <w:tr>
        <w:tc>
          <w:tcPr>
            <w:tcW w:type="dxa" w:w="3312"/>
          </w:tcPr>
          <w:p>
            <w:r>
              <w:t>功能验收</w:t>
            </w:r>
          </w:p>
        </w:tc>
        <w:tc>
          <w:tcPr>
            <w:tcW w:type="dxa" w:w="3312"/>
          </w:tcPr>
          <w:p>
            <w:r>
              <w:t>登录、工作台、客户、商机、合同、项目、回款、开票、审批、用户和角色权限</w:t>
            </w:r>
          </w:p>
        </w:tc>
        <w:tc>
          <w:tcPr>
            <w:tcW w:type="dxa" w:w="3312"/>
          </w:tcPr>
          <w:p>
            <w:r>
              <w:t>已覆盖主流程</w:t>
            </w:r>
          </w:p>
        </w:tc>
      </w:tr>
      <w:tr>
        <w:tc>
          <w:tcPr>
            <w:tcW w:type="dxa" w:w="3312"/>
          </w:tcPr>
          <w:p>
            <w:r>
              <w:t>性能验收</w:t>
            </w:r>
          </w:p>
        </w:tc>
        <w:tc>
          <w:tcPr>
            <w:tcW w:type="dxa" w:w="3312"/>
          </w:tcPr>
          <w:p>
            <w:r>
              <w:t>列表、详情、审批、导出、搜索等常用动作是否可稳定响应</w:t>
            </w:r>
          </w:p>
        </w:tc>
        <w:tc>
          <w:tcPr>
            <w:tcW w:type="dxa" w:w="3312"/>
          </w:tcPr>
          <w:p>
            <w:r>
              <w:t>建议按现场环境复测</w:t>
            </w:r>
          </w:p>
        </w:tc>
      </w:tr>
      <w:tr>
        <w:tc>
          <w:tcPr>
            <w:tcW w:type="dxa" w:w="3312"/>
          </w:tcPr>
          <w:p>
            <w:r>
              <w:t>安全验收</w:t>
            </w:r>
          </w:p>
        </w:tc>
        <w:tc>
          <w:tcPr>
            <w:tcW w:type="dxa" w:w="3312"/>
          </w:tcPr>
          <w:p>
            <w:r>
              <w:t>用户权限、角色权限、敏感信息、账号密码管理</w:t>
            </w:r>
          </w:p>
        </w:tc>
        <w:tc>
          <w:tcPr>
            <w:tcW w:type="dxa" w:w="3312"/>
          </w:tcPr>
          <w:p>
            <w:r>
              <w:t>已具备基础控制能力</w:t>
            </w:r>
          </w:p>
        </w:tc>
      </w:tr>
      <w:tr>
        <w:tc>
          <w:tcPr>
            <w:tcW w:type="dxa" w:w="3312"/>
          </w:tcPr>
          <w:p>
            <w:r>
              <w:t>交付验收</w:t>
            </w:r>
          </w:p>
        </w:tc>
        <w:tc>
          <w:tcPr>
            <w:tcW w:type="dxa" w:w="3312"/>
          </w:tcPr>
          <w:p>
            <w:r>
              <w:t>文档、截图、部署资料是否齐全</w:t>
            </w:r>
          </w:p>
        </w:tc>
        <w:tc>
          <w:tcPr>
            <w:tcW w:type="dxa" w:w="3312"/>
          </w:tcPr>
          <w:p>
            <w:r>
              <w:t>可交付</w:t>
            </w:r>
          </w:p>
        </w:tc>
      </w:tr>
    </w:tbl>
    <w:p>
      <w:pPr>
        <w:pStyle w:val="Heading2"/>
      </w:pPr>
      <w:r>
        <w:t>三、功能验收要点</w:t>
      </w:r>
    </w:p>
    <w:p>
      <w:pPr>
        <w:pStyle w:val="ListBullet"/>
      </w:pPr>
      <w:r>
        <w:t>登录后可进入工作台和总览页。</w:t>
      </w:r>
    </w:p>
    <w:p>
      <w:pPr>
        <w:pStyle w:val="ListBullet"/>
      </w:pPr>
      <w:r>
        <w:t>客户、商机、合同、项目、回款、开票、审批等主链路可查看。</w:t>
      </w:r>
    </w:p>
    <w:p>
      <w:pPr>
        <w:pStyle w:val="ListBullet"/>
      </w:pPr>
      <w:r>
        <w:t>项目详情页可进入任务、里程碑、风险和进展协同。</w:t>
      </w:r>
    </w:p>
    <w:p>
      <w:pPr>
        <w:pStyle w:val="ListBullet"/>
      </w:pPr>
      <w:r>
        <w:t>用户管理、角色管理和审批中心可以支撑日常管理动作。</w:t>
      </w:r>
    </w:p>
    <w:p>
      <w:pPr>
        <w:pStyle w:val="Heading2"/>
      </w:pPr>
      <w:r>
        <w:t>四、建议结论</w:t>
      </w:r>
    </w:p>
    <w:p>
      <w:r>
        <w:t>当前版本已经具备阶段性验收条件，建议以“业务主流程可用、交付资料齐全、权限边界清晰”为通过标准。</w:t>
      </w:r>
    </w:p>
    <w:p>
      <w:pPr>
        <w:pStyle w:val="Heading2"/>
      </w:pPr>
      <w:r>
        <w:t>五、双方签字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签字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日期</w:t>
            </w:r>
          </w:p>
        </w:tc>
      </w:tr>
      <w:tr>
        <w:tc>
          <w:tcPr>
            <w:tcW w:type="dxa" w:w="2484"/>
          </w:tcPr>
          <w:p>
            <w:r>
              <w:t>甲方代表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项目经理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测试负责人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  <w:tr>
        <w:tc>
          <w:tcPr>
            <w:tcW w:type="dxa" w:w="2484"/>
          </w:tcPr>
          <w:p>
            <w:r>
              <w:t>开发负责人</w:t>
            </w:r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  <w:tc>
          <w:tcPr>
            <w:tcW w:type="dxa" w:w="2484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8"/>
      </w:rPr>
    </w:r>
    <w:fldSimple w:instr="PAGE">
      <w:r>
        <w:t>第 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