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700 余个常用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精选 30 个基础象形字（手绘四体 + 考据卡）+ 扩展 708 字（甲骨/金文/简帛/小篆/隶书历代字形，按实际收录阶段呈现，缺甲骨者诚实标注"暂未见"），随时点选、拖动时间轴连续演化</w:t>
            </w:r>
          </w:p>
        </w:tc>
        <w:tc>
          <w:tcPr>
            <w:tcW w:type="dxa" w:w="2880"/>
          </w:tcPr>
          <w:p>
            <w:r>
              <w:rPr>
                <w:sz w:val="19"/>
              </w:rPr>
            </w:r>
            <w:r>
              <w:rPr>
                <w:sz w:val="19"/>
              </w:rPr>
              <w:t>打开"更多字"字库网格 + 点击选字 + 拖动时间轴</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三十字精选字墙收束："三千年，字仍在生长"，可点击任意字查看其三千年演变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：精选 30 个基础象形字（日月山水人木火雨目口田大牛羊女子刀弓门舟云天心手耳鸟土石竹犬）的甲骨、金文、小篆、隶书为手绘矢量笔画（Path2D 数据），并撰写释读考据；扩展字库 708 字取自开源古文字字形数据集 character-evolution-dataset-1bit（MIT License，约 26 万张历代字形图），经二值化、Zhang-Suen 骨架化、分叉合并与方向数字编码，压缩为约 2.3MB 的按需解码矢量笔画（含甲骨、金文、简帛、小篆、隶书），每字按其真实收录阶段动态生成时间轴；楷书与合体字采用内嵌楷体字形采样。</w:t>
      </w:r>
    </w:p>
    <w:p>
      <w:pPr>
        <w:pStyle w:val="ListBullet"/>
      </w:pPr>
      <w:r>
        <w:rPr>
          <w:b/>
        </w:rPr>
        <w:t>连续演化</w:t>
      </w:r>
      <w:r>
        <w:t>："一字千年"章节采用双点云连续混合算法，时间轴拖动时按比例实时插值字形，实现"手推演化"的连续过渡；阶段数随字而变（3—6 个阶段），点云采用 LRU 回收控制内存。</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：环境铺底 + 五声音阶拨弦，音高按汉字笔画数分配（2 画最低、7 画以上最高）。</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：右侧刻度目录（含当前位置指示）可直达任意章节，支持链接直达与刷新恢复。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除下文明确标注的开源字体、开源手写识别模型与开源古文字字形数据集外，全部画面与音效由代码实时生成，</w:t>
      </w:r>
      <w:r>
        <w:rPr>
          <w:b/>
        </w:rPr>
        <w:t>未使用其他第三方图片、贴图或音频素材</w:t>
      </w:r>
      <w:r>
        <w:t>。</w:t>
      </w:r>
    </w:p>
    <w:p>
      <w:pPr>
        <w:pStyle w:val="ListNumber"/>
      </w:pPr>
      <w:r>
        <w:t>精选 30 字的甲骨文、金文、小篆、隶书字形为参照甲骨学通行字形绘制的手绘矢量笔画，用于教学演示性质的文化表达；扩展 708 字的历代字形来自开源数据集 character-evolution-dataset-1bit（MIT License）的骨架化再加工，全部在"关于"页与文档中标注来源。</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