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C4E9895">
      <w:pPr>
        <w:spacing w:before="480" w:after="480" w:line="288" w:lineRule="auto"/>
        <w:ind w:left="0"/>
      </w:pPr>
      <w:r>
        <w:rPr>
          <w:rFonts w:ascii="Arial" w:hAnsi="Arial" w:eastAsia="等线" w:cs="Arial"/>
          <w:b/>
          <w:sz w:val="52"/>
        </w:rPr>
        <w:t>项目物资管理综合考核两套试卷（100分制）</w:t>
      </w:r>
    </w:p>
    <w:p w14:paraId="173E531E">
      <w:pPr>
        <w:spacing w:before="380" w:after="140" w:line="288" w:lineRule="auto"/>
        <w:ind w:left="0"/>
        <w:jc w:val="left"/>
        <w:outlineLvl w:val="0"/>
      </w:pPr>
      <w:bookmarkStart w:id="0" w:name="heading_0"/>
      <w:r>
        <w:rPr>
          <w:rFonts w:ascii="Arial" w:hAnsi="Arial" w:eastAsia="等线" w:cs="Arial"/>
          <w:b/>
          <w:sz w:val="36"/>
        </w:rPr>
        <w:t>项目物资管理综合考核试卷（第一套）</w:t>
      </w:r>
      <w:bookmarkEnd w:id="0"/>
    </w:p>
    <w:p w14:paraId="67154C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考试说明：满分100分，考试时间60分钟</w:t>
      </w:r>
    </w:p>
    <w:p w14:paraId="3B5FBD6D">
      <w:pPr>
        <w:spacing w:before="320" w:after="120" w:line="288" w:lineRule="auto"/>
        <w:ind w:left="0"/>
        <w:jc w:val="left"/>
        <w:outlineLvl w:val="1"/>
      </w:pPr>
      <w:bookmarkStart w:id="1" w:name="heading_1"/>
      <w:r>
        <w:rPr>
          <w:rFonts w:ascii="Arial" w:hAnsi="Arial" w:eastAsia="等线" w:cs="Arial"/>
          <w:b/>
          <w:sz w:val="32"/>
        </w:rPr>
        <w:t>计分规则</w:t>
      </w:r>
      <w:bookmarkEnd w:id="1"/>
    </w:p>
    <w:p w14:paraId="58644F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单项选择题：每题2分，共20题，总计40分，选错、不选不得分；</w:t>
      </w:r>
    </w:p>
    <w:p w14:paraId="730CFAA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多项选择题：每题3分，共10题，总计30分；多选、错选不得分，少选每选对1个得0.5分；</w:t>
      </w:r>
    </w:p>
    <w:p w14:paraId="0D10073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判断题：每题6分，共5题，总计30分，判断错误、不答不得分。</w:t>
      </w:r>
    </w:p>
    <w:p w14:paraId="1F5005A5">
      <w:pPr>
        <w:spacing w:before="320" w:after="120" w:line="288" w:lineRule="auto"/>
        <w:ind w:left="0"/>
        <w:jc w:val="left"/>
        <w:outlineLvl w:val="1"/>
      </w:pPr>
      <w:bookmarkStart w:id="2" w:name="heading_2"/>
      <w:r>
        <w:rPr>
          <w:rFonts w:ascii="Arial" w:hAnsi="Arial" w:eastAsia="等线" w:cs="Arial"/>
          <w:b/>
          <w:sz w:val="32"/>
        </w:rPr>
        <w:t>一、单项选择题（共20题，每题2分，共40分）</w:t>
      </w:r>
      <w:bookmarkEnd w:id="2"/>
    </w:p>
    <w:p w14:paraId="25DF6FB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物资调拨进场申请，需在物资进场前（）发起</w:t>
      </w:r>
    </w:p>
    <w:p w14:paraId="148CA07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1天  B. 3天  C. 5天  D. 7天</w:t>
      </w:r>
    </w:p>
    <w:p w14:paraId="794DCD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4376F3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进场物资验收入库的最迟完成时限为（）</w:t>
      </w:r>
    </w:p>
    <w:p w14:paraId="31D24FB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12小时内  B. 24小时内  C. 36小时内  D. 48小时内</w:t>
      </w:r>
    </w:p>
    <w:p w14:paraId="3D799E0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0488A5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项目物资日常安全巡查的固定频次为（）</w:t>
      </w:r>
    </w:p>
    <w:p w14:paraId="6601BCC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每日  B. 每周  C. 每半月  D. 每月</w:t>
      </w:r>
    </w:p>
    <w:p w14:paraId="02B1BC0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0CA0D66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工地人车、物资进出管控的执行标准为（）</w:t>
      </w:r>
    </w:p>
    <w:p w14:paraId="7FBE9D2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每日巡查  B. 实时核验  C. 每周抽查  D. 月度排查</w:t>
      </w:r>
    </w:p>
    <w:p w14:paraId="5FCB43D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9BCC9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物资自检完成后，区域量价复核专员需在（）内完成复核</w:t>
      </w:r>
    </w:p>
    <w:p w14:paraId="0116D6F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半个工作日  B. 1个工作日  C. 2个工作日  D. 3个工作日</w:t>
      </w:r>
    </w:p>
    <w:p w14:paraId="7C0D42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4CA9D8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废旧物资处置询比价审批，需提前（）完成</w:t>
      </w:r>
    </w:p>
    <w:p w14:paraId="6A6A0BC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3个工作日  B. 一周  C. 三日  D. 当日</w:t>
      </w:r>
    </w:p>
    <w:p w14:paraId="5B558B1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251A7A6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项目目标成本的主要编制阶段是（）</w:t>
      </w:r>
    </w:p>
    <w:p w14:paraId="6A8126B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项目开工阶段  B. 采购阶段  C. 施工中期  D. 结算阶段</w:t>
      </w:r>
    </w:p>
    <w:p w14:paraId="3F12D09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4513579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仅适用于钢材垫资计息的专属调差项为（）</w:t>
      </w:r>
    </w:p>
    <w:p w14:paraId="49F5C72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利息  B. 钢筋利息  C. 其他费用  D. 调差</w:t>
      </w:r>
    </w:p>
    <w:p w14:paraId="539B64F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F71ED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直营项目禁止使用的结算调差项是（）</w:t>
      </w:r>
    </w:p>
    <w:p w14:paraId="25E2649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材料款  B. 期初数据  C. 减免  D. 违约金</w:t>
      </w:r>
    </w:p>
    <w:p w14:paraId="6169C98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349D631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建材市场价格涨跌调整，应选用的标准调差项为（）</w:t>
      </w:r>
    </w:p>
    <w:p w14:paraId="405F872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减免  B. 调差  C. 其他费用  D. 利息</w:t>
      </w:r>
    </w:p>
    <w:p w14:paraId="5D1166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139806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11. 结算抹零、商业年度返利对应的调差项是（）</w:t>
      </w:r>
    </w:p>
    <w:p w14:paraId="1C7057E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违约金  B. 利息  C. 减免  D. 错误冲销</w:t>
      </w:r>
    </w:p>
    <w:p w14:paraId="565C22B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24679A1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12. 物资亏方、损坏产生的罚款赔偿，归属调差项（）</w:t>
      </w:r>
    </w:p>
    <w:p w14:paraId="32F2C78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违约金  B. 调差  C. 其他费用  D. 减免</w:t>
      </w:r>
    </w:p>
    <w:p w14:paraId="2313B7B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</w:t>
      </w:r>
    </w:p>
    <w:p w14:paraId="1AB36C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13. 入库单据录入错误、往期结算偏差更正，选用调差项（）</w:t>
      </w:r>
    </w:p>
    <w:p w14:paraId="4E7D742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调差  B. 错误冲销  C. 期初数据  D. 利息</w:t>
      </w:r>
    </w:p>
    <w:p w14:paraId="342297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CBCB27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14. 物资运输、卸货、复磅产生的费用归类为（）</w:t>
      </w:r>
    </w:p>
    <w:p w14:paraId="1B46E08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调差  B. 其他费用  C. 利息  D. 违约金</w:t>
      </w:r>
    </w:p>
    <w:p w14:paraId="69563AB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3C16C51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15. 多笔不同类型调差单据的录入规范为（）</w:t>
      </w:r>
    </w:p>
    <w:p w14:paraId="3B9C77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小额可合并  B. 严禁合并录入  C. 同供应商可合并  D. 千元以下可合并</w:t>
      </w:r>
    </w:p>
    <w:p w14:paraId="541F164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24A1B8E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16. 物资采购下单前核心核查内容是（）</w:t>
      </w:r>
    </w:p>
    <w:p w14:paraId="669102E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供应商资质  B. 库存及施工进度  C. 市场价格  D. 运输车辆</w:t>
      </w:r>
    </w:p>
    <w:p w14:paraId="4FCC217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6612754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17. 有毒有害物资的规范存放方式为（）</w:t>
      </w:r>
    </w:p>
    <w:p w14:paraId="2DAFDFA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普通货架分区摆放  B. 防潮垫堆放  C. 专用隔离场所封闭存放  D. 露天垫高存放</w:t>
      </w:r>
    </w:p>
    <w:p w14:paraId="4B5DE1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4549151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18. 检尺类物资进场抽验测量的最低次数为（）</w:t>
      </w:r>
    </w:p>
    <w:p w14:paraId="7E1FEA0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1次  B. 2次  C. 3次  D. 5次</w:t>
      </w:r>
    </w:p>
    <w:p w14:paraId="306D630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答案：C</w:t>
      </w:r>
    </w:p>
    <w:p w14:paraId="74BB3A9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19. 物资计量验收标准优先级为（）</w:t>
      </w:r>
    </w:p>
    <w:p w14:paraId="6FFE8DF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国家标准＞合同约定  B. 合同约定＞国家标准  C. 行业标准＞国标  D. 无优先级</w:t>
      </w:r>
    </w:p>
    <w:p w14:paraId="5846216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50B06FD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20. 物资现场验收的最低配置要求为（）</w:t>
      </w:r>
    </w:p>
    <w:p w14:paraId="6676BD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单人验收  B. 双人验收  C. 三人验收  D. 四人验收</w:t>
      </w:r>
    </w:p>
    <w:p w14:paraId="2FF1695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答案：B</w:t>
      </w:r>
    </w:p>
    <w:p w14:paraId="0EECE309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二、多项选择题（共10题，每题3分，共30分）</w:t>
      </w:r>
      <w:bookmarkEnd w:id="3"/>
    </w:p>
    <w:p w14:paraId="15AB2C8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评分规则：多选、错选不得分；少选，每选对1个正确选项得0.5分</w:t>
      </w:r>
    </w:p>
    <w:p w14:paraId="624C3B3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物资进场入库验收必须核验的随货资料有（）</w:t>
      </w:r>
    </w:p>
    <w:p w14:paraId="71BAF4E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正规送货单  B. 产品合格证  C. 质量质保书  D. 手写白条</w:t>
      </w:r>
    </w:p>
    <w:p w14:paraId="05A692A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25D7163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不合格物资退货、降级处置的规范要求包括（）</w:t>
      </w:r>
    </w:p>
    <w:p w14:paraId="067107D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缺陷物资及时退货  B. 降级物资备注事由  C. 全流程影像留痕  D. 私自挪用不合格物资</w:t>
      </w:r>
    </w:p>
    <w:p w14:paraId="340D15F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6AB9FF2B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工地人车物资进出管控的核心工作有（）</w:t>
      </w:r>
    </w:p>
    <w:p w14:paraId="21355EE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进场人员实名登记  B. 出场物资核验追溯  C. 严禁私自外运资产  D. 夜间无人敞门值守</w:t>
      </w:r>
    </w:p>
    <w:p w14:paraId="746F051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46083B1D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项目物资日常安全巡查的工作内容包含（）</w:t>
      </w:r>
    </w:p>
    <w:p w14:paraId="7CBF128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巡查物资完好状态  B. 外借物资登记催还  C. 排查现场安全隐患  D. 熟悉应急处置流程</w:t>
      </w:r>
    </w:p>
    <w:p w14:paraId="5FFB2B7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答案：ABCD</w:t>
      </w:r>
    </w:p>
    <w:p w14:paraId="56A07F2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仓库物资定期盘点的标准化要求有（）</w:t>
      </w:r>
    </w:p>
    <w:p w14:paraId="3B0D33D9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物资分类分区存放  B. 核对账实数据  C. 盈亏记录签字分析  D. 盈亏自行调账处理</w:t>
      </w:r>
    </w:p>
    <w:p w14:paraId="3E3FC4B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7AD9D53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6. 废旧物资现场处置的管理规范包含（）</w:t>
      </w:r>
    </w:p>
    <w:p w14:paraId="1B803C3F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管理人员全程旁站  B. 核验款项开具出门证  C. 系统登记处置数据  D. 按月核对处置台账</w:t>
      </w:r>
    </w:p>
    <w:p w14:paraId="52A4318A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答案：ABCD</w:t>
      </w:r>
    </w:p>
    <w:p w14:paraId="20EE61B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7. 物资出库作业的标准化要求有（）</w:t>
      </w:r>
    </w:p>
    <w:p w14:paraId="7AECD8CC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核对领料人授权信息  B. 出库单据签字齐全  C. 物资核验拍照留存  D. 按月对账结算</w:t>
      </w:r>
    </w:p>
    <w:p w14:paraId="782C6034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答案：ABCD</w:t>
      </w:r>
    </w:p>
    <w:p w14:paraId="6364696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8. 调差项“利息”涵盖的资金成本类型有（）</w:t>
      </w:r>
    </w:p>
    <w:p w14:paraId="148A390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通用垫资利息  B. 逾期付款利息  C. 钢材专项垫资利息  D. 物资违约罚款</w:t>
      </w:r>
    </w:p>
    <w:p w14:paraId="1C345EB0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748D5DD3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9. 进场送货车辆需重点排查的作弊类型有（）</w:t>
      </w:r>
    </w:p>
    <w:p w14:paraId="1A8CDE2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灌水车辆  B. 夹板改装车辆  C. 遥控作弊车辆  D. 标准载货车辆</w:t>
      </w:r>
    </w:p>
    <w:p w14:paraId="42621F02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</w:t>
      </w:r>
    </w:p>
    <w:p w14:paraId="74118CA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10. 物资外观质量验收的检查内容包括（）</w:t>
      </w:r>
    </w:p>
    <w:p w14:paraId="63B95B7E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A. 包装标识、品牌信息  B. 生产日期、执行标准  C. 变形破损、开裂情况  D. 发霉变质、结块现象</w:t>
      </w:r>
    </w:p>
    <w:p w14:paraId="3EC286F7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答案：ABCD</w:t>
      </w:r>
    </w:p>
    <w:p w14:paraId="4BB47BCB">
      <w:pPr>
        <w:spacing w:before="320" w:after="120" w:line="288" w:lineRule="auto"/>
        <w:ind w:left="0"/>
        <w:jc w:val="left"/>
        <w:outlineLvl w:val="1"/>
      </w:pPr>
      <w:bookmarkStart w:id="4" w:name="heading_4"/>
      <w:r>
        <w:rPr>
          <w:rFonts w:ascii="Arial" w:hAnsi="Arial" w:eastAsia="等线" w:cs="Arial"/>
          <w:b/>
          <w:sz w:val="32"/>
        </w:rPr>
        <w:t>三、判断题（共5题，每题6分，共30分）</w:t>
      </w:r>
      <w:bookmarkEnd w:id="4"/>
    </w:p>
    <w:p w14:paraId="2EF5C1F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1. 项目零星小额材料采购，无需询比价审批可直接进场使用。（×）</w:t>
      </w:r>
    </w:p>
    <w:p w14:paraId="2DDE7708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解析：所有零星采购均需完成询比价及审批流程，严禁无审批采购。</w:t>
      </w:r>
    </w:p>
    <w:p w14:paraId="52CE8F71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2. 物资进场严格执行无采购清单不验收，入库日期与实际验收日期一致。（√）</w:t>
      </w:r>
    </w:p>
    <w:p w14:paraId="1DA2244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3. 钢筋利息调差项可通用水泥、砂石等所有建材垫资计息。（×）</w:t>
      </w:r>
    </w:p>
    <w:p w14:paraId="2E2F098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解析：钢筋利息仅适用于钢材品类，其他材料使用通用利息调差项。</w:t>
      </w:r>
    </w:p>
    <w:p w14:paraId="20325556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4. 多笔不同类型小额调差单据，严禁合并录入系统。（√）</w:t>
      </w:r>
    </w:p>
    <w:p w14:paraId="748A5305">
      <w:p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5. 物资验收影像需通过系统水印相机拍摄，方可归档生效。（√）</w:t>
      </w:r>
      <w:bookmarkStart w:id="5" w:name="_GoBack"/>
      <w:bookmarkEnd w:id="5"/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757D7DC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F22482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39470A25"/>
    <w:rsid w:val="65BD649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sz w:val="21"/>
      <w:szCs w:val="22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5</Pages>
  <Words>3888</Words>
  <Characters>4563</Characters>
  <TotalTime>1</TotalTime>
  <ScaleCrop>false</ScaleCrop>
  <LinksUpToDate>false</LinksUpToDate>
  <CharactersWithSpaces>5303</CharactersWithSpaces>
  <Application>WPS Office_12.1.0.19770_F1E327BC-269C-435d-A152-05C5408002CA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2026-07-22T09:34:00Z</dcterms:created>
  <dc:creator>Apache POI</dc:creator>
  <cp:lastModifiedBy>yangxinggg</cp:lastModifiedBy>
  <dcterms:modified xsi:type="dcterms:W3CDTF">2026-07-29T00:59:51Z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{"Label":"1","ContentProducer":"001191110102MACQD9K64010000","ProduceID":"7665283518989765897","ReservedCode1":"","ContentPropagator":"","PropagateID":"","ReservedCode2":""}</vt:lpwstr>
  </property>
  <property fmtid="{D5CDD505-2E9C-101B-9397-08002B2CF9AE}" pid="3" name="KSOTemplateDocerSaveRecord">
    <vt:lpwstr>eyJoZGlkIjoiNGE0OWFkM2M3YmU1MGEwNWRiNzcyZjQ2NTM2OGJiNDkiLCJ1c2VySWQiOiIyODk5MDU4OTMifQ==</vt:lpwstr>
  </property>
  <property fmtid="{D5CDD505-2E9C-101B-9397-08002B2CF9AE}" pid="4" name="KSOProductBuildVer">
    <vt:lpwstr>2052-12.1.0.19770</vt:lpwstr>
  </property>
  <property fmtid="{D5CDD505-2E9C-101B-9397-08002B2CF9AE}" pid="5" name="ICV">
    <vt:lpwstr>2EDEB86DB1ED4D008267AC34C99EB688_12</vt:lpwstr>
  </property>
</Properties>
</file>