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19DED">
      <w:pPr>
        <w:spacing w:before="480" w:after="480" w:line="288" w:lineRule="auto"/>
        <w:ind w:left="0"/>
      </w:pPr>
      <w:r>
        <w:rPr>
          <w:rFonts w:ascii="Arial" w:hAnsi="Arial" w:eastAsia="等线" w:cs="Arial"/>
          <w:b/>
          <w:sz w:val="52"/>
        </w:rPr>
        <w:t>物资管理-结算单调差应用规范题库</w:t>
      </w:r>
    </w:p>
    <w:p w14:paraId="40AF3819">
      <w:pPr>
        <w:spacing w:before="320" w:after="120" w:line="288" w:lineRule="auto"/>
        <w:ind w:left="0"/>
        <w:jc w:val="left"/>
        <w:outlineLvl w:val="1"/>
      </w:pPr>
      <w:bookmarkStart w:id="0" w:name="heading_0"/>
      <w:r>
        <w:rPr>
          <w:rFonts w:ascii="Arial" w:hAnsi="Arial" w:eastAsia="等线" w:cs="Arial"/>
          <w:b/>
          <w:sz w:val="32"/>
        </w:rPr>
        <w:t>一、单项选择题（共 10 道）</w:t>
      </w:r>
      <w:bookmarkEnd w:id="0"/>
    </w:p>
    <w:p w14:paraId="584FC12A">
      <w:pPr>
        <w:numPr>
          <w:ilvl w:val="0"/>
          <w:numId w:val="1"/>
        </w:numPr>
        <w:spacing w:before="120" w:after="120" w:line="288" w:lineRule="auto"/>
        <w:ind w:left="0"/>
        <w:jc w:val="left"/>
      </w:pPr>
      <w:r>
        <w:rPr>
          <w:rFonts w:ascii="Arial" w:hAnsi="Arial" w:eastAsia="等线" w:cs="Arial"/>
          <w:sz w:val="22"/>
        </w:rPr>
        <w:t>专用于钢材品类的利息调差项是（）</w:t>
      </w:r>
      <w:r>
        <w:rPr>
          <w:rFonts w:ascii="Arial" w:hAnsi="Arial" w:eastAsia="等线" w:cs="Arial"/>
          <w:sz w:val="22"/>
        </w:rPr>
        <w:br w:type="textWrapping"/>
      </w:r>
      <w:r>
        <w:rPr>
          <w:rFonts w:ascii="Arial" w:hAnsi="Arial" w:eastAsia="等线" w:cs="Arial"/>
          <w:sz w:val="22"/>
        </w:rPr>
        <w:t>A. 利息</w:t>
      </w:r>
      <w:r>
        <w:rPr>
          <w:rFonts w:ascii="Arial" w:hAnsi="Arial" w:eastAsia="等线" w:cs="Arial"/>
          <w:sz w:val="22"/>
        </w:rPr>
        <w:br w:type="textWrapping"/>
      </w:r>
      <w:r>
        <w:rPr>
          <w:rFonts w:ascii="Arial" w:hAnsi="Arial" w:eastAsia="等线" w:cs="Arial"/>
          <w:sz w:val="22"/>
        </w:rPr>
        <w:t>B. 钢筋利息</w:t>
      </w:r>
      <w:r>
        <w:rPr>
          <w:rFonts w:ascii="Arial" w:hAnsi="Arial" w:eastAsia="等线" w:cs="Arial"/>
          <w:sz w:val="22"/>
        </w:rPr>
        <w:br w:type="textWrapping"/>
      </w:r>
      <w:r>
        <w:rPr>
          <w:rFonts w:ascii="Arial" w:hAnsi="Arial" w:eastAsia="等线" w:cs="Arial"/>
          <w:sz w:val="22"/>
        </w:rPr>
        <w:t>C. 其他费用</w:t>
      </w:r>
      <w:r>
        <w:rPr>
          <w:rFonts w:ascii="Arial" w:hAnsi="Arial" w:eastAsia="等线" w:cs="Arial"/>
          <w:sz w:val="22"/>
        </w:rPr>
        <w:br w:type="textWrapping"/>
      </w:r>
      <w:r>
        <w:rPr>
          <w:rFonts w:ascii="Arial" w:hAnsi="Arial" w:eastAsia="等线" w:cs="Arial"/>
          <w:sz w:val="22"/>
        </w:rPr>
        <w:t>D. 调差</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：规范明确调差项 2 钢筋利息，专用于钢材品类；利息为通用延迟支付资金成本，不区分品类。</w:t>
      </w:r>
    </w:p>
    <w:p w14:paraId="7A69E12F">
      <w:pPr>
        <w:numPr>
          <w:ilvl w:val="0"/>
          <w:numId w:val="2"/>
        </w:numPr>
        <w:spacing w:before="120" w:after="120" w:line="288" w:lineRule="auto"/>
        <w:ind w:left="0"/>
        <w:jc w:val="left"/>
      </w:pPr>
      <w:r>
        <w:rPr>
          <w:rFonts w:ascii="Arial" w:hAnsi="Arial" w:eastAsia="等线" w:cs="Arial"/>
          <w:sz w:val="22"/>
        </w:rPr>
        <w:t>直营项目严禁使用以下哪一项调差项（）</w:t>
      </w:r>
      <w:r>
        <w:rPr>
          <w:rFonts w:ascii="Arial" w:hAnsi="Arial" w:eastAsia="等线" w:cs="Arial"/>
          <w:sz w:val="22"/>
        </w:rPr>
        <w:br w:type="textWrapping"/>
      </w:r>
      <w:r>
        <w:rPr>
          <w:rFonts w:ascii="Arial" w:hAnsi="Arial" w:eastAsia="等线" w:cs="Arial"/>
          <w:sz w:val="22"/>
        </w:rPr>
        <w:t>A. 材料款</w:t>
      </w:r>
      <w:r>
        <w:rPr>
          <w:rFonts w:ascii="Arial" w:hAnsi="Arial" w:eastAsia="等线" w:cs="Arial"/>
          <w:sz w:val="22"/>
        </w:rPr>
        <w:br w:type="textWrapping"/>
      </w:r>
      <w:r>
        <w:rPr>
          <w:rFonts w:ascii="Arial" w:hAnsi="Arial" w:eastAsia="等线" w:cs="Arial"/>
          <w:sz w:val="22"/>
        </w:rPr>
        <w:t>B. 期初数据</w:t>
      </w:r>
      <w:r>
        <w:rPr>
          <w:rFonts w:ascii="Arial" w:hAnsi="Arial" w:eastAsia="等线" w:cs="Arial"/>
          <w:sz w:val="22"/>
        </w:rPr>
        <w:br w:type="textWrapping"/>
      </w:r>
      <w:r>
        <w:rPr>
          <w:rFonts w:ascii="Arial" w:hAnsi="Arial" w:eastAsia="等线" w:cs="Arial"/>
          <w:sz w:val="22"/>
        </w:rPr>
        <w:t>C. 错误冲销</w:t>
      </w:r>
      <w:r>
        <w:rPr>
          <w:rFonts w:ascii="Arial" w:hAnsi="Arial" w:eastAsia="等线" w:cs="Arial"/>
          <w:sz w:val="22"/>
        </w:rPr>
        <w:br w:type="textWrapping"/>
      </w:r>
      <w:r>
        <w:rPr>
          <w:rFonts w:ascii="Arial" w:hAnsi="Arial" w:eastAsia="等线" w:cs="Arial"/>
          <w:sz w:val="22"/>
        </w:rPr>
        <w:t>D. 减免</w:t>
      </w:r>
      <w:r>
        <w:rPr>
          <w:rFonts w:ascii="Arial" w:hAnsi="Arial" w:eastAsia="等线" w:cs="Arial"/>
          <w:sz w:val="22"/>
        </w:rPr>
        <w:br w:type="textWrapping"/>
      </w:r>
      <w:r>
        <w:rPr>
          <w:rFonts w:ascii="Arial" w:hAnsi="Arial" w:eastAsia="等线" w:cs="Arial"/>
          <w:b/>
          <w:sz w:val="22"/>
        </w:rPr>
        <w:t>答案：A</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：材料款仅限承包制项目使用，直营项目严禁使用。</w:t>
      </w:r>
    </w:p>
    <w:p w14:paraId="093C8E7E">
      <w:pPr>
        <w:numPr>
          <w:ilvl w:val="0"/>
          <w:numId w:val="3"/>
        </w:numPr>
        <w:spacing w:before="120" w:after="120" w:line="288" w:lineRule="auto"/>
        <w:ind w:left="0"/>
        <w:jc w:val="left"/>
      </w:pPr>
      <w:r>
        <w:rPr>
          <w:rFonts w:ascii="Arial" w:hAnsi="Arial" w:eastAsia="等线" w:cs="Arial"/>
          <w:sz w:val="22"/>
        </w:rPr>
        <w:t>因混凝土信息价、水泥网价格变动产生金额调整，应选择调差项（）</w:t>
      </w:r>
      <w:r>
        <w:rPr>
          <w:rFonts w:ascii="Arial" w:hAnsi="Arial" w:eastAsia="等线" w:cs="Arial"/>
          <w:sz w:val="22"/>
        </w:rPr>
        <w:br w:type="textWrapping"/>
      </w:r>
      <w:r>
        <w:rPr>
          <w:rFonts w:ascii="Arial" w:hAnsi="Arial" w:eastAsia="等线" w:cs="Arial"/>
          <w:sz w:val="22"/>
        </w:rPr>
        <w:t>A. 减免</w:t>
      </w:r>
      <w:r>
        <w:rPr>
          <w:rFonts w:ascii="Arial" w:hAnsi="Arial" w:eastAsia="等线" w:cs="Arial"/>
          <w:sz w:val="22"/>
        </w:rPr>
        <w:br w:type="textWrapping"/>
      </w:r>
      <w:r>
        <w:rPr>
          <w:rFonts w:ascii="Arial" w:hAnsi="Arial" w:eastAsia="等线" w:cs="Arial"/>
          <w:sz w:val="22"/>
        </w:rPr>
        <w:t>B. 调差</w:t>
      </w:r>
      <w:r>
        <w:rPr>
          <w:rFonts w:ascii="Arial" w:hAnsi="Arial" w:eastAsia="等线" w:cs="Arial"/>
          <w:sz w:val="22"/>
        </w:rPr>
        <w:br w:type="textWrapping"/>
      </w:r>
      <w:r>
        <w:rPr>
          <w:rFonts w:ascii="Arial" w:hAnsi="Arial" w:eastAsia="等线" w:cs="Arial"/>
          <w:sz w:val="22"/>
        </w:rPr>
        <w:t>C. 其他费用</w:t>
      </w:r>
      <w:r>
        <w:rPr>
          <w:rFonts w:ascii="Arial" w:hAnsi="Arial" w:eastAsia="等线" w:cs="Arial"/>
          <w:sz w:val="22"/>
        </w:rPr>
        <w:br w:type="textWrapping"/>
      </w:r>
      <w:r>
        <w:rPr>
          <w:rFonts w:ascii="Arial" w:hAnsi="Arial" w:eastAsia="等线" w:cs="Arial"/>
          <w:sz w:val="22"/>
        </w:rPr>
        <w:t>D. 违约金</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：调差项 “调差” 包含金额调差（材料信息价、合同约定调价）、数量调差两类场景。</w:t>
      </w:r>
    </w:p>
    <w:p w14:paraId="7FEEC6D4">
      <w:pPr>
        <w:numPr>
          <w:ilvl w:val="0"/>
          <w:numId w:val="4"/>
        </w:numPr>
        <w:spacing w:before="120" w:after="120" w:line="288" w:lineRule="auto"/>
        <w:ind w:left="0"/>
        <w:jc w:val="left"/>
      </w:pPr>
      <w:r>
        <w:rPr>
          <w:rFonts w:ascii="Arial" w:hAnsi="Arial" w:eastAsia="等线" w:cs="Arial"/>
          <w:sz w:val="22"/>
        </w:rPr>
        <w:t>因抹零、商业折扣、质量补偿产生金额减少，对应调差项为（）</w:t>
      </w:r>
      <w:r>
        <w:rPr>
          <w:rFonts w:ascii="Arial" w:hAnsi="Arial" w:eastAsia="等线" w:cs="Arial"/>
          <w:sz w:val="22"/>
        </w:rPr>
        <w:br w:type="textWrapping"/>
      </w:r>
      <w:r>
        <w:rPr>
          <w:rFonts w:ascii="Arial" w:hAnsi="Arial" w:eastAsia="等线" w:cs="Arial"/>
          <w:sz w:val="22"/>
        </w:rPr>
        <w:t>A. 违约金</w:t>
      </w:r>
      <w:r>
        <w:rPr>
          <w:rFonts w:ascii="Arial" w:hAnsi="Arial" w:eastAsia="等线" w:cs="Arial"/>
          <w:sz w:val="22"/>
        </w:rPr>
        <w:br w:type="textWrapping"/>
      </w:r>
      <w:r>
        <w:rPr>
          <w:rFonts w:ascii="Arial" w:hAnsi="Arial" w:eastAsia="等线" w:cs="Arial"/>
          <w:sz w:val="22"/>
        </w:rPr>
        <w:t>B. 利息</w:t>
      </w:r>
      <w:r>
        <w:rPr>
          <w:rFonts w:ascii="Arial" w:hAnsi="Arial" w:eastAsia="等线" w:cs="Arial"/>
          <w:sz w:val="22"/>
        </w:rPr>
        <w:br w:type="textWrapping"/>
      </w:r>
      <w:r>
        <w:rPr>
          <w:rFonts w:ascii="Arial" w:hAnsi="Arial" w:eastAsia="等线" w:cs="Arial"/>
          <w:sz w:val="22"/>
        </w:rPr>
        <w:t>C. 减免</w:t>
      </w:r>
      <w:r>
        <w:rPr>
          <w:rFonts w:ascii="Arial" w:hAnsi="Arial" w:eastAsia="等线" w:cs="Arial"/>
          <w:sz w:val="22"/>
        </w:rPr>
        <w:br w:type="textWrapping"/>
      </w:r>
      <w:r>
        <w:rPr>
          <w:rFonts w:ascii="Arial" w:hAnsi="Arial" w:eastAsia="等线" w:cs="Arial"/>
          <w:sz w:val="22"/>
        </w:rPr>
        <w:t>D. 错误冲销</w:t>
      </w:r>
      <w:r>
        <w:rPr>
          <w:rFonts w:ascii="Arial" w:hAnsi="Arial" w:eastAsia="等线" w:cs="Arial"/>
          <w:sz w:val="22"/>
        </w:rPr>
        <w:br w:type="textWrapping"/>
      </w:r>
      <w:r>
        <w:rPr>
          <w:rFonts w:ascii="Arial" w:hAnsi="Arial" w:eastAsia="等线" w:cs="Arial"/>
          <w:b/>
          <w:sz w:val="22"/>
        </w:rPr>
        <w:t>答案：C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：减免定义为抹零、商业折扣、返利、质量补偿等触发的结算金额减免。</w:t>
      </w:r>
    </w:p>
    <w:p w14:paraId="67CCB54D">
      <w:pPr>
        <w:numPr>
          <w:ilvl w:val="0"/>
          <w:numId w:val="5"/>
        </w:numPr>
        <w:spacing w:before="120" w:after="120" w:line="288" w:lineRule="auto"/>
        <w:ind w:left="0"/>
        <w:jc w:val="left"/>
      </w:pPr>
      <w:r>
        <w:rPr>
          <w:rFonts w:ascii="Arial" w:hAnsi="Arial" w:eastAsia="等线" w:cs="Arial"/>
          <w:sz w:val="22"/>
        </w:rPr>
        <w:t>混凝土亏方罚款、损坏项目资产赔偿，属于哪类调差项（）</w:t>
      </w:r>
      <w:r>
        <w:rPr>
          <w:rFonts w:ascii="Arial" w:hAnsi="Arial" w:eastAsia="等线" w:cs="Arial"/>
          <w:sz w:val="22"/>
        </w:rPr>
        <w:br w:type="textWrapping"/>
      </w:r>
      <w:r>
        <w:rPr>
          <w:rFonts w:ascii="Arial" w:hAnsi="Arial" w:eastAsia="等线" w:cs="Arial"/>
          <w:sz w:val="22"/>
        </w:rPr>
        <w:t>A. 违约金</w:t>
      </w:r>
      <w:r>
        <w:rPr>
          <w:rFonts w:ascii="Arial" w:hAnsi="Arial" w:eastAsia="等线" w:cs="Arial"/>
          <w:sz w:val="22"/>
        </w:rPr>
        <w:br w:type="textWrapping"/>
      </w:r>
      <w:r>
        <w:rPr>
          <w:rFonts w:ascii="Arial" w:hAnsi="Arial" w:eastAsia="等线" w:cs="Arial"/>
          <w:sz w:val="22"/>
        </w:rPr>
        <w:t>B. 其他费用</w:t>
      </w:r>
      <w:r>
        <w:rPr>
          <w:rFonts w:ascii="Arial" w:hAnsi="Arial" w:eastAsia="等线" w:cs="Arial"/>
          <w:sz w:val="22"/>
        </w:rPr>
        <w:br w:type="textWrapping"/>
      </w:r>
      <w:r>
        <w:rPr>
          <w:rFonts w:ascii="Arial" w:hAnsi="Arial" w:eastAsia="等线" w:cs="Arial"/>
          <w:sz w:val="22"/>
        </w:rPr>
        <w:t>C. 调差</w:t>
      </w:r>
      <w:r>
        <w:rPr>
          <w:rFonts w:ascii="Arial" w:hAnsi="Arial" w:eastAsia="等线" w:cs="Arial"/>
          <w:sz w:val="22"/>
        </w:rPr>
        <w:br w:type="textWrapping"/>
      </w:r>
      <w:r>
        <w:rPr>
          <w:rFonts w:ascii="Arial" w:hAnsi="Arial" w:eastAsia="等线" w:cs="Arial"/>
          <w:sz w:val="22"/>
        </w:rPr>
        <w:t>D. 减免</w:t>
      </w:r>
      <w:r>
        <w:rPr>
          <w:rFonts w:ascii="Arial" w:hAnsi="Arial" w:eastAsia="等线" w:cs="Arial"/>
          <w:sz w:val="22"/>
        </w:rPr>
        <w:br w:type="textWrapping"/>
      </w:r>
      <w:r>
        <w:rPr>
          <w:rFonts w:ascii="Arial" w:hAnsi="Arial" w:eastAsia="等线" w:cs="Arial"/>
          <w:b/>
          <w:sz w:val="22"/>
        </w:rPr>
        <w:t>答案：A</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：违约金指履约违约造成损失的赔偿，包含亏方罚款、资产损坏赔偿。</w:t>
      </w:r>
    </w:p>
    <w:p w14:paraId="477768C1">
      <w:pPr>
        <w:numPr>
          <w:ilvl w:val="0"/>
          <w:numId w:val="6"/>
        </w:numPr>
        <w:spacing w:before="120" w:after="120" w:line="288" w:lineRule="auto"/>
        <w:ind w:left="0"/>
        <w:jc w:val="left"/>
      </w:pPr>
      <w:r>
        <w:rPr>
          <w:rFonts w:ascii="Arial" w:hAnsi="Arial" w:eastAsia="等线" w:cs="Arial"/>
          <w:sz w:val="22"/>
        </w:rPr>
        <w:t>前期入库单数据录入出错，需要更正冲销，应选择调差项（）</w:t>
      </w:r>
      <w:r>
        <w:rPr>
          <w:rFonts w:ascii="Arial" w:hAnsi="Arial" w:eastAsia="等线" w:cs="Arial"/>
          <w:sz w:val="22"/>
        </w:rPr>
        <w:br w:type="textWrapping"/>
      </w:r>
      <w:r>
        <w:rPr>
          <w:rFonts w:ascii="Arial" w:hAnsi="Arial" w:eastAsia="等线" w:cs="Arial"/>
          <w:sz w:val="22"/>
        </w:rPr>
        <w:t>A. 调差</w:t>
      </w:r>
      <w:r>
        <w:rPr>
          <w:rFonts w:ascii="Arial" w:hAnsi="Arial" w:eastAsia="等线" w:cs="Arial"/>
          <w:sz w:val="22"/>
        </w:rPr>
        <w:br w:type="textWrapping"/>
      </w:r>
      <w:r>
        <w:rPr>
          <w:rFonts w:ascii="Arial" w:hAnsi="Arial" w:eastAsia="等线" w:cs="Arial"/>
          <w:sz w:val="22"/>
        </w:rPr>
        <w:t>B. 错误冲销</w:t>
      </w:r>
      <w:r>
        <w:rPr>
          <w:rFonts w:ascii="Arial" w:hAnsi="Arial" w:eastAsia="等线" w:cs="Arial"/>
          <w:sz w:val="22"/>
        </w:rPr>
        <w:br w:type="textWrapping"/>
      </w:r>
      <w:r>
        <w:rPr>
          <w:rFonts w:ascii="Arial" w:hAnsi="Arial" w:eastAsia="等线" w:cs="Arial"/>
          <w:sz w:val="22"/>
        </w:rPr>
        <w:t>C. 期初数据</w:t>
      </w:r>
      <w:r>
        <w:rPr>
          <w:rFonts w:ascii="Arial" w:hAnsi="Arial" w:eastAsia="等线" w:cs="Arial"/>
          <w:sz w:val="22"/>
        </w:rPr>
        <w:br w:type="textWrapping"/>
      </w:r>
      <w:r>
        <w:rPr>
          <w:rFonts w:ascii="Arial" w:hAnsi="Arial" w:eastAsia="等线" w:cs="Arial"/>
          <w:sz w:val="22"/>
        </w:rPr>
        <w:t>D. 减免</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：错误冲销包含小数点偏差、前期遗漏、单据错误等数据偏差更正场景。</w:t>
      </w:r>
    </w:p>
    <w:p w14:paraId="19F6A565">
      <w:pPr>
        <w:numPr>
          <w:ilvl w:val="0"/>
          <w:numId w:val="7"/>
        </w:numPr>
        <w:spacing w:before="120" w:after="120" w:line="288" w:lineRule="auto"/>
        <w:ind w:left="0"/>
        <w:jc w:val="left"/>
      </w:pPr>
      <w:r>
        <w:rPr>
          <w:rFonts w:ascii="Arial" w:hAnsi="Arial" w:eastAsia="等线" w:cs="Arial"/>
          <w:sz w:val="22"/>
        </w:rPr>
        <w:t>运输费、卸货费、复磅费结算调整，归属调差项（）</w:t>
      </w:r>
      <w:r>
        <w:rPr>
          <w:rFonts w:ascii="Arial" w:hAnsi="Arial" w:eastAsia="等线" w:cs="Arial"/>
          <w:sz w:val="22"/>
        </w:rPr>
        <w:br w:type="textWrapping"/>
      </w:r>
      <w:r>
        <w:rPr>
          <w:rFonts w:ascii="Arial" w:hAnsi="Arial" w:eastAsia="等线" w:cs="Arial"/>
          <w:sz w:val="22"/>
        </w:rPr>
        <w:t>A. 调差</w:t>
      </w:r>
      <w:r>
        <w:rPr>
          <w:rFonts w:ascii="Arial" w:hAnsi="Arial" w:eastAsia="等线" w:cs="Arial"/>
          <w:sz w:val="22"/>
        </w:rPr>
        <w:br w:type="textWrapping"/>
      </w:r>
      <w:r>
        <w:rPr>
          <w:rFonts w:ascii="Arial" w:hAnsi="Arial" w:eastAsia="等线" w:cs="Arial"/>
          <w:sz w:val="22"/>
        </w:rPr>
        <w:t>B. 其他费用</w:t>
      </w:r>
      <w:r>
        <w:rPr>
          <w:rFonts w:ascii="Arial" w:hAnsi="Arial" w:eastAsia="等线" w:cs="Arial"/>
          <w:sz w:val="22"/>
        </w:rPr>
        <w:br w:type="textWrapping"/>
      </w:r>
      <w:r>
        <w:rPr>
          <w:rFonts w:ascii="Arial" w:hAnsi="Arial" w:eastAsia="等线" w:cs="Arial"/>
          <w:sz w:val="22"/>
        </w:rPr>
        <w:t>C. 利息</w:t>
      </w:r>
      <w:r>
        <w:rPr>
          <w:rFonts w:ascii="Arial" w:hAnsi="Arial" w:eastAsia="等线" w:cs="Arial"/>
          <w:sz w:val="22"/>
        </w:rPr>
        <w:br w:type="textWrapping"/>
      </w:r>
      <w:r>
        <w:rPr>
          <w:rFonts w:ascii="Arial" w:hAnsi="Arial" w:eastAsia="等线" w:cs="Arial"/>
          <w:sz w:val="22"/>
        </w:rPr>
        <w:t>D. 违约金</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：其他费用用于除利息、违约金、减免、调差等之外的运输、装卸、诉讼、复磅等杂费调整。</w:t>
      </w:r>
    </w:p>
    <w:p w14:paraId="03699F52">
      <w:pPr>
        <w:numPr>
          <w:ilvl w:val="0"/>
          <w:numId w:val="8"/>
        </w:numPr>
        <w:spacing w:before="120" w:after="120" w:line="288" w:lineRule="auto"/>
        <w:ind w:left="0"/>
        <w:jc w:val="left"/>
      </w:pPr>
      <w:r>
        <w:rPr>
          <w:rFonts w:ascii="Arial" w:hAnsi="Arial" w:eastAsia="等线" w:cs="Arial"/>
          <w:sz w:val="22"/>
        </w:rPr>
        <w:t>备注格式要求填写 “截至 XX 年 XX 月 XX 日的累计结算额” 的调差项是（）</w:t>
      </w:r>
      <w:r>
        <w:rPr>
          <w:rFonts w:ascii="Arial" w:hAnsi="Arial" w:eastAsia="等线" w:cs="Arial"/>
          <w:sz w:val="22"/>
        </w:rPr>
        <w:br w:type="textWrapping"/>
      </w:r>
      <w:r>
        <w:rPr>
          <w:rFonts w:ascii="Arial" w:hAnsi="Arial" w:eastAsia="等线" w:cs="Arial"/>
          <w:sz w:val="22"/>
        </w:rPr>
        <w:t>A. 期初数据</w:t>
      </w:r>
      <w:r>
        <w:rPr>
          <w:rFonts w:ascii="Arial" w:hAnsi="Arial" w:eastAsia="等线" w:cs="Arial"/>
          <w:sz w:val="22"/>
        </w:rPr>
        <w:br w:type="textWrapping"/>
      </w:r>
      <w:r>
        <w:rPr>
          <w:rFonts w:ascii="Arial" w:hAnsi="Arial" w:eastAsia="等线" w:cs="Arial"/>
          <w:sz w:val="22"/>
        </w:rPr>
        <w:t>B. 错误冲销</w:t>
      </w:r>
      <w:r>
        <w:rPr>
          <w:rFonts w:ascii="Arial" w:hAnsi="Arial" w:eastAsia="等线" w:cs="Arial"/>
          <w:sz w:val="22"/>
        </w:rPr>
        <w:br w:type="textWrapping"/>
      </w:r>
      <w:r>
        <w:rPr>
          <w:rFonts w:ascii="Arial" w:hAnsi="Arial" w:eastAsia="等线" w:cs="Arial"/>
          <w:sz w:val="22"/>
        </w:rPr>
        <w:t>C. 调差</w:t>
      </w:r>
      <w:r>
        <w:rPr>
          <w:rFonts w:ascii="Arial" w:hAnsi="Arial" w:eastAsia="等线" w:cs="Arial"/>
          <w:sz w:val="22"/>
        </w:rPr>
        <w:br w:type="textWrapping"/>
      </w:r>
      <w:r>
        <w:rPr>
          <w:rFonts w:ascii="Arial" w:hAnsi="Arial" w:eastAsia="等线" w:cs="Arial"/>
          <w:sz w:val="22"/>
        </w:rPr>
        <w:t>D. 利息</w:t>
      </w:r>
      <w:r>
        <w:rPr>
          <w:rFonts w:ascii="Arial" w:hAnsi="Arial" w:eastAsia="等线" w:cs="Arial"/>
          <w:sz w:val="22"/>
        </w:rPr>
        <w:br w:type="textWrapping"/>
      </w:r>
      <w:r>
        <w:rPr>
          <w:rFonts w:ascii="Arial" w:hAnsi="Arial" w:eastAsia="等线" w:cs="Arial"/>
          <w:b/>
          <w:sz w:val="22"/>
        </w:rPr>
        <w:t>答案：A</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：期初数据为结算周期初始确认总额，备注格式固定为截至某日期累计结算 / 未付余额。</w:t>
      </w:r>
    </w:p>
    <w:p w14:paraId="73E859B9">
      <w:pPr>
        <w:numPr>
          <w:ilvl w:val="0"/>
          <w:numId w:val="9"/>
        </w:numPr>
        <w:spacing w:before="120" w:after="120" w:line="288" w:lineRule="auto"/>
        <w:ind w:left="0"/>
        <w:jc w:val="left"/>
      </w:pPr>
      <w:r>
        <w:rPr>
          <w:rFonts w:ascii="Arial" w:hAnsi="Arial" w:eastAsia="等线" w:cs="Arial"/>
          <w:sz w:val="22"/>
        </w:rPr>
        <w:t>垫资、逾期付款产生资金成本，通用调差项为（）</w:t>
      </w:r>
      <w:r>
        <w:rPr>
          <w:rFonts w:ascii="Arial" w:hAnsi="Arial" w:eastAsia="等线" w:cs="Arial"/>
          <w:sz w:val="22"/>
        </w:rPr>
        <w:br w:type="textWrapping"/>
      </w:r>
      <w:r>
        <w:rPr>
          <w:rFonts w:ascii="Arial" w:hAnsi="Arial" w:eastAsia="等线" w:cs="Arial"/>
          <w:sz w:val="22"/>
        </w:rPr>
        <w:t>A. 钢筋利息</w:t>
      </w:r>
      <w:r>
        <w:rPr>
          <w:rFonts w:ascii="Arial" w:hAnsi="Arial" w:eastAsia="等线" w:cs="Arial"/>
          <w:sz w:val="22"/>
        </w:rPr>
        <w:br w:type="textWrapping"/>
      </w:r>
      <w:r>
        <w:rPr>
          <w:rFonts w:ascii="Arial" w:hAnsi="Arial" w:eastAsia="等线" w:cs="Arial"/>
          <w:sz w:val="22"/>
        </w:rPr>
        <w:t>B. 利息</w:t>
      </w:r>
      <w:r>
        <w:rPr>
          <w:rFonts w:ascii="Arial" w:hAnsi="Arial" w:eastAsia="等线" w:cs="Arial"/>
          <w:sz w:val="22"/>
        </w:rPr>
        <w:br w:type="textWrapping"/>
      </w:r>
      <w:r>
        <w:rPr>
          <w:rFonts w:ascii="Arial" w:hAnsi="Arial" w:eastAsia="等线" w:cs="Arial"/>
          <w:sz w:val="22"/>
        </w:rPr>
        <w:t>C. 其他费用</w:t>
      </w:r>
      <w:r>
        <w:rPr>
          <w:rFonts w:ascii="Arial" w:hAnsi="Arial" w:eastAsia="等线" w:cs="Arial"/>
          <w:sz w:val="22"/>
        </w:rPr>
        <w:br w:type="textWrapping"/>
      </w:r>
      <w:r>
        <w:rPr>
          <w:rFonts w:ascii="Arial" w:hAnsi="Arial" w:eastAsia="等线" w:cs="Arial"/>
          <w:sz w:val="22"/>
        </w:rPr>
        <w:t>D. 调差</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：利息是通用延迟支付资金成本，钢筋利息仅单独用于钢材。</w:t>
      </w:r>
    </w:p>
    <w:p w14:paraId="529F411A">
      <w:pPr>
        <w:numPr>
          <w:ilvl w:val="0"/>
          <w:numId w:val="10"/>
        </w:numPr>
        <w:spacing w:before="120" w:after="120" w:line="288" w:lineRule="auto"/>
        <w:ind w:left="0"/>
        <w:jc w:val="left"/>
      </w:pPr>
      <w:r>
        <w:rPr>
          <w:rFonts w:ascii="Arial" w:hAnsi="Arial" w:eastAsia="等线" w:cs="Arial"/>
          <w:sz w:val="22"/>
        </w:rPr>
        <w:t>关于多笔调差录入，规范原则要求是（）</w:t>
      </w:r>
      <w:r>
        <w:rPr>
          <w:rFonts w:ascii="Arial" w:hAnsi="Arial" w:eastAsia="等线" w:cs="Arial"/>
          <w:sz w:val="22"/>
        </w:rPr>
        <w:br w:type="textWrapping"/>
      </w:r>
      <w:r>
        <w:rPr>
          <w:rFonts w:ascii="Arial" w:hAnsi="Arial" w:eastAsia="等线" w:cs="Arial"/>
          <w:sz w:val="22"/>
        </w:rPr>
        <w:t>A. 可合并录入简化操作</w:t>
      </w:r>
      <w:r>
        <w:rPr>
          <w:rFonts w:ascii="Arial" w:hAnsi="Arial" w:eastAsia="等线" w:cs="Arial"/>
          <w:sz w:val="22"/>
        </w:rPr>
        <w:br w:type="textWrapping"/>
      </w:r>
      <w:r>
        <w:rPr>
          <w:rFonts w:ascii="Arial" w:hAnsi="Arial" w:eastAsia="等线" w:cs="Arial"/>
          <w:sz w:val="22"/>
        </w:rPr>
        <w:t>B. 原则上不允许合并录入</w:t>
      </w:r>
      <w:r>
        <w:rPr>
          <w:rFonts w:ascii="Arial" w:hAnsi="Arial" w:eastAsia="等线" w:cs="Arial"/>
          <w:sz w:val="22"/>
        </w:rPr>
        <w:br w:type="textWrapping"/>
      </w:r>
      <w:r>
        <w:rPr>
          <w:rFonts w:ascii="Arial" w:hAnsi="Arial" w:eastAsia="等线" w:cs="Arial"/>
          <w:sz w:val="22"/>
        </w:rPr>
        <w:t>C. 金额小于 1000 元可合并</w:t>
      </w:r>
      <w:r>
        <w:rPr>
          <w:rFonts w:ascii="Arial" w:hAnsi="Arial" w:eastAsia="等线" w:cs="Arial"/>
          <w:sz w:val="22"/>
        </w:rPr>
        <w:br w:type="textWrapping"/>
      </w:r>
      <w:r>
        <w:rPr>
          <w:rFonts w:ascii="Arial" w:hAnsi="Arial" w:eastAsia="等线" w:cs="Arial"/>
          <w:sz w:val="22"/>
        </w:rPr>
        <w:t>D. 同一供应商可合并录入</w:t>
      </w:r>
      <w:r>
        <w:rPr>
          <w:rFonts w:ascii="Arial" w:hAnsi="Arial" w:eastAsia="等线" w:cs="Arial"/>
          <w:sz w:val="22"/>
        </w:rPr>
        <w:br w:type="textWrapping"/>
      </w:r>
      <w:r>
        <w:rPr>
          <w:rFonts w:ascii="Arial" w:hAnsi="Arial" w:eastAsia="等线" w:cs="Arial"/>
          <w:b/>
          <w:sz w:val="22"/>
        </w:rPr>
        <w:t>答案：B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：规范备注第 2 条明确：原则上，不允许将多笔调差项目进行合并录入。</w:t>
      </w:r>
    </w:p>
    <w:p w14:paraId="7F0B8287">
      <w:pPr>
        <w:spacing w:before="320" w:after="120" w:line="288" w:lineRule="auto"/>
        <w:ind w:left="0"/>
        <w:jc w:val="left"/>
        <w:outlineLvl w:val="1"/>
      </w:pPr>
      <w:bookmarkStart w:id="1" w:name="heading_1"/>
      <w:r>
        <w:rPr>
          <w:rFonts w:ascii="Arial" w:hAnsi="Arial" w:eastAsia="等线" w:cs="Arial"/>
          <w:b/>
          <w:sz w:val="32"/>
        </w:rPr>
        <w:t>二、多项选择题（共 8 道）</w:t>
      </w:r>
      <w:bookmarkEnd w:id="1"/>
    </w:p>
    <w:p w14:paraId="43D8346E">
      <w:pPr>
        <w:numPr>
          <w:ilvl w:val="0"/>
          <w:numId w:val="11"/>
        </w:numPr>
        <w:spacing w:before="120" w:after="120" w:line="288" w:lineRule="auto"/>
        <w:ind w:left="0"/>
        <w:jc w:val="left"/>
      </w:pPr>
      <w:r>
        <w:rPr>
          <w:rFonts w:ascii="Arial" w:hAnsi="Arial" w:eastAsia="等线" w:cs="Arial"/>
          <w:sz w:val="22"/>
        </w:rPr>
        <w:t>调差项 “利息” 包含的资金成本类型有（）</w:t>
      </w:r>
      <w:r>
        <w:rPr>
          <w:rFonts w:ascii="Arial" w:hAnsi="Arial" w:eastAsia="等线" w:cs="Arial"/>
          <w:sz w:val="22"/>
        </w:rPr>
        <w:br w:type="textWrapping"/>
      </w:r>
      <w:r>
        <w:rPr>
          <w:rFonts w:ascii="Arial" w:hAnsi="Arial" w:eastAsia="等线" w:cs="Arial"/>
          <w:sz w:val="22"/>
        </w:rPr>
        <w:t>A. 垫资利息</w:t>
      </w:r>
      <w:r>
        <w:rPr>
          <w:rFonts w:ascii="Arial" w:hAnsi="Arial" w:eastAsia="等线" w:cs="Arial"/>
          <w:sz w:val="22"/>
        </w:rPr>
        <w:br w:type="textWrapping"/>
      </w:r>
      <w:r>
        <w:rPr>
          <w:rFonts w:ascii="Arial" w:hAnsi="Arial" w:eastAsia="等线" w:cs="Arial"/>
          <w:sz w:val="22"/>
        </w:rPr>
        <w:t>B. 逾期利息</w:t>
      </w:r>
      <w:r>
        <w:rPr>
          <w:rFonts w:ascii="Arial" w:hAnsi="Arial" w:eastAsia="等线" w:cs="Arial"/>
          <w:sz w:val="22"/>
        </w:rPr>
        <w:br w:type="textWrapping"/>
      </w:r>
      <w:r>
        <w:rPr>
          <w:rFonts w:ascii="Arial" w:hAnsi="Arial" w:eastAsia="等线" w:cs="Arial"/>
          <w:sz w:val="22"/>
        </w:rPr>
        <w:t>C. 钢筋垫资利息</w:t>
      </w:r>
      <w:r>
        <w:rPr>
          <w:rFonts w:ascii="Arial" w:hAnsi="Arial" w:eastAsia="等线" w:cs="Arial"/>
          <w:sz w:val="22"/>
        </w:rPr>
        <w:br w:type="textWrapping"/>
      </w:r>
      <w:r>
        <w:rPr>
          <w:rFonts w:ascii="Arial" w:hAnsi="Arial" w:eastAsia="等线" w:cs="Arial"/>
          <w:sz w:val="22"/>
        </w:rPr>
        <w:t>D. 混凝土逾期违约金</w:t>
      </w:r>
    </w:p>
    <w:p w14:paraId="33611F72">
      <w:pPr>
        <w:numPr>
          <w:numId w:val="0"/>
        </w:numPr>
        <w:spacing w:before="120" w:after="120" w:line="288" w:lineRule="auto"/>
        <w:jc w:val="left"/>
      </w:pPr>
      <w:r>
        <w:rPr>
          <w:rFonts w:hint="eastAsia" w:ascii="Arial" w:hAnsi="Arial" w:eastAsia="等线" w:cs="Arial"/>
          <w:color w:val="0000FF"/>
          <w:sz w:val="22"/>
          <w:lang w:val="en-US" w:eastAsia="zh-CN"/>
        </w:rPr>
        <w:t>E.诉讼费</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：利息包含垫资、逾期利息；钢筋利息属于专项利息，同样归属于利息类资金成本；D</w:t>
      </w:r>
      <w:r>
        <w:rPr>
          <w:rFonts w:hint="eastAsia" w:ascii="Arial" w:hAnsi="Arial" w:eastAsia="等线" w:cs="Arial"/>
          <w:sz w:val="22"/>
          <w:lang w:val="en-US" w:eastAsia="zh-CN"/>
        </w:rPr>
        <w:t>E</w:t>
      </w:r>
      <w:r>
        <w:rPr>
          <w:rFonts w:ascii="Arial" w:hAnsi="Arial" w:eastAsia="等线" w:cs="Arial"/>
          <w:sz w:val="22"/>
        </w:rPr>
        <w:t xml:space="preserve"> 属于违约金范畴。</w:t>
      </w:r>
    </w:p>
    <w:p w14:paraId="2D7522AA">
      <w:pPr>
        <w:numPr>
          <w:ilvl w:val="0"/>
          <w:numId w:val="12"/>
        </w:numPr>
        <w:spacing w:before="120" w:after="120" w:line="288" w:lineRule="auto"/>
        <w:ind w:left="0"/>
        <w:jc w:val="left"/>
      </w:pPr>
      <w:r>
        <w:rPr>
          <w:rFonts w:ascii="Arial" w:hAnsi="Arial" w:eastAsia="等线" w:cs="Arial"/>
          <w:sz w:val="22"/>
        </w:rPr>
        <w:t>调差项 “错误冲销” 适用场景包含（）</w:t>
      </w:r>
      <w:r>
        <w:rPr>
          <w:rFonts w:ascii="Arial" w:hAnsi="Arial" w:eastAsia="等线" w:cs="Arial"/>
          <w:sz w:val="22"/>
        </w:rPr>
        <w:br w:type="textWrapping"/>
      </w:r>
      <w:r>
        <w:rPr>
          <w:rFonts w:ascii="Arial" w:hAnsi="Arial" w:eastAsia="等线" w:cs="Arial"/>
          <w:sz w:val="22"/>
        </w:rPr>
        <w:t>A. 小数点运算造成数据偏差更正</w:t>
      </w:r>
      <w:r>
        <w:rPr>
          <w:rFonts w:ascii="Arial" w:hAnsi="Arial" w:eastAsia="等线" w:cs="Arial"/>
          <w:sz w:val="22"/>
        </w:rPr>
        <w:br w:type="textWrapping"/>
      </w:r>
      <w:r>
        <w:rPr>
          <w:rFonts w:ascii="Arial" w:hAnsi="Arial" w:eastAsia="等线" w:cs="Arial"/>
          <w:sz w:val="22"/>
        </w:rPr>
        <w:t>B. 前期入库单信息录入错误冲销</w:t>
      </w:r>
      <w:r>
        <w:rPr>
          <w:rFonts w:ascii="Arial" w:hAnsi="Arial" w:eastAsia="等线" w:cs="Arial"/>
          <w:sz w:val="22"/>
        </w:rPr>
        <w:br w:type="textWrapping"/>
      </w:r>
      <w:r>
        <w:rPr>
          <w:rFonts w:ascii="Arial" w:hAnsi="Arial" w:eastAsia="等线" w:cs="Arial"/>
          <w:sz w:val="22"/>
        </w:rPr>
        <w:t>C. 往期结算单核算错误更正</w:t>
      </w:r>
      <w:r>
        <w:rPr>
          <w:rFonts w:ascii="Arial" w:hAnsi="Arial" w:eastAsia="等线" w:cs="Arial"/>
          <w:sz w:val="22"/>
        </w:rPr>
        <w:br w:type="textWrapping"/>
      </w:r>
      <w:r>
        <w:rPr>
          <w:rFonts w:ascii="Arial" w:hAnsi="Arial" w:eastAsia="等线" w:cs="Arial"/>
          <w:sz w:val="22"/>
        </w:rPr>
        <w:t>D. 材料价格上涨产生金额调整</w:t>
      </w:r>
    </w:p>
    <w:p w14:paraId="7F4E942B">
      <w:pPr>
        <w:numPr>
          <w:numId w:val="0"/>
        </w:numPr>
        <w:spacing w:before="120" w:after="120" w:line="288" w:lineRule="auto"/>
        <w:jc w:val="left"/>
      </w:pPr>
      <w:r>
        <w:rPr>
          <w:rFonts w:hint="eastAsia" w:ascii="Arial" w:hAnsi="Arial" w:eastAsia="等线" w:cs="Arial"/>
          <w:color w:val="0000FF"/>
          <w:sz w:val="22"/>
          <w:lang w:val="en-US" w:eastAsia="zh-CN"/>
        </w:rPr>
        <w:t>E.</w:t>
      </w:r>
      <w:r>
        <w:rPr>
          <w:rFonts w:ascii="Arial" w:hAnsi="Arial" w:eastAsia="等线" w:cs="Arial"/>
          <w:color w:val="0000FF"/>
          <w:sz w:val="22"/>
        </w:rPr>
        <w:t>逾期违约金</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：错误冲销用于各类数据录入、计算错误更正；D 价格调价属于 “调差” 项</w:t>
      </w:r>
      <w:r>
        <w:rPr>
          <w:rFonts w:hint="eastAsia" w:ascii="Arial" w:hAnsi="Arial" w:eastAsia="等线" w:cs="Arial"/>
          <w:sz w:val="22"/>
          <w:lang w:eastAsia="zh-CN"/>
        </w:rPr>
        <w:t>；</w:t>
      </w:r>
      <w:r>
        <w:rPr>
          <w:rFonts w:hint="eastAsia" w:ascii="Arial" w:hAnsi="Arial" w:eastAsia="等线" w:cs="Arial"/>
          <w:sz w:val="22"/>
          <w:lang w:val="en-US" w:eastAsia="zh-CN"/>
        </w:rPr>
        <w:t>E违约金范畴</w:t>
      </w:r>
      <w:r>
        <w:rPr>
          <w:rFonts w:ascii="Arial" w:hAnsi="Arial" w:eastAsia="等线" w:cs="Arial"/>
          <w:sz w:val="22"/>
        </w:rPr>
        <w:t>。</w:t>
      </w:r>
    </w:p>
    <w:p w14:paraId="60EC8D53">
      <w:pPr>
        <w:numPr>
          <w:ilvl w:val="0"/>
          <w:numId w:val="13"/>
        </w:numPr>
        <w:spacing w:before="120" w:after="120" w:line="288" w:lineRule="auto"/>
        <w:ind w:left="0"/>
        <w:jc w:val="left"/>
      </w:pPr>
      <w:r>
        <w:rPr>
          <w:rFonts w:ascii="Arial" w:hAnsi="Arial" w:eastAsia="等线" w:cs="Arial"/>
          <w:sz w:val="22"/>
        </w:rPr>
        <w:t>调差项 “调差” 分为哪两类调整场景（）</w:t>
      </w:r>
      <w:r>
        <w:rPr>
          <w:rFonts w:ascii="Arial" w:hAnsi="Arial" w:eastAsia="等线" w:cs="Arial"/>
          <w:sz w:val="22"/>
        </w:rPr>
        <w:br w:type="textWrapping"/>
      </w:r>
      <w:r>
        <w:rPr>
          <w:rFonts w:ascii="Arial" w:hAnsi="Arial" w:eastAsia="等线" w:cs="Arial"/>
          <w:sz w:val="22"/>
        </w:rPr>
        <w:t>A. 金额调差</w:t>
      </w:r>
      <w:r>
        <w:rPr>
          <w:rFonts w:ascii="Arial" w:hAnsi="Arial" w:eastAsia="等线" w:cs="Arial"/>
          <w:sz w:val="22"/>
        </w:rPr>
        <w:br w:type="textWrapping"/>
      </w:r>
      <w:r>
        <w:rPr>
          <w:rFonts w:ascii="Arial" w:hAnsi="Arial" w:eastAsia="等线" w:cs="Arial"/>
          <w:sz w:val="22"/>
        </w:rPr>
        <w:t>B. 数量调差</w:t>
      </w:r>
      <w:r>
        <w:rPr>
          <w:rFonts w:ascii="Arial" w:hAnsi="Arial" w:eastAsia="等线" w:cs="Arial"/>
          <w:sz w:val="22"/>
        </w:rPr>
        <w:br w:type="textWrapping"/>
      </w:r>
      <w:r>
        <w:rPr>
          <w:rFonts w:ascii="Arial" w:hAnsi="Arial" w:eastAsia="等线" w:cs="Arial"/>
          <w:sz w:val="22"/>
        </w:rPr>
        <w:t>C. 利息调差</w:t>
      </w:r>
      <w:r>
        <w:rPr>
          <w:rFonts w:ascii="Arial" w:hAnsi="Arial" w:eastAsia="等线" w:cs="Arial"/>
          <w:sz w:val="22"/>
        </w:rPr>
        <w:br w:type="textWrapping"/>
      </w:r>
      <w:r>
        <w:rPr>
          <w:rFonts w:ascii="Arial" w:hAnsi="Arial" w:eastAsia="等线" w:cs="Arial"/>
          <w:sz w:val="22"/>
        </w:rPr>
        <w:t>D. 期初余额调差</w:t>
      </w:r>
    </w:p>
    <w:p w14:paraId="69416492">
      <w:pPr>
        <w:numPr>
          <w:numId w:val="0"/>
        </w:numPr>
        <w:spacing w:before="120" w:after="120" w:line="288" w:lineRule="auto"/>
        <w:jc w:val="left"/>
      </w:pPr>
      <w:r>
        <w:rPr>
          <w:rFonts w:hint="eastAsia" w:ascii="Arial" w:hAnsi="Arial" w:eastAsia="等线" w:cs="Arial"/>
          <w:color w:val="0000FF"/>
          <w:sz w:val="22"/>
          <w:lang w:val="en-US" w:eastAsia="zh-CN"/>
        </w:rPr>
        <w:t>E.违约调差</w:t>
      </w:r>
      <w:r>
        <w:rPr>
          <w:rFonts w:ascii="Arial" w:hAnsi="Arial" w:eastAsia="等线" w:cs="Arial"/>
          <w:sz w:val="22"/>
        </w:rPr>
        <w:br w:type="textWrapping"/>
      </w:r>
      <w:r>
        <w:rPr>
          <w:rFonts w:ascii="Arial" w:hAnsi="Arial" w:eastAsia="等线" w:cs="Arial"/>
          <w:b/>
          <w:sz w:val="22"/>
        </w:rPr>
        <w:t>答案：AB</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：调差分为金额调差（材料价格调价）、数量调差（图纸结算、过磅数量调整）。</w:t>
      </w:r>
    </w:p>
    <w:p w14:paraId="465A1A8B">
      <w:pPr>
        <w:numPr>
          <w:ilvl w:val="0"/>
          <w:numId w:val="14"/>
        </w:numPr>
        <w:spacing w:before="120" w:after="120" w:line="288" w:lineRule="auto"/>
        <w:ind w:left="0"/>
        <w:jc w:val="left"/>
      </w:pPr>
      <w:r>
        <w:rPr>
          <w:rFonts w:ascii="Arial" w:hAnsi="Arial" w:eastAsia="等线" w:cs="Arial"/>
          <w:sz w:val="22"/>
        </w:rPr>
        <w:t>以下属于 “其他费用” 调差范围的有（）</w:t>
      </w:r>
      <w:r>
        <w:rPr>
          <w:rFonts w:ascii="Arial" w:hAnsi="Arial" w:eastAsia="等线" w:cs="Arial"/>
          <w:sz w:val="22"/>
        </w:rPr>
        <w:br w:type="textWrapping"/>
      </w:r>
      <w:r>
        <w:rPr>
          <w:rFonts w:ascii="Arial" w:hAnsi="Arial" w:eastAsia="等线" w:cs="Arial"/>
          <w:sz w:val="22"/>
        </w:rPr>
        <w:t>A. 运输费、卸货费</w:t>
      </w:r>
      <w:r>
        <w:rPr>
          <w:rFonts w:ascii="Arial" w:hAnsi="Arial" w:eastAsia="等线" w:cs="Arial"/>
          <w:sz w:val="22"/>
        </w:rPr>
        <w:br w:type="textWrapping"/>
      </w:r>
      <w:r>
        <w:rPr>
          <w:rFonts w:ascii="Arial" w:hAnsi="Arial" w:eastAsia="等线" w:cs="Arial"/>
          <w:sz w:val="22"/>
        </w:rPr>
        <w:t>B. 复磅费、拆卸安装费</w:t>
      </w:r>
      <w:r>
        <w:rPr>
          <w:rFonts w:ascii="Arial" w:hAnsi="Arial" w:eastAsia="等线" w:cs="Arial"/>
          <w:sz w:val="22"/>
        </w:rPr>
        <w:br w:type="textWrapping"/>
      </w:r>
      <w:r>
        <w:rPr>
          <w:rFonts w:ascii="Arial" w:hAnsi="Arial" w:eastAsia="等线" w:cs="Arial"/>
          <w:sz w:val="22"/>
        </w:rPr>
        <w:t>C. 诉讼费、搬运费</w:t>
      </w:r>
      <w:r>
        <w:rPr>
          <w:rFonts w:ascii="Arial" w:hAnsi="Arial" w:eastAsia="等线" w:cs="Arial"/>
          <w:sz w:val="22"/>
        </w:rPr>
        <w:br w:type="textWrapping"/>
      </w:r>
      <w:r>
        <w:rPr>
          <w:rFonts w:ascii="Arial" w:hAnsi="Arial" w:eastAsia="等线" w:cs="Arial"/>
          <w:sz w:val="22"/>
        </w:rPr>
        <w:t>D. 钢材逾期垫资利息</w:t>
      </w:r>
    </w:p>
    <w:p w14:paraId="5EA8A3FB">
      <w:pPr>
        <w:numPr>
          <w:numId w:val="0"/>
        </w:numPr>
        <w:spacing w:before="120" w:after="120" w:line="288" w:lineRule="auto"/>
        <w:jc w:val="left"/>
      </w:pPr>
      <w:r>
        <w:rPr>
          <w:rFonts w:hint="eastAsia" w:ascii="Arial" w:hAnsi="Arial" w:eastAsia="等线" w:cs="Arial"/>
          <w:color w:val="0000FF"/>
          <w:sz w:val="22"/>
          <w:lang w:val="en-US" w:eastAsia="zh-CN"/>
        </w:rPr>
        <w:t>E.逾期利息</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：运输、装卸、复磅、诉讼、拆装搬运均属于其他费用；D</w:t>
      </w:r>
      <w:r>
        <w:rPr>
          <w:rFonts w:hint="eastAsia" w:ascii="Arial" w:hAnsi="Arial" w:eastAsia="等线" w:cs="Arial"/>
          <w:sz w:val="22"/>
          <w:lang w:val="en-US" w:eastAsia="zh-CN"/>
        </w:rPr>
        <w:t>E</w:t>
      </w:r>
      <w:r>
        <w:rPr>
          <w:rFonts w:ascii="Arial" w:hAnsi="Arial" w:eastAsia="等线" w:cs="Arial"/>
          <w:sz w:val="22"/>
        </w:rPr>
        <w:t xml:space="preserve"> 钢筋利息属于利息类调差。</w:t>
      </w:r>
    </w:p>
    <w:p w14:paraId="57D0F13D">
      <w:pPr>
        <w:numPr>
          <w:ilvl w:val="0"/>
          <w:numId w:val="15"/>
        </w:numPr>
        <w:spacing w:before="120" w:after="120" w:line="288" w:lineRule="auto"/>
        <w:ind w:left="0"/>
        <w:jc w:val="left"/>
      </w:pPr>
      <w:r>
        <w:rPr>
          <w:rFonts w:ascii="Arial" w:hAnsi="Arial" w:eastAsia="等线" w:cs="Arial"/>
          <w:sz w:val="22"/>
        </w:rPr>
        <w:t>调差项 “减免” 的触发原因包含（）</w:t>
      </w:r>
      <w:r>
        <w:rPr>
          <w:rFonts w:ascii="Arial" w:hAnsi="Arial" w:eastAsia="等线" w:cs="Arial"/>
          <w:sz w:val="22"/>
        </w:rPr>
        <w:br w:type="textWrapping"/>
      </w:r>
      <w:r>
        <w:rPr>
          <w:rFonts w:ascii="Arial" w:hAnsi="Arial" w:eastAsia="等线" w:cs="Arial"/>
          <w:sz w:val="22"/>
        </w:rPr>
        <w:t>A. 结算抹零</w:t>
      </w:r>
      <w:r>
        <w:rPr>
          <w:rFonts w:ascii="Arial" w:hAnsi="Arial" w:eastAsia="等线" w:cs="Arial"/>
          <w:sz w:val="22"/>
        </w:rPr>
        <w:br w:type="textWrapping"/>
      </w:r>
      <w:r>
        <w:rPr>
          <w:rFonts w:ascii="Arial" w:hAnsi="Arial" w:eastAsia="等线" w:cs="Arial"/>
          <w:sz w:val="22"/>
        </w:rPr>
        <w:t>B. 商业折扣、年度返利</w:t>
      </w:r>
      <w:r>
        <w:rPr>
          <w:rFonts w:ascii="Arial" w:hAnsi="Arial" w:eastAsia="等线" w:cs="Arial"/>
          <w:sz w:val="22"/>
        </w:rPr>
        <w:br w:type="textWrapping"/>
      </w:r>
      <w:r>
        <w:rPr>
          <w:rFonts w:ascii="Arial" w:hAnsi="Arial" w:eastAsia="等线" w:cs="Arial"/>
          <w:sz w:val="22"/>
        </w:rPr>
        <w:t>C. 材料质量补偿</w:t>
      </w:r>
      <w:r>
        <w:rPr>
          <w:rFonts w:ascii="Arial" w:hAnsi="Arial" w:eastAsia="等线" w:cs="Arial"/>
          <w:sz w:val="22"/>
        </w:rPr>
        <w:br w:type="textWrapping"/>
      </w:r>
      <w:r>
        <w:rPr>
          <w:rFonts w:ascii="Arial" w:hAnsi="Arial" w:eastAsia="等线" w:cs="Arial"/>
          <w:sz w:val="22"/>
        </w:rPr>
        <w:t>D. 供应商逾期交货罚款</w:t>
      </w:r>
    </w:p>
    <w:p w14:paraId="135E0CB2">
      <w:pPr>
        <w:numPr>
          <w:numId w:val="0"/>
        </w:numPr>
        <w:spacing w:before="120" w:after="120" w:line="288" w:lineRule="auto"/>
        <w:jc w:val="left"/>
      </w:pPr>
      <w:r>
        <w:rPr>
          <w:rFonts w:hint="eastAsia" w:ascii="Arial" w:hAnsi="Arial" w:eastAsia="等线" w:cs="Arial"/>
          <w:color w:val="0000FF"/>
          <w:sz w:val="22"/>
          <w:lang w:val="en-US" w:eastAsia="zh-CN"/>
        </w:rPr>
        <w:t>E.材料不及时签收产生的运费</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：抹零、折扣返利、质量补偿属于减免；D 逾期罚款属于违约金</w:t>
      </w:r>
      <w:r>
        <w:rPr>
          <w:rFonts w:hint="eastAsia" w:ascii="Arial" w:hAnsi="Arial" w:eastAsia="等线" w:cs="Arial"/>
          <w:sz w:val="22"/>
          <w:lang w:eastAsia="zh-CN"/>
        </w:rPr>
        <w:t>；</w:t>
      </w:r>
      <w:r>
        <w:rPr>
          <w:rFonts w:hint="eastAsia" w:ascii="Arial" w:hAnsi="Arial" w:eastAsia="等线" w:cs="Arial"/>
          <w:sz w:val="22"/>
          <w:lang w:val="en-US" w:eastAsia="zh-CN"/>
        </w:rPr>
        <w:t>E属于其他费用</w:t>
      </w:r>
      <w:r>
        <w:rPr>
          <w:rFonts w:ascii="Arial" w:hAnsi="Arial" w:eastAsia="等线" w:cs="Arial"/>
          <w:sz w:val="22"/>
        </w:rPr>
        <w:t>。</w:t>
      </w:r>
    </w:p>
    <w:p w14:paraId="3215E08B">
      <w:pPr>
        <w:numPr>
          <w:ilvl w:val="0"/>
          <w:numId w:val="16"/>
        </w:numPr>
        <w:spacing w:before="120" w:after="120" w:line="288" w:lineRule="auto"/>
        <w:ind w:left="0"/>
        <w:jc w:val="left"/>
      </w:pPr>
      <w:r>
        <w:rPr>
          <w:rFonts w:ascii="Arial" w:hAnsi="Arial" w:eastAsia="等线" w:cs="Arial"/>
          <w:sz w:val="22"/>
        </w:rPr>
        <w:t>下列关于调差备注格式要求说法正确的有（）</w:t>
      </w:r>
      <w:r>
        <w:rPr>
          <w:rFonts w:ascii="Arial" w:hAnsi="Arial" w:eastAsia="等线" w:cs="Arial"/>
          <w:sz w:val="22"/>
        </w:rPr>
        <w:br w:type="textWrapping"/>
      </w:r>
      <w:r>
        <w:rPr>
          <w:rFonts w:ascii="Arial" w:hAnsi="Arial" w:eastAsia="等线" w:cs="Arial"/>
          <w:sz w:val="22"/>
        </w:rPr>
        <w:t>A. 利息备注需注明计息期间：年月日 - 年月日</w:t>
      </w:r>
      <w:r>
        <w:rPr>
          <w:rFonts w:ascii="Arial" w:hAnsi="Arial" w:eastAsia="等线" w:cs="Arial"/>
          <w:sz w:val="22"/>
        </w:rPr>
        <w:br w:type="textWrapping"/>
      </w:r>
      <w:r>
        <w:rPr>
          <w:rFonts w:ascii="Arial" w:hAnsi="Arial" w:eastAsia="等线" w:cs="Arial"/>
          <w:sz w:val="22"/>
        </w:rPr>
        <w:t>B. 违约金备注需说明违约事由</w:t>
      </w:r>
      <w:r>
        <w:rPr>
          <w:rFonts w:ascii="Arial" w:hAnsi="Arial" w:eastAsia="等线" w:cs="Arial"/>
          <w:sz w:val="22"/>
        </w:rPr>
        <w:br w:type="textWrapping"/>
      </w:r>
      <w:r>
        <w:rPr>
          <w:rFonts w:ascii="Arial" w:hAnsi="Arial" w:eastAsia="等线" w:cs="Arial"/>
          <w:sz w:val="22"/>
        </w:rPr>
        <w:t>C. 减免备注需说明减免原因或依据</w:t>
      </w:r>
      <w:r>
        <w:rPr>
          <w:rFonts w:ascii="Arial" w:hAnsi="Arial" w:eastAsia="等线" w:cs="Arial"/>
          <w:sz w:val="22"/>
        </w:rPr>
        <w:br w:type="textWrapping"/>
      </w:r>
      <w:r>
        <w:rPr>
          <w:rFonts w:ascii="Arial" w:hAnsi="Arial" w:eastAsia="等线" w:cs="Arial"/>
          <w:sz w:val="22"/>
        </w:rPr>
        <w:t>D. 调差备注只需填写调整周期，无需原因</w:t>
      </w:r>
    </w:p>
    <w:p w14:paraId="6E30AAF8">
      <w:pPr>
        <w:numPr>
          <w:numId w:val="0"/>
        </w:numPr>
        <w:spacing w:before="120" w:after="120" w:line="288" w:lineRule="auto"/>
        <w:jc w:val="left"/>
      </w:pPr>
      <w:r>
        <w:rPr>
          <w:rFonts w:hint="eastAsia" w:ascii="Arial" w:hAnsi="Arial" w:eastAsia="等线" w:cs="Arial"/>
          <w:color w:val="0000FF"/>
          <w:sz w:val="22"/>
          <w:lang w:val="en-US" w:eastAsia="zh-CN"/>
        </w:rPr>
        <w:t>E.调差备注空着不填</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 xml:space="preserve">：调差项 “调差” 备注格式要求填写调整周期 + 调整原因 / 依据，D </w:t>
      </w:r>
      <w:r>
        <w:rPr>
          <w:rFonts w:hint="eastAsia" w:ascii="Arial" w:hAnsi="Arial" w:eastAsia="等线" w:cs="Arial"/>
          <w:sz w:val="22"/>
          <w:lang w:val="en-US" w:eastAsia="zh-CN"/>
        </w:rPr>
        <w:t>E</w:t>
      </w:r>
      <w:r>
        <w:rPr>
          <w:rFonts w:ascii="Arial" w:hAnsi="Arial" w:eastAsia="等线" w:cs="Arial"/>
          <w:sz w:val="22"/>
        </w:rPr>
        <w:t>说法错误。</w:t>
      </w:r>
    </w:p>
    <w:p w14:paraId="217DB320">
      <w:pPr>
        <w:numPr>
          <w:ilvl w:val="0"/>
          <w:numId w:val="17"/>
        </w:numPr>
        <w:spacing w:before="120" w:after="120" w:line="288" w:lineRule="auto"/>
        <w:ind w:left="0"/>
        <w:jc w:val="left"/>
      </w:pPr>
      <w:r>
        <w:rPr>
          <w:rFonts w:ascii="Arial" w:hAnsi="Arial" w:eastAsia="等线" w:cs="Arial"/>
          <w:sz w:val="22"/>
        </w:rPr>
        <w:t>错误冲销针对不同单据，规范提供的备注格式包含（）</w:t>
      </w:r>
      <w:r>
        <w:rPr>
          <w:rFonts w:ascii="Arial" w:hAnsi="Arial" w:eastAsia="等线" w:cs="Arial"/>
          <w:sz w:val="22"/>
        </w:rPr>
        <w:br w:type="textWrapping"/>
      </w:r>
      <w:r>
        <w:rPr>
          <w:rFonts w:ascii="Arial" w:hAnsi="Arial" w:eastAsia="等线" w:cs="Arial"/>
          <w:sz w:val="22"/>
        </w:rPr>
        <w:t>A. 冲销小数点，截至年月日</w:t>
      </w:r>
      <w:r>
        <w:rPr>
          <w:rFonts w:ascii="Arial" w:hAnsi="Arial" w:eastAsia="等线" w:cs="Arial"/>
          <w:sz w:val="22"/>
        </w:rPr>
        <w:br w:type="textWrapping"/>
      </w:r>
      <w:r>
        <w:rPr>
          <w:rFonts w:ascii="Arial" w:hAnsi="Arial" w:eastAsia="等线" w:cs="Arial"/>
          <w:sz w:val="22"/>
        </w:rPr>
        <w:t>B. 错误冲销，XX 时间段入库单 XXX 错误（附清单）</w:t>
      </w:r>
      <w:r>
        <w:rPr>
          <w:rFonts w:ascii="Arial" w:hAnsi="Arial" w:eastAsia="等线" w:cs="Arial"/>
          <w:sz w:val="22"/>
        </w:rPr>
        <w:br w:type="textWrapping"/>
      </w:r>
      <w:r>
        <w:rPr>
          <w:rFonts w:ascii="Arial" w:hAnsi="Arial" w:eastAsia="等线" w:cs="Arial"/>
          <w:sz w:val="22"/>
        </w:rPr>
        <w:t>C. 错误冲销，XX 日期结算单（单号），注明错误原因</w:t>
      </w:r>
      <w:r>
        <w:rPr>
          <w:rFonts w:ascii="Arial" w:hAnsi="Arial" w:eastAsia="等线" w:cs="Arial"/>
          <w:sz w:val="22"/>
        </w:rPr>
        <w:br w:type="textWrapping"/>
      </w:r>
      <w:r>
        <w:rPr>
          <w:rFonts w:ascii="Arial" w:hAnsi="Arial" w:eastAsia="等线" w:cs="Arial"/>
          <w:sz w:val="22"/>
        </w:rPr>
        <w:t>D. 冲销价格差异，调价周期 XX-XX</w:t>
      </w:r>
    </w:p>
    <w:p w14:paraId="250E415F">
      <w:pPr>
        <w:numPr>
          <w:numId w:val="0"/>
        </w:numPr>
        <w:spacing w:before="120" w:after="120" w:line="288" w:lineRule="auto"/>
        <w:jc w:val="left"/>
      </w:pPr>
      <w:r>
        <w:rPr>
          <w:rFonts w:hint="eastAsia" w:ascii="Arial" w:hAnsi="Arial" w:eastAsia="等线" w:cs="Arial"/>
          <w:color w:val="0000FF"/>
          <w:sz w:val="22"/>
          <w:lang w:val="en-US" w:eastAsia="zh-CN"/>
        </w:rPr>
        <w:t>E.空着不填</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：D 价格差异调价属于 “调差” 备注格式，不属于错误冲销格式。</w:t>
      </w:r>
    </w:p>
    <w:p w14:paraId="6DF10D2D">
      <w:pPr>
        <w:numPr>
          <w:ilvl w:val="0"/>
          <w:numId w:val="18"/>
        </w:numPr>
        <w:spacing w:before="120" w:after="120" w:line="288" w:lineRule="auto"/>
        <w:ind w:left="0"/>
        <w:jc w:val="left"/>
      </w:pPr>
      <w:r>
        <w:rPr>
          <w:rFonts w:ascii="Arial" w:hAnsi="Arial" w:eastAsia="等线" w:cs="Arial"/>
          <w:sz w:val="22"/>
        </w:rPr>
        <w:t>以下说法符合结算调差规范要求的是（）</w:t>
      </w:r>
      <w:r>
        <w:rPr>
          <w:rFonts w:ascii="Arial" w:hAnsi="Arial" w:eastAsia="等线" w:cs="Arial"/>
          <w:sz w:val="22"/>
        </w:rPr>
        <w:br w:type="textWrapping"/>
      </w:r>
      <w:r>
        <w:rPr>
          <w:rFonts w:ascii="Arial" w:hAnsi="Arial" w:eastAsia="等线" w:cs="Arial"/>
          <w:sz w:val="22"/>
        </w:rPr>
        <w:t>A. 调差必须选择对应正确调差项并备注说明</w:t>
      </w:r>
      <w:r>
        <w:rPr>
          <w:rFonts w:ascii="Arial" w:hAnsi="Arial" w:eastAsia="等线" w:cs="Arial"/>
          <w:sz w:val="22"/>
        </w:rPr>
        <w:br w:type="textWrapping"/>
      </w:r>
      <w:r>
        <w:rPr>
          <w:rFonts w:ascii="Arial" w:hAnsi="Arial" w:eastAsia="等线" w:cs="Arial"/>
          <w:sz w:val="22"/>
        </w:rPr>
        <w:t>B. 承包制项目可使用 “材料款” 调差项</w:t>
      </w:r>
      <w:r>
        <w:rPr>
          <w:rFonts w:ascii="Arial" w:hAnsi="Arial" w:eastAsia="等线" w:cs="Arial"/>
          <w:sz w:val="22"/>
        </w:rPr>
        <w:br w:type="textWrapping"/>
      </w:r>
      <w:r>
        <w:rPr>
          <w:rFonts w:ascii="Arial" w:hAnsi="Arial" w:eastAsia="等线" w:cs="Arial"/>
          <w:sz w:val="22"/>
        </w:rPr>
        <w:t>C. 直营项目禁止使用 “材料款” 调差项</w:t>
      </w:r>
      <w:r>
        <w:rPr>
          <w:rFonts w:ascii="Arial" w:hAnsi="Arial" w:eastAsia="等线" w:cs="Arial"/>
          <w:sz w:val="22"/>
        </w:rPr>
        <w:br w:type="textWrapping"/>
      </w:r>
      <w:r>
        <w:rPr>
          <w:rFonts w:ascii="Arial" w:hAnsi="Arial" w:eastAsia="等线" w:cs="Arial"/>
          <w:sz w:val="22"/>
        </w:rPr>
        <w:t>D. 多笔小额调差可合并录入系统</w:t>
      </w:r>
    </w:p>
    <w:p w14:paraId="0941AEF2">
      <w:pPr>
        <w:numPr>
          <w:numId w:val="0"/>
        </w:numPr>
        <w:spacing w:before="120" w:after="120" w:line="288" w:lineRule="auto"/>
        <w:jc w:val="left"/>
      </w:pPr>
      <w:r>
        <w:rPr>
          <w:rFonts w:hint="eastAsia" w:ascii="Arial" w:hAnsi="Arial" w:eastAsia="等线" w:cs="Arial"/>
          <w:color w:val="0000FF"/>
          <w:sz w:val="22"/>
          <w:lang w:val="en-US" w:eastAsia="zh-CN"/>
        </w:rPr>
        <w:t>E.有调差不使用调差</w:t>
      </w:r>
      <w:r>
        <w:rPr>
          <w:rFonts w:ascii="Arial" w:hAnsi="Arial" w:eastAsia="等线" w:cs="Arial"/>
          <w:sz w:val="22"/>
        </w:rPr>
        <w:br w:type="textWrapping"/>
      </w:r>
      <w:r>
        <w:rPr>
          <w:rFonts w:ascii="Arial" w:hAnsi="Arial" w:eastAsia="等线" w:cs="Arial"/>
          <w:b/>
          <w:sz w:val="22"/>
        </w:rPr>
        <w:t>答案：ABC</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 xml:space="preserve">：规范禁止多笔调差合并录入，D </w:t>
      </w:r>
      <w:r>
        <w:rPr>
          <w:rFonts w:hint="eastAsia" w:ascii="Arial" w:hAnsi="Arial" w:eastAsia="等线" w:cs="Arial"/>
          <w:sz w:val="22"/>
          <w:lang w:val="en-US" w:eastAsia="zh-CN"/>
        </w:rPr>
        <w:t>E</w:t>
      </w:r>
      <w:r>
        <w:rPr>
          <w:rFonts w:ascii="Arial" w:hAnsi="Arial" w:eastAsia="等线" w:cs="Arial"/>
          <w:sz w:val="22"/>
        </w:rPr>
        <w:t>错误；ABC 均为原文规定。</w:t>
      </w:r>
      <w:bookmarkStart w:id="4" w:name="_GoBack"/>
      <w:bookmarkEnd w:id="4"/>
    </w:p>
    <w:p w14:paraId="5267E92D">
      <w:pPr>
        <w:spacing w:before="320" w:after="120" w:line="288" w:lineRule="auto"/>
        <w:ind w:left="0"/>
        <w:jc w:val="left"/>
        <w:outlineLvl w:val="1"/>
      </w:pPr>
      <w:bookmarkStart w:id="2" w:name="heading_2"/>
      <w:r>
        <w:rPr>
          <w:rFonts w:ascii="Arial" w:hAnsi="Arial" w:eastAsia="等线" w:cs="Arial"/>
          <w:b/>
          <w:sz w:val="32"/>
        </w:rPr>
        <w:t>三、判断题（共 12 道，正确√，错误 ×）</w:t>
      </w:r>
      <w:bookmarkEnd w:id="2"/>
    </w:p>
    <w:p w14:paraId="2B6CF7D9">
      <w:pPr>
        <w:numPr>
          <w:ilvl w:val="0"/>
          <w:numId w:val="19"/>
        </w:numPr>
        <w:spacing w:before="120" w:after="120" w:line="288" w:lineRule="auto"/>
        <w:ind w:left="0"/>
        <w:jc w:val="left"/>
      </w:pPr>
      <w:r>
        <w:rPr>
          <w:rFonts w:ascii="Arial" w:hAnsi="Arial" w:eastAsia="等线" w:cs="Arial"/>
          <w:sz w:val="22"/>
        </w:rPr>
        <w:t>钢筋利息调差项可用于水泥、砂石等所有建材逾期垫资利息核算。（）</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：钢筋利息为专项调差项，仅适用于钢材品类，其他材料利息使用通用 “利息” 项。</w:t>
      </w:r>
    </w:p>
    <w:p w14:paraId="742C421C">
      <w:pPr>
        <w:numPr>
          <w:ilvl w:val="0"/>
          <w:numId w:val="20"/>
        </w:numPr>
        <w:spacing w:before="120" w:after="120" w:line="288" w:lineRule="auto"/>
        <w:ind w:left="0"/>
        <w:jc w:val="left"/>
      </w:pPr>
      <w:r>
        <w:rPr>
          <w:rFonts w:ascii="Arial" w:hAnsi="Arial" w:eastAsia="等线" w:cs="Arial"/>
          <w:sz w:val="22"/>
        </w:rPr>
        <w:t>承包制项目可以使用 “材料款” 调差项，直营项目不允许使用。（）</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：规范第 8 条明确材料款仅限承包制项目，直营项目严禁使用。</w:t>
      </w:r>
    </w:p>
    <w:p w14:paraId="4C94AEF7">
      <w:pPr>
        <w:numPr>
          <w:ilvl w:val="0"/>
          <w:numId w:val="21"/>
        </w:numPr>
        <w:spacing w:before="120" w:after="120" w:line="288" w:lineRule="auto"/>
        <w:ind w:left="0"/>
        <w:jc w:val="left"/>
      </w:pPr>
      <w:r>
        <w:rPr>
          <w:rFonts w:ascii="Arial" w:hAnsi="Arial" w:eastAsia="等线" w:cs="Arial"/>
          <w:sz w:val="22"/>
        </w:rPr>
        <w:t>因水泥市场价格上涨产生的结算金额调整，调差项应选择 “减免”。（）</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：材料价格调价属于 “调差” 项，减免是结算金额减少类优惠补偿。</w:t>
      </w:r>
    </w:p>
    <w:p w14:paraId="1D987921">
      <w:pPr>
        <w:numPr>
          <w:ilvl w:val="0"/>
          <w:numId w:val="22"/>
        </w:numPr>
        <w:spacing w:before="120" w:after="120" w:line="288" w:lineRule="auto"/>
        <w:ind w:left="0"/>
        <w:jc w:val="left"/>
      </w:pPr>
      <w:r>
        <w:rPr>
          <w:rFonts w:ascii="Arial" w:hAnsi="Arial" w:eastAsia="等线" w:cs="Arial"/>
          <w:sz w:val="22"/>
        </w:rPr>
        <w:t>损坏项目物资产生赔偿扣款，应录入 “违约金” 调差项。（）</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：违约金包含履约违约、资产损坏赔偿、亏方罚款等损失赔偿场景。</w:t>
      </w:r>
    </w:p>
    <w:p w14:paraId="6249DAF5">
      <w:pPr>
        <w:numPr>
          <w:ilvl w:val="0"/>
          <w:numId w:val="23"/>
        </w:numPr>
        <w:spacing w:before="120" w:after="120" w:line="288" w:lineRule="auto"/>
        <w:ind w:left="0"/>
        <w:jc w:val="left"/>
      </w:pPr>
      <w:r>
        <w:rPr>
          <w:rFonts w:ascii="Arial" w:hAnsi="Arial" w:eastAsia="等线" w:cs="Arial"/>
          <w:sz w:val="22"/>
        </w:rPr>
        <w:t>多笔不同类型的小额调差，为提高效率可以合并为一笔录入。（）</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：规范明确原则上不允许多笔调差项目合并录入。</w:t>
      </w:r>
    </w:p>
    <w:p w14:paraId="03EAA871">
      <w:pPr>
        <w:numPr>
          <w:ilvl w:val="0"/>
          <w:numId w:val="24"/>
        </w:numPr>
        <w:spacing w:before="120" w:after="120" w:line="288" w:lineRule="auto"/>
        <w:ind w:left="0"/>
        <w:jc w:val="left"/>
      </w:pPr>
      <w:r>
        <w:rPr>
          <w:rFonts w:ascii="Arial" w:hAnsi="Arial" w:eastAsia="等线" w:cs="Arial"/>
          <w:sz w:val="22"/>
        </w:rPr>
        <w:t>期初数据调差项备注格式要求标注截至指定日期累计结算额或未付余额。（）</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：期初数据备注统一格式：截至 XXXX 年 XX 月 XX 日的累计结算额 / 结算未付余额。</w:t>
      </w:r>
    </w:p>
    <w:p w14:paraId="1D2ECD9C">
      <w:pPr>
        <w:numPr>
          <w:ilvl w:val="0"/>
          <w:numId w:val="25"/>
        </w:numPr>
        <w:spacing w:before="120" w:after="120" w:line="288" w:lineRule="auto"/>
        <w:ind w:left="0"/>
        <w:jc w:val="left"/>
      </w:pPr>
      <w:r>
        <w:rPr>
          <w:rFonts w:ascii="Arial" w:hAnsi="Arial" w:eastAsia="等线" w:cs="Arial"/>
          <w:sz w:val="22"/>
        </w:rPr>
        <w:t>入库单数量录入错误，更正冲销时调差项选择 “调差”。（）</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：前期单据录入错误更正冲销，应选择 “错误冲销” 调差项。</w:t>
      </w:r>
    </w:p>
    <w:p w14:paraId="5BD01C9B">
      <w:pPr>
        <w:numPr>
          <w:ilvl w:val="0"/>
          <w:numId w:val="26"/>
        </w:numPr>
        <w:spacing w:before="120" w:after="120" w:line="288" w:lineRule="auto"/>
        <w:ind w:left="0"/>
        <w:jc w:val="left"/>
      </w:pPr>
      <w:r>
        <w:rPr>
          <w:rFonts w:ascii="Arial" w:hAnsi="Arial" w:eastAsia="等线" w:cs="Arial"/>
          <w:sz w:val="22"/>
        </w:rPr>
        <w:t>卸货费、复磅费、项目诉讼费统一归类至 “其他费用” 调差项。（）</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：其他费用归集除利息、违约金、减免、调差等以外各类杂费调整。</w:t>
      </w:r>
    </w:p>
    <w:p w14:paraId="769D4526">
      <w:pPr>
        <w:numPr>
          <w:ilvl w:val="0"/>
          <w:numId w:val="27"/>
        </w:numPr>
        <w:spacing w:before="120" w:after="120" w:line="288" w:lineRule="auto"/>
        <w:ind w:left="0"/>
        <w:jc w:val="left"/>
      </w:pPr>
      <w:r>
        <w:rPr>
          <w:rFonts w:ascii="Arial" w:hAnsi="Arial" w:eastAsia="等线" w:cs="Arial"/>
          <w:sz w:val="22"/>
        </w:rPr>
        <w:t>利息核算周期和结算周期不一致时，备注无需额外说明。（）</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：利息备注要求，若计息期与结算周期不同，必须备注说明计息时间段。</w:t>
      </w:r>
    </w:p>
    <w:p w14:paraId="2F1DA53B">
      <w:pPr>
        <w:numPr>
          <w:ilvl w:val="0"/>
          <w:numId w:val="28"/>
        </w:numPr>
        <w:spacing w:before="120" w:after="120" w:line="288" w:lineRule="auto"/>
        <w:ind w:left="0"/>
        <w:jc w:val="left"/>
      </w:pPr>
      <w:r>
        <w:rPr>
          <w:rFonts w:ascii="Arial" w:hAnsi="Arial" w:eastAsia="等线" w:cs="Arial"/>
          <w:sz w:val="22"/>
        </w:rPr>
        <w:t>供应商给予的结算抹零优惠，调差项选择 “减免”，备注写明抹零原因。（）</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：抹零属于减免场景，备注需标注减免原因。</w:t>
      </w:r>
    </w:p>
    <w:p w14:paraId="56A44972">
      <w:pPr>
        <w:numPr>
          <w:ilvl w:val="0"/>
          <w:numId w:val="29"/>
        </w:numPr>
        <w:spacing w:before="120" w:after="120" w:line="288" w:lineRule="auto"/>
        <w:ind w:left="0"/>
        <w:jc w:val="left"/>
      </w:pPr>
      <w:r>
        <w:rPr>
          <w:rFonts w:ascii="Arial" w:hAnsi="Arial" w:eastAsia="等线" w:cs="Arial"/>
          <w:sz w:val="22"/>
        </w:rPr>
        <w:t>图纸核算与送货单数量不一致，按实际过磅数量调整结算金额，调差项选 “错误冲销”。（）</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：按合同约定的图纸、过磅数量调整属于数量调差，调差项选择 “调差”。</w:t>
      </w:r>
    </w:p>
    <w:p w14:paraId="46BE7BA6">
      <w:pPr>
        <w:numPr>
          <w:ilvl w:val="0"/>
          <w:numId w:val="30"/>
        </w:numPr>
        <w:spacing w:before="120" w:after="120" w:line="288" w:lineRule="auto"/>
        <w:ind w:left="0"/>
        <w:jc w:val="left"/>
      </w:pPr>
      <w:r>
        <w:rPr>
          <w:rFonts w:ascii="Arial" w:hAnsi="Arial" w:eastAsia="等线" w:cs="Arial"/>
          <w:sz w:val="22"/>
        </w:rPr>
        <w:t>所有调差项录入时，均必须在备注栏填写对应情况说明。（）</w:t>
      </w:r>
      <w:r>
        <w:rPr>
          <w:rFonts w:ascii="Arial" w:hAnsi="Arial" w:eastAsia="等线" w:cs="Arial"/>
          <w:sz w:val="22"/>
        </w:rPr>
        <w:br w:type="textWrapping"/>
      </w:r>
      <w:r>
        <w:rPr>
          <w:rFonts w:ascii="Arial" w:hAnsi="Arial" w:eastAsia="等线" w:cs="Arial"/>
          <w:b/>
          <w:sz w:val="22"/>
        </w:rPr>
        <w:t>答案：√</w:t>
      </w:r>
      <w:r>
        <w:rPr>
          <w:rFonts w:ascii="Arial" w:hAnsi="Arial" w:eastAsia="等线" w:cs="Arial"/>
          <w:sz w:val="22"/>
        </w:rPr>
        <w:br w:type="textWrapping"/>
      </w:r>
      <w:r>
        <w:rPr>
          <w:rFonts w:ascii="Arial" w:hAnsi="Arial" w:eastAsia="等线" w:cs="Arial"/>
          <w:b/>
          <w:sz w:val="22"/>
        </w:rPr>
        <w:t>解析</w:t>
      </w:r>
      <w:r>
        <w:rPr>
          <w:rFonts w:ascii="Arial" w:hAnsi="Arial" w:eastAsia="等线" w:cs="Arial"/>
          <w:sz w:val="22"/>
        </w:rPr>
        <w:t>：规范备注第一条：选择正确调差项，并在备注中作情况说明。</w:t>
      </w:r>
    </w:p>
    <w:p w14:paraId="0D87CAEA">
      <w:pPr>
        <w:spacing w:before="320" w:after="120" w:line="288" w:lineRule="auto"/>
        <w:ind w:left="0"/>
        <w:jc w:val="left"/>
        <w:outlineLvl w:val="1"/>
      </w:pPr>
      <w:bookmarkStart w:id="3" w:name="heading_3"/>
      <w:r>
        <w:rPr>
          <w:rFonts w:ascii="Arial" w:hAnsi="Arial" w:eastAsia="等线" w:cs="Arial"/>
          <w:b/>
          <w:sz w:val="32"/>
        </w:rPr>
        <w:t>使用说明</w:t>
      </w:r>
      <w:bookmarkEnd w:id="3"/>
    </w:p>
    <w:p w14:paraId="6379DE2A">
      <w:pPr>
        <w:spacing w:before="120" w:after="120" w:line="288" w:lineRule="auto"/>
        <w:ind w:left="0"/>
        <w:jc w:val="left"/>
      </w:pPr>
      <w:r>
        <w:rPr>
          <w:rFonts w:ascii="Arial" w:hAnsi="Arial" w:eastAsia="等线" w:cs="Arial"/>
          <w:sz w:val="22"/>
        </w:rPr>
        <w:t>你直接全选复制以上全部内容，粘贴到 Word/WPS 空白文档，保存即可生成完整文档。</w:t>
      </w:r>
    </w:p>
    <w:p w14:paraId="31B5ABAF">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15CF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F1C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0"/>
      <w:numFmt w:val="decimal"/>
      <w:lvlText w:val="%1."/>
      <w:lvlJc w:val="left"/>
      <w:rPr>
        <w:color w:val="3370FF"/>
      </w:rPr>
    </w:lvl>
  </w:abstractNum>
  <w:abstractNum w:abstractNumId="1">
    <w:nsid w:val="9288B902"/>
    <w:multiLevelType w:val="singleLevel"/>
    <w:tmpl w:val="9288B902"/>
    <w:lvl w:ilvl="0" w:tentative="0">
      <w:start w:val="11"/>
      <w:numFmt w:val="decimal"/>
      <w:lvlText w:val="%1."/>
      <w:lvlJc w:val="left"/>
      <w:rPr>
        <w:color w:val="3370FF"/>
      </w:rPr>
    </w:lvl>
  </w:abstractNum>
  <w:abstractNum w:abstractNumId="2">
    <w:nsid w:val="9C8AC8EF"/>
    <w:multiLevelType w:val="singleLevel"/>
    <w:tmpl w:val="9C8AC8EF"/>
    <w:lvl w:ilvl="0" w:tentative="0">
      <w:start w:val="1"/>
      <w:numFmt w:val="decimal"/>
      <w:lvlText w:val="%1."/>
      <w:lvlJc w:val="left"/>
      <w:rPr>
        <w:color w:val="3370FF"/>
      </w:rPr>
    </w:lvl>
  </w:abstractNum>
  <w:abstractNum w:abstractNumId="3">
    <w:nsid w:val="B0F1ACD9"/>
    <w:multiLevelType w:val="singleLevel"/>
    <w:tmpl w:val="B0F1ACD9"/>
    <w:lvl w:ilvl="0" w:tentative="0">
      <w:start w:val="6"/>
      <w:numFmt w:val="decimal"/>
      <w:lvlText w:val="%1."/>
      <w:lvlJc w:val="left"/>
      <w:rPr>
        <w:color w:val="3370FF"/>
      </w:rPr>
    </w:lvl>
  </w:abstractNum>
  <w:abstractNum w:abstractNumId="4">
    <w:nsid w:val="B5E306ED"/>
    <w:multiLevelType w:val="singleLevel"/>
    <w:tmpl w:val="B5E306ED"/>
    <w:lvl w:ilvl="0" w:tentative="0">
      <w:start w:val="5"/>
      <w:numFmt w:val="decimal"/>
      <w:lvlText w:val="%1."/>
      <w:lvlJc w:val="left"/>
      <w:rPr>
        <w:color w:val="3370FF"/>
      </w:rPr>
    </w:lvl>
  </w:abstractNum>
  <w:abstractNum w:abstractNumId="5">
    <w:nsid w:val="BE923771"/>
    <w:multiLevelType w:val="singleLevel"/>
    <w:tmpl w:val="BE923771"/>
    <w:lvl w:ilvl="0" w:tentative="0">
      <w:start w:val="9"/>
      <w:numFmt w:val="decimal"/>
      <w:lvlText w:val="%1."/>
      <w:lvlJc w:val="left"/>
      <w:rPr>
        <w:color w:val="3370FF"/>
      </w:rPr>
    </w:lvl>
  </w:abstractNum>
  <w:abstractNum w:abstractNumId="6">
    <w:nsid w:val="BF205925"/>
    <w:multiLevelType w:val="singleLevel"/>
    <w:tmpl w:val="BF205925"/>
    <w:lvl w:ilvl="0" w:tentative="0">
      <w:start w:val="4"/>
      <w:numFmt w:val="decimal"/>
      <w:lvlText w:val="%1."/>
      <w:lvlJc w:val="left"/>
      <w:rPr>
        <w:color w:val="3370FF"/>
      </w:rPr>
    </w:lvl>
  </w:abstractNum>
  <w:abstractNum w:abstractNumId="7">
    <w:nsid w:val="C8879AEF"/>
    <w:multiLevelType w:val="singleLevel"/>
    <w:tmpl w:val="C8879AEF"/>
    <w:lvl w:ilvl="0" w:tentative="0">
      <w:start w:val="3"/>
      <w:numFmt w:val="decimal"/>
      <w:lvlText w:val="%1."/>
      <w:lvlJc w:val="left"/>
      <w:rPr>
        <w:color w:val="3370FF"/>
      </w:rPr>
    </w:lvl>
  </w:abstractNum>
  <w:abstractNum w:abstractNumId="8">
    <w:nsid w:val="CF092B84"/>
    <w:multiLevelType w:val="singleLevel"/>
    <w:tmpl w:val="CF092B84"/>
    <w:lvl w:ilvl="0" w:tentative="0">
      <w:start w:val="2"/>
      <w:numFmt w:val="decimal"/>
      <w:lvlText w:val="%1."/>
      <w:lvlJc w:val="left"/>
      <w:rPr>
        <w:color w:val="3370FF"/>
      </w:rPr>
    </w:lvl>
  </w:abstractNum>
  <w:abstractNum w:abstractNumId="9">
    <w:nsid w:val="D7F9FE59"/>
    <w:multiLevelType w:val="singleLevel"/>
    <w:tmpl w:val="D7F9FE59"/>
    <w:lvl w:ilvl="0" w:tentative="0">
      <w:start w:val="8"/>
      <w:numFmt w:val="decimal"/>
      <w:lvlText w:val="%1."/>
      <w:lvlJc w:val="left"/>
      <w:rPr>
        <w:color w:val="3370FF"/>
      </w:rPr>
    </w:lvl>
  </w:abstractNum>
  <w:abstractNum w:abstractNumId="10">
    <w:nsid w:val="DCBA6B53"/>
    <w:multiLevelType w:val="singleLevel"/>
    <w:tmpl w:val="DCBA6B53"/>
    <w:lvl w:ilvl="0" w:tentative="0">
      <w:start w:val="7"/>
      <w:numFmt w:val="decimal"/>
      <w:lvlText w:val="%1."/>
      <w:lvlJc w:val="left"/>
      <w:rPr>
        <w:color w:val="3370FF"/>
      </w:rPr>
    </w:lvl>
  </w:abstractNum>
  <w:abstractNum w:abstractNumId="11">
    <w:nsid w:val="F4B5D9F5"/>
    <w:multiLevelType w:val="singleLevel"/>
    <w:tmpl w:val="F4B5D9F5"/>
    <w:lvl w:ilvl="0" w:tentative="0">
      <w:start w:val="5"/>
      <w:numFmt w:val="decimal"/>
      <w:lvlText w:val="%1."/>
      <w:lvlJc w:val="left"/>
      <w:rPr>
        <w:color w:val="3370FF"/>
      </w:rPr>
    </w:lvl>
  </w:abstractNum>
  <w:abstractNum w:abstractNumId="12">
    <w:nsid w:val="0053208E"/>
    <w:multiLevelType w:val="singleLevel"/>
    <w:tmpl w:val="0053208E"/>
    <w:lvl w:ilvl="0" w:tentative="0">
      <w:start w:val="1"/>
      <w:numFmt w:val="decimal"/>
      <w:lvlText w:val="%1."/>
      <w:lvlJc w:val="left"/>
      <w:rPr>
        <w:color w:val="3370FF"/>
      </w:rPr>
    </w:lvl>
  </w:abstractNum>
  <w:abstractNum w:abstractNumId="13">
    <w:nsid w:val="0248C179"/>
    <w:multiLevelType w:val="singleLevel"/>
    <w:tmpl w:val="0248C179"/>
    <w:lvl w:ilvl="0" w:tentative="0">
      <w:start w:val="9"/>
      <w:numFmt w:val="decimal"/>
      <w:lvlText w:val="%1."/>
      <w:lvlJc w:val="left"/>
      <w:rPr>
        <w:color w:val="3370FF"/>
      </w:rPr>
    </w:lvl>
  </w:abstractNum>
  <w:abstractNum w:abstractNumId="14">
    <w:nsid w:val="03D62ECE"/>
    <w:multiLevelType w:val="singleLevel"/>
    <w:tmpl w:val="03D62ECE"/>
    <w:lvl w:ilvl="0" w:tentative="0">
      <w:start w:val="6"/>
      <w:numFmt w:val="decimal"/>
      <w:lvlText w:val="%1."/>
      <w:lvlJc w:val="left"/>
      <w:rPr>
        <w:color w:val="3370FF"/>
      </w:rPr>
    </w:lvl>
  </w:abstractNum>
  <w:abstractNum w:abstractNumId="15">
    <w:nsid w:val="0E640482"/>
    <w:multiLevelType w:val="singleLevel"/>
    <w:tmpl w:val="0E640482"/>
    <w:lvl w:ilvl="0" w:tentative="0">
      <w:start w:val="4"/>
      <w:numFmt w:val="decimal"/>
      <w:lvlText w:val="%1."/>
      <w:lvlJc w:val="left"/>
      <w:rPr>
        <w:color w:val="3370FF"/>
      </w:rPr>
    </w:lvl>
  </w:abstractNum>
  <w:abstractNum w:abstractNumId="16">
    <w:nsid w:val="2470EC97"/>
    <w:multiLevelType w:val="singleLevel"/>
    <w:tmpl w:val="2470EC97"/>
    <w:lvl w:ilvl="0" w:tentative="0">
      <w:start w:val="6"/>
      <w:numFmt w:val="decimal"/>
      <w:lvlText w:val="%1."/>
      <w:lvlJc w:val="left"/>
      <w:rPr>
        <w:color w:val="3370FF"/>
      </w:rPr>
    </w:lvl>
  </w:abstractNum>
  <w:abstractNum w:abstractNumId="17">
    <w:nsid w:val="25B654F3"/>
    <w:multiLevelType w:val="singleLevel"/>
    <w:tmpl w:val="25B654F3"/>
    <w:lvl w:ilvl="0" w:tentative="0">
      <w:start w:val="7"/>
      <w:numFmt w:val="decimal"/>
      <w:lvlText w:val="%1."/>
      <w:lvlJc w:val="left"/>
      <w:rPr>
        <w:color w:val="3370FF"/>
      </w:rPr>
    </w:lvl>
  </w:abstractNum>
  <w:abstractNum w:abstractNumId="18">
    <w:nsid w:val="2A8F537B"/>
    <w:multiLevelType w:val="singleLevel"/>
    <w:tmpl w:val="2A8F537B"/>
    <w:lvl w:ilvl="0" w:tentative="0">
      <w:start w:val="1"/>
      <w:numFmt w:val="decimal"/>
      <w:lvlText w:val="%1."/>
      <w:lvlJc w:val="left"/>
      <w:rPr>
        <w:color w:val="3370FF"/>
      </w:rPr>
    </w:lvl>
  </w:abstractNum>
  <w:abstractNum w:abstractNumId="19">
    <w:nsid w:val="39A0D9AC"/>
    <w:multiLevelType w:val="singleLevel"/>
    <w:tmpl w:val="39A0D9AC"/>
    <w:lvl w:ilvl="0" w:tentative="0">
      <w:start w:val="12"/>
      <w:numFmt w:val="decimal"/>
      <w:lvlText w:val="%1."/>
      <w:lvlJc w:val="left"/>
      <w:rPr>
        <w:color w:val="3370FF"/>
      </w:rPr>
    </w:lvl>
  </w:abstractNum>
  <w:abstractNum w:abstractNumId="20">
    <w:nsid w:val="46A08BB8"/>
    <w:multiLevelType w:val="singleLevel"/>
    <w:tmpl w:val="46A08BB8"/>
    <w:lvl w:ilvl="0" w:tentative="0">
      <w:start w:val="5"/>
      <w:numFmt w:val="decimal"/>
      <w:lvlText w:val="%1."/>
      <w:lvlJc w:val="left"/>
      <w:rPr>
        <w:color w:val="3370FF"/>
      </w:rPr>
    </w:lvl>
  </w:abstractNum>
  <w:abstractNum w:abstractNumId="21">
    <w:nsid w:val="4C1BAE26"/>
    <w:multiLevelType w:val="singleLevel"/>
    <w:tmpl w:val="4C1BAE26"/>
    <w:lvl w:ilvl="0" w:tentative="0">
      <w:start w:val="2"/>
      <w:numFmt w:val="decimal"/>
      <w:lvlText w:val="%1."/>
      <w:lvlJc w:val="left"/>
      <w:rPr>
        <w:color w:val="3370FF"/>
      </w:rPr>
    </w:lvl>
  </w:abstractNum>
  <w:abstractNum w:abstractNumId="22">
    <w:nsid w:val="4D4DC07F"/>
    <w:multiLevelType w:val="singleLevel"/>
    <w:tmpl w:val="4D4DC07F"/>
    <w:lvl w:ilvl="0" w:tentative="0">
      <w:start w:val="4"/>
      <w:numFmt w:val="decimal"/>
      <w:lvlText w:val="%1."/>
      <w:lvlJc w:val="left"/>
      <w:rPr>
        <w:color w:val="3370FF"/>
      </w:rPr>
    </w:lvl>
  </w:abstractNum>
  <w:abstractNum w:abstractNumId="23">
    <w:nsid w:val="59ADCABA"/>
    <w:multiLevelType w:val="singleLevel"/>
    <w:tmpl w:val="59ADCABA"/>
    <w:lvl w:ilvl="0" w:tentative="0">
      <w:start w:val="3"/>
      <w:numFmt w:val="decimal"/>
      <w:lvlText w:val="%1."/>
      <w:lvlJc w:val="left"/>
      <w:rPr>
        <w:color w:val="3370FF"/>
      </w:rPr>
    </w:lvl>
  </w:abstractNum>
  <w:abstractNum w:abstractNumId="24">
    <w:nsid w:val="5A241D34"/>
    <w:multiLevelType w:val="singleLevel"/>
    <w:tmpl w:val="5A241D34"/>
    <w:lvl w:ilvl="0" w:tentative="0">
      <w:start w:val="2"/>
      <w:numFmt w:val="decimal"/>
      <w:lvlText w:val="%1."/>
      <w:lvlJc w:val="left"/>
      <w:rPr>
        <w:color w:val="3370FF"/>
      </w:rPr>
    </w:lvl>
  </w:abstractNum>
  <w:abstractNum w:abstractNumId="25">
    <w:nsid w:val="60382F6E"/>
    <w:multiLevelType w:val="singleLevel"/>
    <w:tmpl w:val="60382F6E"/>
    <w:lvl w:ilvl="0" w:tentative="0">
      <w:start w:val="3"/>
      <w:numFmt w:val="decimal"/>
      <w:lvlText w:val="%1."/>
      <w:lvlJc w:val="left"/>
      <w:rPr>
        <w:color w:val="3370FF"/>
      </w:rPr>
    </w:lvl>
  </w:abstractNum>
  <w:abstractNum w:abstractNumId="26">
    <w:nsid w:val="629F7852"/>
    <w:multiLevelType w:val="singleLevel"/>
    <w:tmpl w:val="629F7852"/>
    <w:lvl w:ilvl="0" w:tentative="0">
      <w:start w:val="10"/>
      <w:numFmt w:val="decimal"/>
      <w:lvlText w:val="%1."/>
      <w:lvlJc w:val="left"/>
      <w:rPr>
        <w:color w:val="3370FF"/>
      </w:rPr>
    </w:lvl>
  </w:abstractNum>
  <w:abstractNum w:abstractNumId="27">
    <w:nsid w:val="72183CF9"/>
    <w:multiLevelType w:val="singleLevel"/>
    <w:tmpl w:val="72183CF9"/>
    <w:lvl w:ilvl="0" w:tentative="0">
      <w:start w:val="8"/>
      <w:numFmt w:val="decimal"/>
      <w:lvlText w:val="%1."/>
      <w:lvlJc w:val="left"/>
      <w:rPr>
        <w:color w:val="3370FF"/>
      </w:rPr>
    </w:lvl>
  </w:abstractNum>
  <w:abstractNum w:abstractNumId="28">
    <w:nsid w:val="77ECEA79"/>
    <w:multiLevelType w:val="singleLevel"/>
    <w:tmpl w:val="77ECEA79"/>
    <w:lvl w:ilvl="0" w:tentative="0">
      <w:start w:val="8"/>
      <w:numFmt w:val="decimal"/>
      <w:lvlText w:val="%1."/>
      <w:lvlJc w:val="left"/>
      <w:rPr>
        <w:color w:val="3370FF"/>
      </w:rPr>
    </w:lvl>
  </w:abstractNum>
  <w:abstractNum w:abstractNumId="29">
    <w:nsid w:val="7C246926"/>
    <w:multiLevelType w:val="singleLevel"/>
    <w:tmpl w:val="7C246926"/>
    <w:lvl w:ilvl="0" w:tentative="0">
      <w:start w:val="7"/>
      <w:numFmt w:val="decimal"/>
      <w:lvlText w:val="%1."/>
      <w:lvlJc w:val="left"/>
      <w:rPr>
        <w:color w:val="3370FF"/>
      </w:rPr>
    </w:lvl>
  </w:abstractNum>
  <w:num w:numId="1">
    <w:abstractNumId w:val="12"/>
  </w:num>
  <w:num w:numId="2">
    <w:abstractNumId w:val="8"/>
  </w:num>
  <w:num w:numId="3">
    <w:abstractNumId w:val="23"/>
  </w:num>
  <w:num w:numId="4">
    <w:abstractNumId w:val="6"/>
  </w:num>
  <w:num w:numId="5">
    <w:abstractNumId w:val="4"/>
  </w:num>
  <w:num w:numId="6">
    <w:abstractNumId w:val="14"/>
  </w:num>
  <w:num w:numId="7">
    <w:abstractNumId w:val="17"/>
  </w:num>
  <w:num w:numId="8">
    <w:abstractNumId w:val="27"/>
  </w:num>
  <w:num w:numId="9">
    <w:abstractNumId w:val="13"/>
  </w:num>
  <w:num w:numId="10">
    <w:abstractNumId w:val="0"/>
  </w:num>
  <w:num w:numId="11">
    <w:abstractNumId w:val="18"/>
  </w:num>
  <w:num w:numId="12">
    <w:abstractNumId w:val="24"/>
  </w:num>
  <w:num w:numId="13">
    <w:abstractNumId w:val="7"/>
  </w:num>
  <w:num w:numId="14">
    <w:abstractNumId w:val="22"/>
  </w:num>
  <w:num w:numId="15">
    <w:abstractNumId w:val="11"/>
  </w:num>
  <w:num w:numId="16">
    <w:abstractNumId w:val="16"/>
  </w:num>
  <w:num w:numId="17">
    <w:abstractNumId w:val="10"/>
  </w:num>
  <w:num w:numId="18">
    <w:abstractNumId w:val="9"/>
  </w:num>
  <w:num w:numId="19">
    <w:abstractNumId w:val="2"/>
  </w:num>
  <w:num w:numId="20">
    <w:abstractNumId w:val="21"/>
  </w:num>
  <w:num w:numId="21">
    <w:abstractNumId w:val="25"/>
  </w:num>
  <w:num w:numId="22">
    <w:abstractNumId w:val="15"/>
  </w:num>
  <w:num w:numId="23">
    <w:abstractNumId w:val="20"/>
  </w:num>
  <w:num w:numId="24">
    <w:abstractNumId w:val="3"/>
  </w:num>
  <w:num w:numId="25">
    <w:abstractNumId w:val="29"/>
  </w:num>
  <w:num w:numId="26">
    <w:abstractNumId w:val="28"/>
  </w:num>
  <w:num w:numId="27">
    <w:abstractNumId w:val="5"/>
  </w:num>
  <w:num w:numId="28">
    <w:abstractNumId w:val="26"/>
  </w:num>
  <w:num w:numId="29">
    <w:abstractNumId w:val="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BDF64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2563</Words>
  <Characters>2681</Characters>
  <TotalTime>11</TotalTime>
  <ScaleCrop>false</ScaleCrop>
  <LinksUpToDate>false</LinksUpToDate>
  <CharactersWithSpaces>2848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2026-07-10T08:44:00Z</dcterms:created>
  <dc:creator>Apache POI</dc:creator>
  <cp:lastModifiedBy>荷包鼓起来</cp:lastModifiedBy>
  <dcterms:modified xsi:type="dcterms:W3CDTF">2026-07-15T08:01:06Z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{"Label":"1","ContentProducer":"001191110102MACQD9K64010000","ProduceID":"7660817357845466084","ReservedCode1":"","ContentPropagator":"","PropagateID":"","ReservedCode2":""}</vt:lpwstr>
  </property>
  <property fmtid="{D5CDD505-2E9C-101B-9397-08002B2CF9AE}" pid="3" name="KSOTemplateDocerSaveRecord">
    <vt:lpwstr>eyJoZGlkIjoiMDNiMTFiYzIwMmIwYTRkNGFkY2E0MTRkNWQ2MDNmZjAiLCJ1c2VySWQiOiI1OTgwNDUwMjgifQ==</vt:lpwstr>
  </property>
  <property fmtid="{D5CDD505-2E9C-101B-9397-08002B2CF9AE}" pid="4" name="KSOProductBuildVer">
    <vt:lpwstr>2052-12.1.0.26895</vt:lpwstr>
  </property>
  <property fmtid="{D5CDD505-2E9C-101B-9397-08002B2CF9AE}" pid="5" name="ICV">
    <vt:lpwstr>64664EC0413640C6BB1DB2E3ED0304F9_12</vt:lpwstr>
  </property>
</Properties>
</file>