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1CF6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物资岗位规范考核题库</w:t>
      </w:r>
    </w:p>
    <w:p w14:paraId="61D2870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一、单选题</w:t>
      </w:r>
      <w:bookmarkEnd w:id="0"/>
    </w:p>
    <w:p w14:paraId="0EB11A8C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需求提报工作节点要求为（）</w:t>
      </w:r>
      <w:bookmarkEnd w:id="1"/>
    </w:p>
    <w:p w14:paraId="401A6E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材料进场前三天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材料进场前一周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材料进场当天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项目自检完成 1 个工作日内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解析：表格需求提报板块工作节点明确标注：材料进场前一周，需完成材料需求申报相关工作。</w:t>
      </w:r>
    </w:p>
    <w:p w14:paraId="7097B304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进场入库验收的工作节点是（）</w:t>
      </w:r>
      <w:bookmarkEnd w:id="2"/>
    </w:p>
    <w:p w14:paraId="54D3F6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材料验收当天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检量验收后 24 小时内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实时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每天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解析：入库管理 - 进场入库验收 * 行，工作节点规定材料验收当天完成验收作业。</w:t>
      </w:r>
    </w:p>
    <w:p w14:paraId="1903596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自检复查板块，检量需要在入库多久内完成（）</w:t>
      </w:r>
      <w:bookmarkEnd w:id="3"/>
    </w:p>
    <w:p w14:paraId="530677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A.12 小时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B.24 小时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C.3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发布后 3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解析：自检复查要求②明确：检量在入库的 24 小时内完成。</w:t>
      </w:r>
    </w:p>
    <w:p w14:paraId="5707DD3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 量价复核的工作节点规定（）内完成</w:t>
      </w:r>
      <w:bookmarkEnd w:id="4"/>
    </w:p>
    <w:p w14:paraId="557C46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项目自检完成 1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材料调拨进场当天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开工阶段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月度预结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解析：量价复核工作节点：项目自检完成 1 个工作日内完成复核工作。</w:t>
      </w:r>
    </w:p>
    <w:p w14:paraId="74A0F38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5. 工地大门进出管理的工作节点要求管控频次为（）</w:t>
      </w:r>
      <w:bookmarkEnd w:id="5"/>
    </w:p>
    <w:p w14:paraId="4BB278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每天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实时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不定期巡查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供货过程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解析：门禁管理 - 工地大门进出管理板块，工作节点标注实时开展人车进出核验管控。</w:t>
      </w:r>
    </w:p>
    <w:p w14:paraId="194D768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6. 物资巡查与安全的固定工作节点是（）</w:t>
      </w:r>
      <w:bookmarkEnd w:id="6"/>
    </w:p>
    <w:p w14:paraId="2BDEA4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实时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每天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定期盘点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招采入围阶段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解析：物资巡查与安全条目，工作节点写明需每日开展物资、场区安全巡查工作。</w:t>
      </w:r>
    </w:p>
    <w:p w14:paraId="50D8B2C0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7. 需求管理（物资调拨）工作节点为材料调拨（）前 3 天发起调拨申请</w:t>
      </w:r>
      <w:bookmarkEnd w:id="7"/>
    </w:p>
    <w:p w14:paraId="6A8D82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进场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出库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废旧处置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供货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解析：物资调拨 - 需求管理，工作节点：材料调拨进场前 3 天发起调拨申请。</w:t>
      </w:r>
    </w:p>
    <w:p w14:paraId="15F0146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8. 废旧物资询比价的工作节点（）</w:t>
      </w:r>
      <w:bookmarkEnd w:id="8"/>
    </w:p>
    <w:p w14:paraId="3465FB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废旧处置当天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废旧处置一周前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月度预结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开工阶段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解析：废旧物资处置 - 询比价，工作节点：废旧处置一周前完成询比价审批流程。</w:t>
      </w:r>
    </w:p>
    <w:p w14:paraId="69C45B1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9. 目标成本设置的开展阶段（）</w:t>
      </w:r>
      <w:bookmarkEnd w:id="9"/>
    </w:p>
    <w:p w14:paraId="36FEBB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开工阶段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定期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招采入围阶段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供货过程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解析：物资用量监管 - 目标成本设置，工作节点：开工阶段编制主材量价监控表。</w:t>
      </w:r>
    </w:p>
    <w:p w14:paraId="0A22CEF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10. 供应商新单位考察的开展节点（）</w:t>
      </w:r>
      <w:bookmarkEnd w:id="10"/>
    </w:p>
    <w:p w14:paraId="39BCF8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供货过程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招采入围阶段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按照公司节点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定期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解析：供应商管理 - 参与新单位考察，工作节点：招采入围阶段开展供方现场考察评估。</w:t>
      </w:r>
    </w:p>
    <w:p w14:paraId="1C2D24C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二、多选题</w:t>
      </w:r>
      <w:bookmarkEnd w:id="11"/>
    </w:p>
    <w:p w14:paraId="706B3A4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1. 进场入库验收时，必须核验的资料包含（）</w:t>
      </w:r>
      <w:bookmarkEnd w:id="12"/>
    </w:p>
    <w:p w14:paraId="251D672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A. 送货单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合格证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质保书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交易双方私下手写白条</w:t>
      </w:r>
    </w:p>
    <w:p w14:paraId="0B724F8C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E.其他单位抬头单据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解析：进场入库验收第③条：收集并移交送货单、合格证、质保书等原始随货资料；私下白条不属于合规核验凭证，禁止纳入验收依据</w:t>
      </w:r>
      <w:r>
        <w:rPr>
          <w:rFonts w:hint="eastAsia" w:ascii="Arial" w:hAnsi="Arial" w:eastAsia="等线" w:cs="Arial"/>
          <w:sz w:val="22"/>
          <w:lang w:eastAsia="zh-CN"/>
        </w:rPr>
        <w:t>；</w:t>
      </w:r>
      <w:r>
        <w:rPr>
          <w:rFonts w:hint="eastAsia" w:ascii="Arial" w:hAnsi="Arial" w:eastAsia="等线" w:cs="Arial"/>
          <w:sz w:val="22"/>
          <w:lang w:val="en-US" w:eastAsia="zh-CN"/>
        </w:rPr>
        <w:t>与合同单位不符的单据不可纳入验收依据，除非合同内有说明</w:t>
      </w:r>
      <w:r>
        <w:rPr>
          <w:rFonts w:ascii="Arial" w:hAnsi="Arial" w:eastAsia="等线" w:cs="Arial"/>
          <w:sz w:val="22"/>
        </w:rPr>
        <w:t>。</w:t>
      </w:r>
    </w:p>
    <w:p w14:paraId="2E844143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 不合格材料退货处理，说法正确的有（）</w:t>
      </w:r>
      <w:bookmarkEnd w:id="13"/>
    </w:p>
    <w:p w14:paraId="535EDF2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A. 质量缺陷材料立刻启动退货，送货单标注扣量说明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可降级使用材料，在送货单注明降级事由、扣款说明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退货、降级全流程留存影像记录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缺陷材料可直接私自挪用进场使用</w:t>
      </w:r>
    </w:p>
    <w:p w14:paraId="68B001DF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E.无视直接验收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解析：不合格材料退货处理三条规范对应 ABC；D</w:t>
      </w:r>
      <w:r>
        <w:rPr>
          <w:rFonts w:hint="eastAsia" w:ascii="Arial" w:hAnsi="Arial" w:eastAsia="等线" w:cs="Arial"/>
          <w:sz w:val="22"/>
          <w:lang w:val="en-US" w:eastAsia="zh-CN"/>
        </w:rPr>
        <w:t>E</w:t>
      </w:r>
      <w:r>
        <w:rPr>
          <w:rFonts w:ascii="Arial" w:hAnsi="Arial" w:eastAsia="等线" w:cs="Arial"/>
          <w:sz w:val="22"/>
        </w:rPr>
        <w:t xml:space="preserve"> 违背规则，严禁问题材料违规进场使用。</w:t>
      </w:r>
    </w:p>
    <w:p w14:paraId="4A67218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 工地大门进出管理，需要落实的管控动作包含（）</w:t>
      </w:r>
      <w:bookmarkEnd w:id="14"/>
    </w:p>
    <w:p w14:paraId="48B5474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A. 进场人员登记身份、进场事项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核验出场证件，核查物资流向可追溯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严禁人员私自外运项目资产，异常上报项目经理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夜间直接封闭大门，不开展安保值守</w:t>
      </w:r>
    </w:p>
    <w:p w14:paraId="4E1D9030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E.夜间擅自离岗多时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解析：门禁管理规范明确 A、B、C 三项要求；第⑤条要求门卫夜间保持警惕值守，D</w:t>
      </w:r>
      <w:r>
        <w:rPr>
          <w:rFonts w:hint="eastAsia" w:ascii="Arial" w:hAnsi="Arial" w:eastAsia="等线" w:cs="Arial"/>
          <w:sz w:val="22"/>
          <w:lang w:val="en-US" w:eastAsia="zh-CN"/>
        </w:rPr>
        <w:t>E</w:t>
      </w:r>
      <w:r>
        <w:rPr>
          <w:rFonts w:ascii="Arial" w:hAnsi="Arial" w:eastAsia="等线" w:cs="Arial"/>
          <w:sz w:val="22"/>
        </w:rPr>
        <w:t xml:space="preserve"> 错误。</w:t>
      </w:r>
    </w:p>
    <w:p w14:paraId="3F842ABE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 物资巡查与安全日常巡查工作内容包含（）</w:t>
      </w:r>
      <w:bookmarkEnd w:id="15"/>
    </w:p>
    <w:p w14:paraId="6323965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A. 物资存放区域日间、夜间巡查，保障物资完好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外借物资做好登记，到期督促归还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排查围挡破损、可疑人员，上报隐患协同处置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熟悉应急预案，险情按流程开展处置</w:t>
      </w:r>
    </w:p>
    <w:p w14:paraId="4F506AD4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E.有丢失、损害无需上报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解析：物资巡查与安全①-⑤条，四项均为法定巡查、应急管控要求</w:t>
      </w:r>
      <w:r>
        <w:rPr>
          <w:rFonts w:hint="eastAsia" w:ascii="Arial" w:hAnsi="Arial" w:eastAsia="等线" w:cs="Arial"/>
          <w:sz w:val="22"/>
          <w:lang w:eastAsia="zh-CN"/>
        </w:rPr>
        <w:t>；</w:t>
      </w:r>
      <w:r>
        <w:rPr>
          <w:rFonts w:hint="eastAsia" w:ascii="Arial" w:hAnsi="Arial" w:eastAsia="等线" w:cs="Arial"/>
          <w:sz w:val="22"/>
          <w:lang w:val="en-US" w:eastAsia="zh-CN"/>
        </w:rPr>
        <w:t>E为不负责行为</w:t>
      </w:r>
      <w:r>
        <w:rPr>
          <w:rFonts w:ascii="Arial" w:hAnsi="Arial" w:eastAsia="等线" w:cs="Arial"/>
          <w:sz w:val="22"/>
        </w:rPr>
        <w:t>。</w:t>
      </w:r>
    </w:p>
    <w:p w14:paraId="76C83F99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 仓库材料整理盘点的工作标准包含（）</w:t>
      </w:r>
      <w:bookmarkEnd w:id="16"/>
    </w:p>
    <w:p w14:paraId="3475067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A. 材料分类存放、定期整理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依托成本管理平台核对账实数据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编制盘点记录，盈亏签字分析原因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盘点出现盈亏直接自行调账，不用签字</w:t>
      </w:r>
    </w:p>
    <w:p w14:paraId="2C03F0F4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E.</w:t>
      </w:r>
      <w:r>
        <w:rPr>
          <w:rFonts w:ascii="Arial" w:hAnsi="Arial" w:eastAsia="等线" w:cs="Arial"/>
          <w:color w:val="0000FF"/>
          <w:sz w:val="22"/>
        </w:rPr>
        <w:t>盘点出现盈亏</w:t>
      </w: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不做任何处理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解析：盘点规范要求盈亏必须责任人签字、复盘分析，D </w:t>
      </w:r>
      <w:r>
        <w:rPr>
          <w:rFonts w:hint="eastAsia" w:ascii="Arial" w:hAnsi="Arial" w:eastAsia="等线" w:cs="Arial"/>
          <w:sz w:val="22"/>
          <w:lang w:val="en-US" w:eastAsia="zh-CN"/>
        </w:rPr>
        <w:t>E</w:t>
      </w:r>
      <w:r>
        <w:rPr>
          <w:rFonts w:ascii="Arial" w:hAnsi="Arial" w:eastAsia="等线" w:cs="Arial"/>
          <w:sz w:val="22"/>
        </w:rPr>
        <w:t>违规不可执行。</w:t>
      </w:r>
    </w:p>
    <w:p w14:paraId="60EF8E01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6. 废旧物资处置管理要求正确的是（）</w:t>
      </w:r>
      <w:bookmarkEnd w:id="17"/>
    </w:p>
    <w:p w14:paraId="67D5A60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A. 处置全程由管理人员旁站监督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核验款项完成后，开具物资出门证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平台及时登记单据、处置数据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按月核对部门废旧物资处置台账</w:t>
      </w:r>
    </w:p>
    <w:p w14:paraId="430DCB33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E.未经审核私自处理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解析：废旧处置管理 4 条细则，四项内容全部符合规范</w:t>
      </w:r>
      <w:r>
        <w:rPr>
          <w:rFonts w:hint="eastAsia" w:ascii="Arial" w:hAnsi="Arial" w:eastAsia="等线" w:cs="Arial"/>
          <w:sz w:val="22"/>
          <w:lang w:eastAsia="zh-CN"/>
        </w:rPr>
        <w:t>；</w:t>
      </w:r>
      <w:r>
        <w:rPr>
          <w:rFonts w:hint="eastAsia" w:ascii="Arial" w:hAnsi="Arial" w:eastAsia="等线" w:cs="Arial"/>
          <w:sz w:val="22"/>
          <w:lang w:val="en-US" w:eastAsia="zh-CN"/>
        </w:rPr>
        <w:t>E为红线</w:t>
      </w:r>
      <w:r>
        <w:rPr>
          <w:rFonts w:ascii="Arial" w:hAnsi="Arial" w:eastAsia="等线" w:cs="Arial"/>
          <w:sz w:val="22"/>
        </w:rPr>
        <w:t>。</w:t>
      </w:r>
    </w:p>
    <w:p w14:paraId="0C496A0D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7. 供应商问题协调，需要处理的供方问题类型有（）</w:t>
      </w:r>
      <w:bookmarkEnd w:id="18"/>
    </w:p>
    <w:p w14:paraId="40F30D1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A. 供货不及时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卸货超时、产生额外费用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供方质量缺陷问题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问题登记、留存索赔凭证</w:t>
      </w:r>
    </w:p>
    <w:p w14:paraId="3605B133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E.按时供货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解析：供应商问题协调规范，供货时效、卸货费用、货品质量均需协调处置，全流程做台账、留存取证资料</w:t>
      </w:r>
      <w:r>
        <w:rPr>
          <w:rFonts w:hint="eastAsia" w:ascii="Arial" w:hAnsi="Arial" w:eastAsia="等线" w:cs="Arial"/>
          <w:sz w:val="22"/>
          <w:lang w:eastAsia="zh-CN"/>
        </w:rPr>
        <w:t>；</w:t>
      </w:r>
      <w:r>
        <w:rPr>
          <w:rFonts w:hint="eastAsia" w:ascii="Arial" w:hAnsi="Arial" w:eastAsia="等线" w:cs="Arial"/>
          <w:sz w:val="22"/>
          <w:lang w:val="en-US" w:eastAsia="zh-CN"/>
        </w:rPr>
        <w:t>E已按时无需处理</w:t>
      </w:r>
      <w:r>
        <w:rPr>
          <w:rFonts w:ascii="Arial" w:hAnsi="Arial" w:eastAsia="等线" w:cs="Arial"/>
          <w:sz w:val="22"/>
        </w:rPr>
        <w:t>。</w:t>
      </w:r>
    </w:p>
    <w:p w14:paraId="16EEC08A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8. 出库管理（材料出库）作业标准包含（）</w:t>
      </w:r>
      <w:bookmarkEnd w:id="19"/>
    </w:p>
    <w:p w14:paraId="38DDAA9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A. 平台核对领料人授权信息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出库单据信息完整及时，直料类签字完备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仓库材料当面核验签字、留存材料拍照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D. </w:t>
      </w:r>
      <w:r>
        <w:rPr>
          <w:rFonts w:ascii="Arial" w:hAnsi="Arial" w:eastAsia="等线" w:cs="Arial"/>
          <w:color w:val="0000FF"/>
          <w:sz w:val="22"/>
        </w:rPr>
        <w:t>按月对账做结算工作</w:t>
      </w:r>
    </w:p>
    <w:p w14:paraId="62378B5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E.随意操作出库无签字、不拍照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答案：ABCD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解析：材料出库 4 条作业细则，四个选项全部匹配标准要求</w:t>
      </w:r>
      <w:r>
        <w:rPr>
          <w:rFonts w:hint="eastAsia" w:ascii="Arial" w:hAnsi="Arial" w:eastAsia="等线" w:cs="Arial"/>
          <w:sz w:val="22"/>
          <w:lang w:eastAsia="zh-CN"/>
        </w:rPr>
        <w:t>；</w:t>
      </w:r>
      <w:r>
        <w:rPr>
          <w:rFonts w:hint="eastAsia" w:ascii="Arial" w:hAnsi="Arial" w:eastAsia="等线" w:cs="Arial"/>
          <w:sz w:val="22"/>
          <w:lang w:val="en-US" w:eastAsia="zh-CN"/>
        </w:rPr>
        <w:t>E不符合规范要求</w:t>
      </w:r>
      <w:r>
        <w:rPr>
          <w:rFonts w:ascii="Arial" w:hAnsi="Arial" w:eastAsia="等线" w:cs="Arial"/>
          <w:sz w:val="22"/>
        </w:rPr>
        <w:t>。</w:t>
      </w:r>
    </w:p>
    <w:p w14:paraId="311FCC00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三、判断题（10 道，√代表正确，× 代表错误）</w:t>
      </w:r>
      <w:bookmarkEnd w:id="20"/>
      <w:bookmarkStart w:id="31" w:name="_GoBack"/>
      <w:bookmarkEnd w:id="31"/>
    </w:p>
    <w:p w14:paraId="352EA2E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1. 零星材料采购，可未做询比价直接自行采购进场。（）</w:t>
      </w:r>
      <w:bookmarkEnd w:id="21"/>
    </w:p>
    <w:p w14:paraId="2FB587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解析：零星材料采购规范②强制要求：完成询比价记录、公司审批后方可采购进场，禁止无审批私自采购。</w:t>
      </w:r>
    </w:p>
    <w:p w14:paraId="3C4A755C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2. 进场验收严格落实 “无采购清单不验收”，按实际进场日期办理入库。（）</w:t>
      </w:r>
      <w:bookmarkEnd w:id="22"/>
    </w:p>
    <w:p w14:paraId="3548D6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解析：进场入库验收第⑦条明文规定：严禁无清单验收、禁止统一按单日批量做入库操作。</w:t>
      </w:r>
    </w:p>
    <w:p w14:paraId="7DE2B1A5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 自检复查环节，价检工作需要在信息价发布后的 7 个自然日内完成复核。（）</w:t>
      </w:r>
      <w:bookmarkEnd w:id="23"/>
    </w:p>
    <w:p w14:paraId="5950F8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解析：自检复查标准②：价检在信息价发布后的 5 日内完成复核，不是 7 日。</w:t>
      </w:r>
    </w:p>
    <w:p w14:paraId="41A53F72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4. 班组领料出库前，班组需要提前签署《领料人授权委托书》。（）</w:t>
      </w:r>
      <w:bookmarkEnd w:id="24"/>
    </w:p>
    <w:p w14:paraId="575A86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解析：班组领料授权管理要求：班组提前签署委托书，指定授权领料人员，完善签字留痕。</w:t>
      </w:r>
    </w:p>
    <w:p w14:paraId="429A4E82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5. 仓库无人值守时段，大门可以虚掩，允许临时外来人员短暂进入库房。（）</w:t>
      </w:r>
      <w:bookmarkEnd w:id="25"/>
    </w:p>
    <w:p w14:paraId="36086C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解析：仓库进出人员管理规范：库房无人值守必须锁闭门窗，严禁无关人员闯入逗留。</w:t>
      </w:r>
    </w:p>
    <w:p w14:paraId="51E36261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6. 物资盘点出现账实偏差，要编制盈亏分析、由盘点责任人签字确认。（）</w:t>
      </w:r>
      <w:bookmarkEnd w:id="26"/>
    </w:p>
    <w:p w14:paraId="1921C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解析：仓库材料盘点细则③：盘点盈亏编制分析文件，盘点责任人签字存档复盘。</w:t>
      </w:r>
    </w:p>
    <w:p w14:paraId="792A08AD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7. 物资调拨进场后 1 天内需完成核量，按节点开展价检核算。（）</w:t>
      </w:r>
      <w:bookmarkEnd w:id="27"/>
    </w:p>
    <w:p w14:paraId="53D4C8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解析：调拨管理标准②：调拨物资入库上传平台，调拨完成 1 天内完成核量、价检工作。</w:t>
      </w:r>
    </w:p>
    <w:p w14:paraId="12348A66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8. 目标成本编制完成后，无需定期复盘主材用量、不用预警材料超量风险。（）</w:t>
      </w:r>
      <w:bookmarkEnd w:id="28"/>
    </w:p>
    <w:p w14:paraId="50DEA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解析：用量跟踪及分析要求：定期统计主材耗用，识别用量异常，做超量预警、成因分析。</w:t>
      </w:r>
    </w:p>
    <w:p w14:paraId="0F1C8D22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9. 供应商能力评价维度包含供货质量、交付及时性、结算配合度、垫资能力。（）</w:t>
      </w:r>
      <w:bookmarkEnd w:id="29"/>
    </w:p>
    <w:p w14:paraId="4C42A8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解析：供应商能力评价条目：按照供方多维度指标（质量、时效、结算配合、垫资水平）做供方评级。</w:t>
      </w:r>
    </w:p>
    <w:p w14:paraId="45FB2EDC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10. 现场可随意降级处置不合格物料，不用做书面备注、影像留痕。（）</w:t>
      </w:r>
      <w:bookmarkEnd w:id="30"/>
    </w:p>
    <w:p w14:paraId="18B231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答案：×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解析：不合格物料降级、退货全流程，强制要求单据备注事由 + 全过程影像留痕备查。</w:t>
      </w:r>
    </w:p>
    <w:p w14:paraId="00E2E6F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918A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D64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02C287D"/>
    <w:rsid w:val="5E354A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2568</Words>
  <Characters>2700</Characters>
  <TotalTime>24</TotalTime>
  <ScaleCrop>false</ScaleCrop>
  <LinksUpToDate>false</LinksUpToDate>
  <CharactersWithSpaces>2855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2026-07-10T08:28:00Z</dcterms:created>
  <dc:creator>Apache POI</dc:creator>
  <cp:lastModifiedBy>荷包鼓起来</cp:lastModifiedBy>
  <dcterms:modified xsi:type="dcterms:W3CDTF">2026-07-15T07:09:41Z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{"Label":"1","ContentProducer":"001191110102MACQD9K64010000","ProduceID":"7660813388125211601","ReservedCode1":"","ContentPropagator":"","PropagateID":"","ReservedCode2":""}</vt:lpwstr>
  </property>
  <property fmtid="{D5CDD505-2E9C-101B-9397-08002B2CF9AE}" pid="3" name="KSOTemplateDocerSaveRecord">
    <vt:lpwstr>eyJoZGlkIjoiMDNiMTFiYzIwMmIwYTRkNGFkY2E0MTRkNWQ2MDNmZjAiLCJ1c2VySWQiOiI1OTgwNDUwMjgifQ==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11A43035975A4FDA909EB0F36FE25D5D_12</vt:lpwstr>
  </property>
</Properties>
</file>