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6366F1"/>
          <w:sz w:val="24"/>
        </w:rPr>
        <w:t>DIGITAL HUMAN PLATFORM</w:t>
      </w:r>
    </w:p>
    <w:p>
      <w:pPr>
        <w:spacing w:before="240"/>
        <w:jc w:val="center"/>
      </w:pPr>
      <w:r>
        <w:rPr>
          <w:rFonts w:ascii="微软雅黑" w:hAnsi="微软雅黑" w:eastAsia="微软雅黑"/>
          <w:b/>
          <w:color w:val="312E81"/>
          <w:sz w:val="64"/>
        </w:rPr>
        <w:t>2D数字人平台</w:t>
      </w:r>
    </w:p>
    <w:p>
      <w:pPr>
        <w:jc w:val="center"/>
      </w:pPr>
      <w:r>
        <w:rPr>
          <w:rFonts w:ascii="微软雅黑" w:hAnsi="微软雅黑" w:eastAsia="微软雅黑"/>
          <w:color w:val="475569"/>
          <w:sz w:val="40"/>
        </w:rPr>
        <w:t>产品需求文档（PRD）</w:t>
      </w:r>
    </w:p>
    <w:p>
      <w:pPr>
        <w:spacing w:before="560"/>
        <w:jc w:val="center"/>
      </w:pPr>
      <w:r>
        <w:rPr>
          <w:b/>
          <w:color w:val="4F46E5"/>
          <w:sz w:val="24"/>
        </w:rPr>
        <w:t>企业展厅实时互动数字人 · 公有云版本</w:t>
      </w:r>
    </w:p>
    <w:p>
      <w:pPr>
        <w:spacing w:before="16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  <w:insideH w:val="single" w:sz="6" w:color="C7D2FE"/>
          <w:insideV w:val="single" w:sz="6" w:color="C7D2FE"/>
        </w:tblBorders>
      </w:tblPr>
      <w:tblGrid>
        <w:gridCol w:w="4929"/>
        <w:gridCol w:w="4929"/>
      </w:tblGrid>
      <w:tr>
        <w:tc>
          <w:tcPr>
            <w:tcW w:type="dxa" w:w="4929"/>
            <w:shd w:fill="EE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4338CA"/>
              </w:rPr>
              <w:t>文档版本</w:t>
            </w:r>
          </w:p>
        </w:tc>
        <w:tc>
          <w:tcPr>
            <w:tcW w:type="dxa" w:w="492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V1.0</w:t>
            </w:r>
          </w:p>
        </w:tc>
      </w:tr>
      <w:tr>
        <w:tc>
          <w:tcPr>
            <w:tcW w:type="dxa" w:w="4929"/>
            <w:shd w:fill="EE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4338CA"/>
              </w:rPr>
              <w:t>文档状态</w:t>
            </w:r>
          </w:p>
        </w:tc>
        <w:tc>
          <w:tcPr>
            <w:tcW w:type="dxa" w:w="492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评审稿</w:t>
            </w:r>
          </w:p>
        </w:tc>
      </w:tr>
      <w:tr>
        <w:tc>
          <w:tcPr>
            <w:tcW w:type="dxa" w:w="4929"/>
            <w:shd w:fill="EE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4338CA"/>
              </w:rPr>
              <w:t>编制日期</w:t>
            </w:r>
          </w:p>
        </w:tc>
        <w:tc>
          <w:tcPr>
            <w:tcW w:type="dxa" w:w="492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2026年8月4日</w:t>
            </w:r>
          </w:p>
        </w:tc>
      </w:tr>
      <w:tr>
        <w:tc>
          <w:tcPr>
            <w:tcW w:type="dxa" w:w="4929"/>
            <w:shd w:fill="EE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4338CA"/>
              </w:rPr>
              <w:t>计划交付</w:t>
            </w:r>
          </w:p>
        </w:tc>
        <w:tc>
          <w:tcPr>
            <w:tcW w:type="dxa" w:w="492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2026年8月31日</w:t>
            </w:r>
          </w:p>
        </w:tc>
      </w:tr>
      <w:tr>
        <w:tc>
          <w:tcPr>
            <w:tcW w:type="dxa" w:w="4929"/>
            <w:shd w:fill="EEF2FF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rPr>
                <w:b/>
                <w:color w:val="4338CA"/>
              </w:rPr>
              <w:t>产品范围</w:t>
            </w:r>
          </w:p>
        </w:tc>
        <w:tc>
          <w:tcPr>
            <w:tcW w:type="dxa" w:w="4929"/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当前原型所覆盖的功能模块</w:t>
            </w:r>
          </w:p>
        </w:tc>
      </w:tr>
    </w:tbl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13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3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3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编制人</w:t>
            </w:r>
          </w:p>
        </w:tc>
        <w:tc>
          <w:tcPr>
            <w:tcW w:type="dxa" w:w="113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98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变更说明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V1.0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2026-08-04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产品项目组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评审稿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基于当前原型及需求访谈形成首版 PRD</w:t>
            </w:r>
          </w:p>
        </w:tc>
      </w:tr>
    </w:tbl>
    <w:p>
      <w:pPr>
        <w:spacing w:after="0"/>
      </w:pPr>
    </w:p>
    <w:p>
      <w:pPr>
        <w:pStyle w:val="Heading2"/>
      </w:pPr>
      <w:r>
        <w:t>评审与签署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评审角色</w:t>
            </w:r>
          </w:p>
        </w:tc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评审人</w:t>
            </w:r>
          </w:p>
        </w:tc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51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待填写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待评审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研发负责人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待填写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待评审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测试负责人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待填写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待评审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业务负责人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待填写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待评审</w:t>
            </w:r>
          </w:p>
        </w:tc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打开文档后，右键此处并选择“更新域”以生成目录。</w:t>
        <w:fldChar w:fldCharType="end"/>
      </w:r>
    </w:p>
    <w:p>
      <w:r>
        <w:br w:type="page"/>
      </w:r>
    </w:p>
    <w:p>
      <w:pPr>
        <w:pStyle w:val="Heading1"/>
      </w:pPr>
      <w:r>
        <w:t>1. 文档概述</w:t>
      </w:r>
    </w:p>
    <w:p>
      <w:pPr>
        <w:pStyle w:val="Heading2"/>
      </w:pPr>
      <w:r>
        <w:t>1.1 编写目的</w:t>
      </w:r>
    </w:p>
    <w:p>
      <w:r>
        <w:t>本文档用于明确 2D 数字人平台 V1.0 的产品目标、业务范围、角色权限、功能需求、业务规则、验收标准及交付计划，作为产品设计、研发实现、测试验收和项目交付的共同依据。</w:t>
      </w:r>
    </w:p>
    <w:p>
      <w:pPr>
        <w:pStyle w:val="Heading2"/>
      </w:pPr>
      <w:r>
        <w:t>1.2 需求来源与约束</w:t>
      </w:r>
    </w:p>
    <w:p>
      <w:pPr>
        <w:pStyle w:val="ListBullet"/>
        <w:spacing w:after="60"/>
      </w:pPr>
      <w:r>
        <w:t>目标客户：企业客户。</w:t>
      </w:r>
    </w:p>
    <w:p>
      <w:pPr>
        <w:pStyle w:val="ListBullet"/>
        <w:spacing w:after="60"/>
      </w:pPr>
      <w:r>
        <w:t>核心场景：企业展厅内，由数字人实时完成企业介绍与业务讲解，并响应访客提问。</w:t>
      </w:r>
    </w:p>
    <w:p>
      <w:pPr>
        <w:pStyle w:val="ListBullet"/>
        <w:spacing w:after="60"/>
      </w:pPr>
      <w:r>
        <w:t>交付范围：仅实现当前原型包含的功能，不扩展独立移动端、开放平台、3D 数字人或非实时视频生产等产品线。</w:t>
      </w:r>
    </w:p>
    <w:p>
      <w:pPr>
        <w:pStyle w:val="ListBullet"/>
        <w:spacing w:after="60"/>
      </w:pPr>
      <w:r>
        <w:t>部署方式：本期仅支持公有云部署。</w:t>
      </w:r>
    </w:p>
    <w:p>
      <w:pPr>
        <w:pStyle w:val="ListBullet"/>
        <w:spacing w:after="60"/>
      </w:pPr>
      <w:r>
        <w:t>能力来源：形象训练、智能体、知识库为自研；语音合成接入火山引擎语音合成服务。</w:t>
      </w:r>
    </w:p>
    <w:p>
      <w:pPr>
        <w:pStyle w:val="ListBullet"/>
        <w:spacing w:after="60"/>
      </w:pPr>
      <w:r>
        <w:t>用户角色：超级管理员、普通成员。</w:t>
      </w:r>
    </w:p>
    <w:p>
      <w:pPr>
        <w:pStyle w:val="ListBullet"/>
        <w:spacing w:after="60"/>
      </w:pPr>
      <w:r>
        <w:t>计划交付日期：2026 年 8 月 31 日。</w:t>
      </w:r>
    </w:p>
    <w:p>
      <w:pPr>
        <w:pStyle w:val="ListBullet"/>
        <w:spacing w:after="60"/>
      </w:pPr>
      <w:r>
        <w:t>性能指标：本期暂无明确量化指标，需在联调和试运行阶段采集基线数据，并在后续版本补充。</w:t>
      </w: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192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839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83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由形象、声音、智能体和驱动策略组合而成，可在展厅终端实时呈现与交互的数字化角色。</w:t>
            </w:r>
          </w:p>
        </w:tc>
      </w:tr>
      <w:tr>
        <w:tc>
          <w:tcPr>
            <w:tcW w:type="dxa" w:w="192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形象训练</w:t>
            </w:r>
          </w:p>
        </w:tc>
        <w:tc>
          <w:tcPr>
            <w:tcW w:type="dxa" w:w="839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基于符合规范的视频素材训练生成可驱动的 2D 数字人形象。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83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负责理解访客意图、调用知识库并生成业务回答的自研对话能力。</w:t>
            </w:r>
          </w:p>
        </w:tc>
      </w:tr>
      <w:tr>
        <w:tc>
          <w:tcPr>
            <w:tcW w:type="dxa" w:w="192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839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用于沉淀企业介绍、产品与业务资料，并向智能体提供检索依据的内容集合。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</w:t>
            </w:r>
          </w:p>
        </w:tc>
        <w:tc>
          <w:tcPr>
            <w:tcW w:type="dxa" w:w="83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为 2D 本地运行形象配置主形象与多个动作形象的组合关系。</w:t>
            </w:r>
          </w:p>
        </w:tc>
      </w:tr>
      <w:tr>
        <w:tc>
          <w:tcPr>
            <w:tcW w:type="dxa" w:w="192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</w:t>
            </w:r>
          </w:p>
        </w:tc>
        <w:tc>
          <w:tcPr>
            <w:tcW w:type="dxa" w:w="839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允许指定展厅设备在有效期和每日授权时长内使用数字人服务。</w:t>
            </w:r>
          </w:p>
        </w:tc>
      </w:tr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2D 在线版</w:t>
            </w:r>
          </w:p>
        </w:tc>
        <w:tc>
          <w:tcPr>
            <w:tcW w:type="dxa" w:w="83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由云端完成主要驱动与服务调用的形象运行类型。</w:t>
            </w:r>
          </w:p>
        </w:tc>
      </w:tr>
      <w:tr>
        <w:tc>
          <w:tcPr>
            <w:tcW w:type="dxa" w:w="192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2D 本地版</w:t>
            </w:r>
          </w:p>
        </w:tc>
        <w:tc>
          <w:tcPr>
            <w:tcW w:type="dxa" w:w="839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暂指在展厅终端侧运行或使用本地动作资源的形象类型，不等同于平台私有化部署；定义待项目组最终确认。</w:t>
            </w:r>
          </w:p>
        </w:tc>
      </w:tr>
    </w:tbl>
    <w:p>
      <w:pPr>
        <w:spacing w:after="0"/>
      </w:pPr>
    </w:p>
    <w:p>
      <w:pPr>
        <w:pStyle w:val="Heading1"/>
      </w:pPr>
      <w:r>
        <w:t>2. 产品概述</w:t>
      </w:r>
    </w:p>
    <w:p>
      <w:pPr>
        <w:pStyle w:val="Heading2"/>
      </w:pPr>
      <w:r>
        <w:t>2.1 产品定位</w:t>
      </w:r>
    </w:p>
    <w:p>
      <w:r>
        <w:t>2D 数字人平台是一套面向企业展厅的公有云数字人运营管理平台。企业人员可在平台内完成形象训练、动作编排、知识沉淀、智能体配置、数字人组装、设备授权、资源与资产管理，并将已上线数字人用于展厅实时讲解与问答。</w:t>
      </w:r>
    </w:p>
    <w:p>
      <w:pPr>
        <w:pStyle w:val="Heading2"/>
      </w:pPr>
      <w:r>
        <w:t>2.2 产品目标</w:t>
      </w:r>
    </w:p>
    <w:p>
      <w:pPr>
        <w:pStyle w:val="ListBullet"/>
        <w:spacing w:after="60"/>
      </w:pPr>
      <w:r>
        <w:t>形成从素材准备、形象训练、知识构建、智能体配置到数字人上线的完整管理闭环。</w:t>
      </w:r>
    </w:p>
    <w:p>
      <w:pPr>
        <w:pStyle w:val="ListBullet"/>
        <w:spacing w:after="60"/>
      </w:pPr>
      <w:r>
        <w:t>支持企业展厅数字人实时完成标准化企业介绍、业务讲解和访客问答。</w:t>
      </w:r>
    </w:p>
    <w:p>
      <w:pPr>
        <w:pStyle w:val="ListBullet"/>
        <w:spacing w:after="60"/>
      </w:pPr>
      <w:r>
        <w:t>通过设备授权与每日授权时长控制企业设备的使用资格和可用额度。</w:t>
      </w:r>
    </w:p>
    <w:p>
      <w:pPr>
        <w:pStyle w:val="ListBullet"/>
        <w:spacing w:after="60"/>
      </w:pPr>
      <w:r>
        <w:t>为超级管理员提供资源、资产和版本的统一运维管理入口。</w:t>
      </w:r>
    </w:p>
    <w:p>
      <w:pPr>
        <w:pStyle w:val="ListBullet"/>
        <w:spacing w:after="60"/>
      </w:pPr>
      <w:r>
        <w:t>通过明确状态、失败原因和操作反馈，降低平台日常配置和排障成本。</w:t>
      </w:r>
    </w:p>
    <w:p>
      <w:pPr>
        <w:pStyle w:val="Heading2"/>
      </w:pPr>
      <w:r>
        <w:t>2.3 本期成功标准</w:t>
      </w:r>
    </w:p>
    <w:p>
      <w:pPr>
        <w:pStyle w:val="ListBullet"/>
        <w:spacing w:after="60"/>
      </w:pPr>
      <w:r>
        <w:t>当前原型的 9 个一级模块均可访问，主要列表、筛选、创建或配置流程可完成。</w:t>
      </w:r>
    </w:p>
    <w:p>
      <w:pPr>
        <w:pStyle w:val="ListBullet"/>
        <w:spacing w:after="60"/>
      </w:pPr>
      <w:r>
        <w:t>超级管理员与普通成员可按权限访问对应功能，越权操作被阻止并记录。</w:t>
      </w:r>
    </w:p>
    <w:p>
      <w:pPr>
        <w:pStyle w:val="ListBullet"/>
        <w:spacing w:after="60"/>
      </w:pPr>
      <w:r>
        <w:t>至少一条完整链路可通过验收：形象训练完成 → 知识库可用 → 智能体运行 → 数字人上线 → 授权设备实时互动。</w:t>
      </w:r>
    </w:p>
    <w:p>
      <w:pPr>
        <w:pStyle w:val="ListBullet"/>
        <w:spacing w:after="60"/>
      </w:pPr>
      <w:r>
        <w:t>火山引擎语音合成服务完成联调，数字人的回答可合成为语音并驱动播报。</w:t>
      </w:r>
    </w:p>
    <w:p>
      <w:pPr>
        <w:pStyle w:val="ListBullet"/>
        <w:spacing w:after="60"/>
      </w:pPr>
      <w:r>
        <w:t>核心异常场景具有明确提示，包括训练素材不合规、知识处理失败、服务调用失败、设备未授权及授权时长耗尽。</w:t>
      </w:r>
    </w:p>
    <w:p>
      <w:pPr>
        <w:pStyle w:val="Heading2"/>
      </w:pPr>
      <w:r>
        <w:t>2.4 非本期范围</w:t>
      </w:r>
    </w:p>
    <w:p>
      <w:pPr>
        <w:pStyle w:val="ListBullet"/>
        <w:spacing w:after="60"/>
      </w:pPr>
      <w:r>
        <w:t>私有化部署、完全离线部署及混合云交付。</w:t>
      </w:r>
    </w:p>
    <w:p>
      <w:pPr>
        <w:pStyle w:val="ListBullet"/>
        <w:spacing w:after="60"/>
      </w:pPr>
      <w:r>
        <w:t>3D 数字人、虚拟场景编辑、短视频批量生产和非实时视频合成工作台。</w:t>
      </w:r>
    </w:p>
    <w:p>
      <w:pPr>
        <w:pStyle w:val="ListBullet"/>
        <w:spacing w:after="60"/>
      </w:pPr>
      <w:r>
        <w:t>真实套餐购买、在线支付、发票、续费和消费账单。</w:t>
      </w:r>
    </w:p>
    <w:p>
      <w:pPr>
        <w:pStyle w:val="ListBullet"/>
        <w:spacing w:after="60"/>
      </w:pPr>
      <w:r>
        <w:t>面向第三方开发者的开放 API、SDK、开发者门户及应用市场。</w:t>
      </w:r>
    </w:p>
    <w:p>
      <w:pPr>
        <w:pStyle w:val="ListBullet"/>
        <w:spacing w:after="60"/>
      </w:pPr>
      <w:r>
        <w:t>复杂审批流、组织架构同步、跨企业资源共享。</w:t>
      </w:r>
    </w:p>
    <w:p>
      <w:pPr>
        <w:pStyle w:val="ListBullet"/>
        <w:spacing w:after="60"/>
      </w:pPr>
      <w:r>
        <w:t>原型之外的独立展厅访客端 UI 重构；本期仅保障数字人实时互动链路所需的终端接入能力。</w:t>
      </w:r>
    </w:p>
    <w:p>
      <w:pPr>
        <w:pStyle w:val="Heading1"/>
      </w:pPr>
      <w:r>
        <w:t>3. 用户、权限与使用场景</w:t>
      </w:r>
    </w:p>
    <w:p>
      <w:pPr>
        <w:pStyle w:val="Heading2"/>
      </w:pPr>
      <w:r>
        <w:t>3.1 用户角色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1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角色说明</w:t>
            </w:r>
          </w:p>
        </w:tc>
        <w:tc>
          <w:tcPr>
            <w:tcW w:type="dxa" w:w="510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核心权限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平台或企业最高权限管理者，负责全局配置与运维。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访问全部模块；创建、编辑、启停业务资源；管理设备授权与每日授权时长；管理资源池和版本；查看全量资产和运行状态。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普通成员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企业内部负责内容运营、数字人配置或展厅维护的工作人员。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访问被授权的业务模块；创建和维护形象、动作编排、智能体、数字人、知识库与资产；查看设备授权信息；不可调整设备授权、资源池和平台版本。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  <w:insideH w:val="single" w:sz="6" w:color="C7D2FE"/>
          <w:insideV w:val="single" w:sz="6" w:color="C7D2FE"/>
        </w:tblBorders>
      </w:tblPr>
      <w:tblGrid>
        <w:gridCol w:w="9859"/>
      </w:tblGrid>
      <w:tr>
        <w:tc>
          <w:tcPr>
            <w:tcW w:type="dxa" w:w="9859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4F46E5"/>
              </w:rPr>
              <w:t>权限假设：</w:t>
            </w:r>
            <w:r>
              <w:t>普通成员的具体数据范围暂按同一企业租户内可见处理；如需按创建人、项目或部门隔离，应在开发前确认。</w:t>
            </w:r>
          </w:p>
        </w:tc>
      </w:tr>
    </w:tbl>
    <w:p>
      <w:pPr>
        <w:spacing w:after="0"/>
      </w:pPr>
    </w:p>
    <w:p>
      <w:pPr>
        <w:pStyle w:val="Heading2"/>
      </w:pPr>
      <w:r>
        <w:t>3.2 模块权限矩阵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02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超级管理员</w:t>
            </w:r>
          </w:p>
        </w:tc>
        <w:tc>
          <w:tcPr>
            <w:tcW w:type="dxa" w:w="402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普通成员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形象训练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查看、新建、管理、查看失败原因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查看、新建、管理企业内训练任务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查看、新建、编辑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查看、新建、编辑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查看、新建、配置、启停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查看、新建、配置；启停权限可配置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查看、新建、绑定、上线/下线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查看、新建、绑定；上线/下线权限可配置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查看、新建、维护、启停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查看、新建、维护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权益管理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查看并调整设备授权、每日时长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仅查看授权与用量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资源池管理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查看、新增、维护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默认无入口或只读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资产管理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查看、上传、管理全量资产</w:t>
            </w:r>
          </w:p>
        </w:tc>
        <w:tc>
          <w:tcPr>
            <w:tcW w:type="dxa" w:w="402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查看、上传、管理企业内资产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版本管理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查看、发布、回滚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默认只读或无入口</w:t>
            </w:r>
          </w:p>
        </w:tc>
      </w:tr>
    </w:tbl>
    <w:p>
      <w:pPr>
        <w:spacing w:after="0"/>
      </w:pPr>
    </w:p>
    <w:p>
      <w:pPr>
        <w:pStyle w:val="Heading2"/>
      </w:pPr>
      <w:r>
        <w:t>3.3 核心使用场景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15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参与者</w:t>
            </w:r>
          </w:p>
        </w:tc>
        <w:tc>
          <w:tcPr>
            <w:tcW w:type="dxa" w:w="340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94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企业介绍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访客、展厅数字人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访客通过语音或终端操作了解企业概况、发展历程和核心优势。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数字人基于企业知识库实时回答并语音播报。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业务讲解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访客、展厅数字人</w:t>
            </w:r>
          </w:p>
        </w:tc>
        <w:tc>
          <w:tcPr>
            <w:tcW w:type="dxa" w:w="34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访客咨询具体产品、服务或解决方案。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智能体检索业务资料，输出口径统一的讲解内容。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数字人配置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超级管理员/普通成员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完成形象、声音、知识和智能体的配置与上线。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数字人处于已上线状态，可被授权设备调用。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34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控制展厅设备可用资格及每天可使用时长。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授权范围实时生效，终端可查询剩余时长。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运营与运维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查看资源、资产、任务和版本状态。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异常可定位，版本可发布或回滚。</w:t>
            </w:r>
          </w:p>
        </w:tc>
      </w:tr>
    </w:tbl>
    <w:p>
      <w:pPr>
        <w:spacing w:after="0"/>
      </w:pPr>
    </w:p>
    <w:p>
      <w:pPr>
        <w:pStyle w:val="Heading1"/>
      </w:pPr>
      <w:r>
        <w:t>4. 产品架构与信息结构</w:t>
      </w:r>
    </w:p>
    <w:p>
      <w:pPr>
        <w:pStyle w:val="Heading2"/>
      </w:pPr>
      <w:r>
        <w:t>4.1 一级导航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5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13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模块职责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形象训练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 2D 形象训练任务并跟踪训练结果。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</w:t>
            </w:r>
          </w:p>
        </w:tc>
        <w:tc>
          <w:tcPr>
            <w:tcW w:type="dxa" w:w="7313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为 2D 本地运行形象配置主形象与动作形象。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管理展厅讲解与问答智能体。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7313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组装形象、智能体与声音并管理上线状态。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管理企业介绍与业务知识内容。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权益管理</w:t>
            </w:r>
          </w:p>
        </w:tc>
        <w:tc>
          <w:tcPr>
            <w:tcW w:type="dxa" w:w="7313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展示和管理设备授权及每日授权时长。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资源池管理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监控和管理计算、并发与存储资源。</w:t>
            </w:r>
          </w:p>
        </w:tc>
      </w:tr>
      <w:tr>
        <w:tc>
          <w:tcPr>
            <w:tcW w:type="dxa" w:w="8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资产管理</w:t>
            </w:r>
          </w:p>
        </w:tc>
        <w:tc>
          <w:tcPr>
            <w:tcW w:type="dxa" w:w="7313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统一管理视频、音频、图片和项目文件。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版本管理</w:t>
            </w:r>
          </w:p>
        </w:tc>
        <w:tc>
          <w:tcPr>
            <w:tcW w:type="dxa" w:w="73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管理平台或数字人应用版本发布与回滚。</w:t>
            </w:r>
          </w:p>
        </w:tc>
      </w:tr>
    </w:tbl>
    <w:p>
      <w:pPr>
        <w:spacing w:after="0"/>
      </w:pPr>
    </w:p>
    <w:p>
      <w:pPr>
        <w:pStyle w:val="Heading2"/>
      </w:pPr>
      <w:r>
        <w:t>4.2 核心业务链路</w:t>
      </w:r>
    </w:p>
    <w:p>
      <w:pPr>
        <w:pStyle w:val="ListNumber"/>
        <w:spacing w:after="60"/>
      </w:pPr>
      <w:r>
        <w:t>运营人员准备企业介绍、业务资料及符合规范的真人录制视频。</w:t>
      </w:r>
    </w:p>
    <w:p>
      <w:pPr>
        <w:pStyle w:val="ListNumber"/>
        <w:spacing w:after="60"/>
      </w:pPr>
      <w:r>
        <w:t>在“形象训练”创建任务，选择 2D 在线版或本地运行类型并上传视频，等待训练完成。</w:t>
      </w:r>
    </w:p>
    <w:p>
      <w:pPr>
        <w:pStyle w:val="ListNumber"/>
        <w:spacing w:after="60"/>
      </w:pPr>
      <w:r>
        <w:t>在“知识库”创建企业知识库，导入资料并等待内容处理完成。</w:t>
      </w:r>
    </w:p>
    <w:p>
      <w:pPr>
        <w:pStyle w:val="ListNumber"/>
        <w:spacing w:after="60"/>
      </w:pPr>
      <w:r>
        <w:t>在“智能体”创建展厅讲解智能体，关联已启用知识库并完成调试。</w:t>
      </w:r>
    </w:p>
    <w:p>
      <w:pPr>
        <w:pStyle w:val="ListNumber"/>
        <w:spacing w:after="60"/>
      </w:pPr>
      <w:r>
        <w:t>如使用 2D 本地运行形象，在“动作编排”配置主形象及动作形象组合。</w:t>
      </w:r>
    </w:p>
    <w:p>
      <w:pPr>
        <w:pStyle w:val="ListNumber"/>
        <w:spacing w:after="60"/>
      </w:pPr>
      <w:r>
        <w:t>在“数字人”创建数字人员工，绑定形象、智能体、声音及驱动策略，测试后上线。</w:t>
      </w:r>
    </w:p>
    <w:p>
      <w:pPr>
        <w:pStyle w:val="ListNumber"/>
        <w:spacing w:after="60"/>
      </w:pPr>
      <w:r>
        <w:t>超级管理员在“权益管理”授权展厅设备并配置每日授权时长。</w:t>
      </w:r>
    </w:p>
    <w:p>
      <w:pPr>
        <w:pStyle w:val="ListNumber"/>
        <w:spacing w:after="60"/>
      </w:pPr>
      <w:r>
        <w:t>终端发起实时会话：接收访客输入 → 智能体理解与检索 → 生成回答 → 火山引擎合成语音 → 形象实时驱动播报。</w:t>
      </w:r>
    </w:p>
    <w:p>
      <w:pPr>
        <w:pStyle w:val="Heading1"/>
      </w:pPr>
      <w:r>
        <w:t>5. 功能需求</w:t>
      </w:r>
    </w:p>
    <w:p>
      <w:pPr>
        <w:pStyle w:val="Heading2"/>
      </w:pPr>
      <w:r>
        <w:t>5.1 全局框架与通用能力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平台导航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左侧展示 9 个一级模块；当前模块高亮；切换后保留统一平台框架。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所有菜单均可到达；高亮与页面标题一致。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身份与角色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用户登录后识别超级管理员或普通成员，并按权限展示入口和操作。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不同角色权限符合矩阵；越权请求被服务端拒绝。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服务状态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顶部展示平台服务状态；异常时可展示异常提示或入口。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正常状态与实际监控结果一致；异常不误报正常。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通知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顶部提供通知入口，用于任务完成、失败、授权异常和版本发布结果提醒。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未读状态可见；点击可查看对应信息。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个人菜单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展示当前用户姓名、角色，并提供个人中心和退出登录入口。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信息准确；退出后会话失效并返回登录入口。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列表通用能力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列表支持关键词搜索、状态筛选、记录数展示、分页和空状态。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筛选结果、记录数、分页互相一致；无结果时显示空状态。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COM-007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表单反馈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创建/保存成功后给出成功提示；校验失败或服务异常时保留已填内容并说明原因。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不得仅关闭弹窗而无结果反馈；重复提交受控。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COM-008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帮助入口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侧栏提供使用指南或帮助文档入口。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入口可访问，内容与当前版本相匹配。</w:t>
            </w:r>
          </w:p>
        </w:tc>
      </w:tr>
    </w:tbl>
    <w:p>
      <w:pPr>
        <w:spacing w:after="0"/>
      </w:pPr>
    </w:p>
    <w:p>
      <w:pPr>
        <w:pStyle w:val="Heading2"/>
      </w:pPr>
      <w:r>
        <w:t>5.2 形象训练</w:t>
      </w:r>
    </w:p>
    <w:p>
      <w:r>
        <w:t>模块目标：创建和管理 2D 数字人形象训练任务，并使运营人员能够清晰识别任务进度和失败原因。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展示形象总数、训练中、已完成及本月生成等统计。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统计口径明确，数值与任务列表一致。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展示项目名称/编号、训练类型、创建时间、进度、状态及操作。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字段完整；状态和进度实时或定时刷新。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创建任务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填写项目名称、数字人类型、视频素材和备注后创建训练任务。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必填项未填写不可提交；成功后生成唯一任务编号。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类型选择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支持原型中的 2D 在线版和 2D 本地版两种训练类型，并展示对应素材要求。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切换类型后要求同步切换；提交按所选类型校验。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在线版素材校验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视频时长 3–6 分钟、分辨率 1080p–4K、大小不超过 4GB，且需检测黑帧等明显不合规问题。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不合规素材不能进入正式训练，提示具体原因。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本地版素材校验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 MP4/AVI/MOV/WEBM；分辨率不大于 2K；时长低于 30 秒；大小不超过 50MB。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格式、时长、分辨率和大小均按规则校验。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TRN-007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训练状态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状态至少包括待训练、训练中、已完成、不通过；训练中展示进度。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状态流转合法；完成后形象可被数字人模块选择。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TRN-008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失败原因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任务不通过时在列表或详情展示明确失败原因，例如视频存在黑帧。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失败原因可读且可用于重新准备素材。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TRN-009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搜索筛选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支持按名称或编号搜索，按训练状态筛选。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组合条件结果准确，可清空恢复全部。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  <w:insideH w:val="single" w:sz="6" w:color="C7D2FE"/>
          <w:insideV w:val="single" w:sz="6" w:color="C7D2FE"/>
        </w:tblBorders>
      </w:tblPr>
      <w:tblGrid>
        <w:gridCol w:w="9859"/>
      </w:tblGrid>
      <w:tr>
        <w:tc>
          <w:tcPr>
            <w:tcW w:type="dxa" w:w="9859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4F46E5"/>
              </w:rPr>
              <w:t>录制规范：</w:t>
            </w:r>
            <w:r>
              <w:t>除系统可自动校验项外，页面需展示安静环境、正脸、无遮挡、前 15 秒闭嘴、句间闭嘴等人工录制要求；具体文案沿用已确认原型。</w:t>
            </w:r>
          </w:p>
        </w:tc>
      </w:tr>
    </w:tbl>
    <w:p>
      <w:pPr>
        <w:spacing w:after="0"/>
      </w:pPr>
    </w:p>
    <w:p>
      <w:pPr>
        <w:pStyle w:val="Heading2"/>
      </w:pPr>
      <w:r>
        <w:t>5.3 动作编排</w:t>
      </w:r>
    </w:p>
    <w:p>
      <w:r>
        <w:t>模块目标：为 2D 本地运行形象配置不同讲解场景所需的动作形象组合。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ACT-001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适用范围提示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页面明确提示动作编排仅支持 2D 本地运行形象。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提示始终可见；不可选择不适用的在线版形象。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ACT-002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编排列表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展示编排名称/编号、主形象、动作形象列表、描述、更新时间和操作。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字段与保存结果一致；超过两个动作时可折叠显示数量。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ACT-003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新增编排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填写名称，选择一个主形象、至少一个动作形象，并填写用途描述。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缺少必填项不可保存；至少选择一个动作形象。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ACT-004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编辑编排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可修改已有编排的名称、主形象、动作形象和描述。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保存后列表立即更新；更新时间刷新。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ACT-005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候选资源约束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主形象及动作形象仅展示已完成训练且可用的本地运行形象资源。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不可用资源不允许新增选择；已引用资源失效时提示。</w:t>
            </w:r>
          </w:p>
        </w:tc>
      </w:tr>
    </w:tbl>
    <w:p>
      <w:pPr>
        <w:spacing w:after="0"/>
      </w:pPr>
    </w:p>
    <w:p>
      <w:pPr>
        <w:pStyle w:val="Heading2"/>
      </w:pPr>
      <w:r>
        <w:t>5.4 智能体</w:t>
      </w:r>
    </w:p>
    <w:p>
      <w:r>
        <w:t>模块目标：配置用于企业介绍和业务问答的自研智能体，并关联企业知识库。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展示智能体总数、运行中数量、今日会话和平均响应等运营信息；无性能指标前仅作观测。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统计时间范围清晰；数据可追溯。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展示名称/编号、应用场景、关联知识库、更新时间和状态。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支持名称/编号搜索及状态筛选。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创建智能体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至少配置名称、应用场景、关联知识库、基础提示词/回答策略和备注。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名称必填；只允许关联可用知识库；创建后默认为调试中。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知识检索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智能体可调用自研知识库检索企业资料并生成回答。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测试问题能够返回引用当前知识库内容的回答。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支持调试中、运行中、已停用状态；只有运行中智能体可供已上线数字人使用。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状态限制生效；停用已绑定智能体时提示影响范围。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AGT-006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调试验证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上线前提供最小可用的问答测试能力，验证知识命中和回答效果。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可输入问题并查看回答；失败时显示可定位信息。</w:t>
            </w:r>
          </w:p>
        </w:tc>
      </w:tr>
    </w:tbl>
    <w:p>
      <w:pPr>
        <w:spacing w:after="0"/>
      </w:pPr>
    </w:p>
    <w:p>
      <w:pPr>
        <w:pStyle w:val="Heading2"/>
      </w:pPr>
      <w:r>
        <w:t>5.5 数字人</w:t>
      </w:r>
    </w:p>
    <w:p>
      <w:r>
        <w:t>模块目标：将形象、智能体、声音及驱动策略组装为可在企业展厅使用的数字人员工。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展示数字人总数、已上线数量、驱动时长和互动次数。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统计口径与当前租户及时间范围一致。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展示名称、角色说明、形象类型、绑定智能体、最近使用时间和状态。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可按名称/编号搜索并按状态筛选。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创建数字人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配置名称、角色说明、已完成形象、运行中的智能体、语音及驱动策略。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缺少核心绑定项时只能保存草稿，不可上线。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语音配置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通过火山引擎语音合成服务选择已授权音色或默认音色，支持试听。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能够生成试听语音；失败时显示服务异常信息。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实时互动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接收终端会话输入，调用智能体生成回答，调用语音合成，并驱动形象实时播报。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授权设备可完成一次连续问答；回答文本、语音和形象播报内容一致。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上线状态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状态包括草稿、已上线、已下线；只有配置完整且依赖可用的数字人可上线。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依赖不可用时阻止上线并说明原因；下线后终端不可新建会话。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DHM-007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依赖校验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形象、智能体、知识库或语音服务失效时，平台需提示受影响数字人。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依赖关系可查；异常不会静默导致错误播报。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C7D2FE"/>
          <w:left w:val="single" w:sz="6" w:color="C7D2FE"/>
          <w:bottom w:val="single" w:sz="6" w:color="C7D2FE"/>
          <w:right w:val="single" w:sz="6" w:color="C7D2FE"/>
          <w:insideH w:val="single" w:sz="6" w:color="C7D2FE"/>
          <w:insideV w:val="single" w:sz="6" w:color="C7D2FE"/>
        </w:tblBorders>
      </w:tblPr>
      <w:tblGrid>
        <w:gridCol w:w="9859"/>
      </w:tblGrid>
      <w:tr>
        <w:tc>
          <w:tcPr>
            <w:tcW w:type="dxa" w:w="9859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4F46E5"/>
              </w:rPr>
              <w:t>待确认依赖：</w:t>
            </w:r>
            <w:r>
              <w:t>实时语音交互还需要语音识别（ASR）能力。当前仅确认语音合成使用火山引擎，ASR 来源尚未明确；本 PRD 暂按平台具备可用 ASR 服务作为联调前提。</w:t>
            </w:r>
          </w:p>
        </w:tc>
      </w:tr>
    </w:tbl>
    <w:p>
      <w:pPr>
        <w:spacing w:after="0"/>
      </w:pPr>
    </w:p>
    <w:p>
      <w:pPr>
        <w:pStyle w:val="Heading2"/>
      </w:pPr>
      <w:r>
        <w:t>5.6 知识库</w:t>
      </w:r>
    </w:p>
    <w:p>
      <w:r>
        <w:t>模块目标：沉淀企业介绍、产品服务和业务资料，为智能体提供准确、可维护的内容来源。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展示知识库数量、文档总数、切片数量和今日命中情况。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统计数据与当前企业一致；处理中的内容不计入可用量。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展示名称/编号、内容类型、文档数量、最后更新时间和状态。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支持名称/编号搜索和状态筛选。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创建知识库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填写名称、用途说明和备注，创建企业知识集合。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名称必填且在企业范围内可识别；创建后可导入内容。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内容导入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支持原型所体现的文档、网页、文本、表格、音频等内容类型；具体格式白名单由研发确认。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合法内容可上传并进入处理；非法格式提示原因。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内容处理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自研能力完成解析、切片与索引；状态至少包括处理中、已启用、处理失败。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处理完成后可检索；失败任务可查看原因并重试。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KBS-006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智能体关联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已启用知识库可被智能体选择，处理中或失败的知识库不可用于正式运行。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关联规则生效；停用时提示受影响智能体。</w:t>
            </w:r>
          </w:p>
        </w:tc>
      </w:tr>
    </w:tbl>
    <w:p>
      <w:pPr>
        <w:spacing w:after="0"/>
      </w:pPr>
    </w:p>
    <w:p>
      <w:pPr>
        <w:pStyle w:val="Heading2"/>
      </w:pPr>
      <w:r>
        <w:t>5.7 权益管理（设备授权）</w:t>
      </w:r>
    </w:p>
    <w:p>
      <w:r>
        <w:t>模块目标：仅展示和管理企业展厅设备授权及每天设备授权时长，不包含套餐购买、支付或计费。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展示设备总数、已授权设备、今日可用授权时长、今日已使用时长等概览。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概览与设备明细汇总一致。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展示设备名称、设备编号、所属企业/展厅、授权状态、有效期、每日授权时长、今日已用和剩余时长。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设备编号唯一；时长计算一致且可追溯。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授权设备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超级管理员可为设备开通授权，配置授权有效期和每日授权时长。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授权参数校验通过后生效；普通成员无修改权限。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调整与停用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超级管理员可调整有效期/每日时长，或停用设备授权。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调整记录进入审计日志；停用后不得新建数字人会话。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每日时长扣减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设备使用数字人实时互动时累计当日用量；达到每日授权上限后阻止继续新建或续接会话。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扣减不重复；用尽时终端收到明确提示。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BEN-006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每日重置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按统一业务时区在自然日切换时重置今日已用时长。暂按 Asia/Shanghai 00:00。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跨日后剩余时长恢复为当日额度；历史用量保留。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BEN-007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只读访问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普通成员可查看设备授权、今日用量和剩余时长，不可修改。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页面无编辑入口，服务端拒绝修改请求。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BEN-008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异常提示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设备未授权、授权过期、授权停用或当日时长耗尽时返回不同错误原因。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终端和管理后台均可识别具体状态。</w:t>
            </w:r>
          </w:p>
        </w:tc>
      </w:tr>
    </w:tbl>
    <w:p>
      <w:pPr>
        <w:spacing w:after="0"/>
      </w:pPr>
    </w:p>
    <w:p>
      <w:pPr>
        <w:pStyle w:val="Heading2"/>
      </w:pPr>
      <w:r>
        <w:t>5.8 资源池管理</w:t>
      </w:r>
    </w:p>
    <w:p>
      <w:r>
        <w:t>模块目标：由超级管理员监控和维护公有云中的训练、推理、实时驱动及存储资源。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RES-001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资源概览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 GPU 节点、当前负载、可用并发和存储用量。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数据来源真实；更新时间可识别。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RES-002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资源池列表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展示资源池名称/编号、类型、规格、当前负载和健康状态。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支持查询与状态筛选；状态与监控一致。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RES-003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新增资源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超级管理员可登记或接入新的计算、训练、推理或存储资源。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必填配置校验；接入失败显示原因。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RES-004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健康状态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至少支持健康、繁忙、异常等状态，并对高负载或不可用资源提示。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异常状态可定位到资源池；不向普通成员开放敏感配置。</w:t>
            </w:r>
          </w:p>
        </w:tc>
      </w:tr>
    </w:tbl>
    <w:p>
      <w:pPr>
        <w:spacing w:after="0"/>
      </w:pPr>
    </w:p>
    <w:p>
      <w:pPr>
        <w:pStyle w:val="Heading2"/>
      </w:pPr>
      <w:r>
        <w:t>5.9 资产管理</w:t>
      </w:r>
    </w:p>
    <w:p>
      <w:r>
        <w:t>模块目标：集中管理形象训练、知识构建和数字人配置所使用的视频、音频、图片与项目文件。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AST-001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展示全部资产及视频、音频、图片数量和空间占用。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统计与资产列表一致。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AST-002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展示资产名称/编号、文件类型、大小、更新时间和状态。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支持名称/编号搜索及状态筛选。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AST-003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上传资产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支持上传原型范围内的视频、音频、图片和压缩包，并填写备注。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格式和大小校验；上传进度与结果明确。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AST-004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资产状态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状态至少包括审核中、可用、不可用；只有可用资产可被业务模块选择。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非法或处理失败资产不可被引用，并显示原因。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AST-005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资产引用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业务模块引用资产时保存关联关系，避免已被使用的资产被误删或替换。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存在引用时限制删除并展示引用位置。</w:t>
            </w:r>
          </w:p>
        </w:tc>
      </w:tr>
    </w:tbl>
    <w:p>
      <w:pPr>
        <w:spacing w:after="0"/>
      </w:pPr>
    </w:p>
    <w:p>
      <w:pPr>
        <w:pStyle w:val="Heading2"/>
      </w:pPr>
      <w:r>
        <w:t>5.10 版本管理</w:t>
      </w:r>
    </w:p>
    <w:p>
      <w:r>
        <w:t>模块目标：管理平台或数字人应用版本，支持测试验证、发布、历史追踪和必要时回滚。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需求编号</w:t>
            </w:r>
          </w:p>
        </w:tc>
        <w:tc>
          <w:tcPr>
            <w:tcW w:type="dxa" w:w="79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功能/规则</w:t>
            </w:r>
          </w:p>
        </w:tc>
        <w:tc>
          <w:tcPr>
            <w:tcW w:type="dxa" w:w="408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VER-001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版本概览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展示当前版本、本月发布数、待发布数和运行实例状态。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当前版本唯一；数据与发布记录一致。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VER-002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版本列表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展示版本号、构建号、版本类型、发布范围、发布时间和状态。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版本号/构建号唯一；历史记录不可随意修改。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VER-003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发布新版本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超级管理员可创建发布记录，选择测试环境或全量范围并执行发布。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发布前校验必填信息；结果和失败原因可查看。</w:t>
            </w:r>
          </w:p>
        </w:tc>
      </w:tr>
      <w:tr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VER-004</w:t>
            </w:r>
          </w:p>
        </w:tc>
        <w:tc>
          <w:tcPr>
            <w:tcW w:type="dxa" w:w="79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灰度与回滚</w:t>
            </w:r>
          </w:p>
        </w:tc>
        <w:tc>
          <w:tcPr>
            <w:tcW w:type="dxa" w:w="408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支持按发布范围灰度；出现严重问题时可回滚至最近稳定版本。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回滚动作需二次确认并记录操作人、时间和原因。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VER-005</w:t>
            </w:r>
          </w:p>
        </w:tc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状态管理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状态至少包括测试中、等待发布、当前版本、历史版本、发布失败。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状态流转符合发布过程；失败不覆盖当前稳定版本。</w:t>
            </w:r>
          </w:p>
        </w:tc>
      </w:tr>
    </w:tbl>
    <w:p>
      <w:pPr>
        <w:spacing w:after="0"/>
      </w:pPr>
    </w:p>
    <w:p>
      <w:pPr>
        <w:pStyle w:val="Heading1"/>
      </w:pPr>
      <w:r>
        <w:t>6. 关键业务规则</w:t>
      </w:r>
    </w:p>
    <w:p>
      <w:pPr>
        <w:pStyle w:val="Heading2"/>
      </w:pPr>
      <w:r>
        <w:t>6.1 状态流转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96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状态流转</w:t>
            </w:r>
          </w:p>
        </w:tc>
        <w:tc>
          <w:tcPr>
            <w:tcW w:type="dxa" w:w="453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关键限制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形象训练任务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待训练 → 训练中 → 已完成；任一校验或训练阶段可进入不通过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已完成形象方可被后续模块使用；不通过需保留原因。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39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新建 → 处理中 → 已启用；处理失败可重试</w:t>
            </w:r>
          </w:p>
        </w:tc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只有已启用知识库可供运行中的智能体使用。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调试中 → 运行中 ↔ 已停用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运行中需至少关联一个可用知识库。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39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草稿 → 已上线 ↔ 已下线</w:t>
            </w:r>
          </w:p>
        </w:tc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上线前形象、智能体和语音配置必须可用。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未授权 → 已生效 → 已过期/已停用</w:t>
            </w:r>
          </w:p>
        </w:tc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有效期内且当日有剩余授权时长才可使用。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39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测试中 → 等待发布 → 当前版本 → 历史版本</w:t>
            </w:r>
          </w:p>
        </w:tc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发布失败不得影响当前稳定版本。</w:t>
            </w:r>
          </w:p>
        </w:tc>
      </w:tr>
    </w:tbl>
    <w:p>
      <w:pPr>
        <w:spacing w:after="0"/>
      </w:pPr>
    </w:p>
    <w:p>
      <w:pPr>
        <w:pStyle w:val="Heading2"/>
      </w:pPr>
      <w:r>
        <w:t>6.2 设备授权时长规则</w:t>
      </w:r>
    </w:p>
    <w:p>
      <w:pPr>
        <w:pStyle w:val="ListBullet"/>
        <w:spacing w:after="60"/>
      </w:pPr>
      <w:r>
        <w:t>每日授权时长按设备独立配置，单位建议为分钟，展示时可转换为小时/分钟。</w:t>
      </w:r>
    </w:p>
    <w:p>
      <w:pPr>
        <w:pStyle w:val="ListBullet"/>
        <w:spacing w:after="60"/>
      </w:pPr>
      <w:r>
        <w:t>计时口径暂按数字人实时会话实际占用时长累计；页面停留但未建立会话不扣减。</w:t>
      </w:r>
    </w:p>
    <w:p>
      <w:pPr>
        <w:pStyle w:val="ListBullet"/>
        <w:spacing w:after="60"/>
      </w:pPr>
      <w:r>
        <w:t>同一设备重复上报或网络重试不得造成重复扣减，应使用会话编号保证幂等。</w:t>
      </w:r>
    </w:p>
    <w:p>
      <w:pPr>
        <w:pStyle w:val="ListBullet"/>
        <w:spacing w:after="60"/>
      </w:pPr>
      <w:r>
        <w:t>当日剩余时长不足时，终端不得新建会话；正在进行的会话是否立即结束需业务确认，默认允许完成当前回答后结束。</w:t>
      </w:r>
    </w:p>
    <w:p>
      <w:pPr>
        <w:pStyle w:val="ListBullet"/>
        <w:spacing w:after="60"/>
      </w:pPr>
      <w:r>
        <w:t>每日 00:00（Asia/Shanghai）重置当日已用时长，历史日用量保留用于审计。</w:t>
      </w:r>
    </w:p>
    <w:p>
      <w:pPr>
        <w:pStyle w:val="ListBullet"/>
        <w:spacing w:after="60"/>
      </w:pPr>
      <w:r>
        <w:t>授权有效期、状态与每日剩余时长必须同时满足，设备才可发起实时互动。</w:t>
      </w:r>
    </w:p>
    <w:p>
      <w:pPr>
        <w:pStyle w:val="Heading2"/>
      </w:pPr>
      <w:r>
        <w:t>6.3 实时互动规则</w:t>
      </w:r>
    </w:p>
    <w:p>
      <w:pPr>
        <w:pStyle w:val="ListBullet"/>
        <w:spacing w:after="60"/>
      </w:pPr>
      <w:r>
        <w:t>终端发起会话前校验设备授权、数字人上线状态及依赖服务可用性。</w:t>
      </w:r>
    </w:p>
    <w:p>
      <w:pPr>
        <w:pStyle w:val="ListBullet"/>
        <w:spacing w:after="60"/>
      </w:pPr>
      <w:r>
        <w:t>每次会话生成唯一会话编号，记录设备、数字人、智能体、开始/结束时间和结果状态。</w:t>
      </w:r>
    </w:p>
    <w:p>
      <w:pPr>
        <w:pStyle w:val="ListBullet"/>
        <w:spacing w:after="60"/>
      </w:pPr>
      <w:r>
        <w:t>智能体回答应优先依据已关联知识库；无可靠知识时按配置进行兜底，不得编造企业业务信息。</w:t>
      </w:r>
    </w:p>
    <w:p>
      <w:pPr>
        <w:pStyle w:val="ListBullet"/>
        <w:spacing w:after="60"/>
      </w:pPr>
      <w:r>
        <w:t>语音合成失败时需返回明确错误，可保留文本结果并允许重试；是否在终端展示文本由终端设计决定。</w:t>
      </w:r>
    </w:p>
    <w:p>
      <w:pPr>
        <w:pStyle w:val="ListBullet"/>
        <w:spacing w:after="60"/>
      </w:pPr>
      <w:r>
        <w:t>会话日志中不得无必要地长期保存访客原始语音或个人敏感信息。</w:t>
      </w:r>
    </w:p>
    <w:p>
      <w:pPr>
        <w:pStyle w:val="Heading2"/>
      </w:pPr>
      <w:r>
        <w:t>6.4 数据删除与引用规则</w:t>
      </w:r>
    </w:p>
    <w:p>
      <w:pPr>
        <w:pStyle w:val="ListBullet"/>
        <w:spacing w:after="60"/>
      </w:pPr>
      <w:r>
        <w:t>已被数字人引用的形象、智能体或声音配置，不允许直接删除；应先解除引用或执行停用。</w:t>
      </w:r>
    </w:p>
    <w:p>
      <w:pPr>
        <w:pStyle w:val="ListBullet"/>
        <w:spacing w:after="60"/>
      </w:pPr>
      <w:r>
        <w:t>已被智能体引用的知识库停用时，需要提示受影响智能体和数字人。</w:t>
      </w:r>
    </w:p>
    <w:p>
      <w:pPr>
        <w:pStyle w:val="ListBullet"/>
        <w:spacing w:after="60"/>
      </w:pPr>
      <w:r>
        <w:t>已被训练、知识库或数字人项目引用的资产，不允许直接物理删除。</w:t>
      </w:r>
    </w:p>
    <w:p>
      <w:pPr>
        <w:pStyle w:val="ListBullet"/>
        <w:spacing w:after="60"/>
      </w:pPr>
      <w:r>
        <w:t>关键配置删除或停用动作应二次确认并记录操作日志。</w:t>
      </w:r>
    </w:p>
    <w:p>
      <w:pPr>
        <w:pStyle w:val="Heading1"/>
      </w:pPr>
      <w:r>
        <w:t>7.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532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28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主要关系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用户ID、姓名、企业ID、角色、状态、最近登录时间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属于企业；拥有角色权限。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训练任务</w:t>
            </w:r>
          </w:p>
        </w:tc>
        <w:tc>
          <w:tcPr>
            <w:tcW w:type="dxa" w:w="53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任务ID、名称、训练类型、视频资产ID、进度、状态、失败原因、创建人/时间</w:t>
            </w:r>
          </w:p>
        </w:tc>
        <w:tc>
          <w:tcPr>
            <w:tcW w:type="dxa" w:w="328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产出一个或多个可用形象。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形象ID、名称、类型、资源地址、可用状态、训练任务ID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可被数字人或动作编排引用。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</w:t>
            </w:r>
          </w:p>
        </w:tc>
        <w:tc>
          <w:tcPr>
            <w:tcW w:type="dxa" w:w="53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编排ID、名称、主形象ID、动作形象ID列表、描述、更新时间</w:t>
            </w:r>
          </w:p>
        </w:tc>
        <w:tc>
          <w:tcPr>
            <w:tcW w:type="dxa" w:w="328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仅关联本地运行形象。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知识库ID、名称、内容类型、文档数、切片数、状态、更新时间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可关联多个智能体。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53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智能体ID、名称、应用场景、知识库ID、策略配置、状态、更新时间</w:t>
            </w:r>
          </w:p>
        </w:tc>
        <w:tc>
          <w:tcPr>
            <w:tcW w:type="dxa" w:w="328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可被多个数字人绑定。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数字人ID、名称、角色、形象ID、智能体ID、音色配置、驱动策略、状态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被设备端会话调用。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</w:t>
            </w:r>
          </w:p>
        </w:tc>
        <w:tc>
          <w:tcPr>
            <w:tcW w:type="dxa" w:w="53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设备ID、设备名称、企业/展厅、授权状态、有效期、每日额度、今日已用</w:t>
            </w:r>
          </w:p>
        </w:tc>
        <w:tc>
          <w:tcPr>
            <w:tcW w:type="dxa" w:w="328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决定设备实时互动资格。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会话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会话ID、设备ID、数字人ID、智能体ID、开始/结束时间、用时、结果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用于授权扣减与运营统计。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</w:t>
            </w:r>
          </w:p>
        </w:tc>
        <w:tc>
          <w:tcPr>
            <w:tcW w:type="dxa" w:w="53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资产ID、名称、类型、大小、存储地址、状态、引用关系、创建人/时间</w:t>
            </w:r>
          </w:p>
        </w:tc>
        <w:tc>
          <w:tcPr>
            <w:tcW w:type="dxa" w:w="328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可被训练、知识库和数字人配置引用。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53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版本号、构建号、类型、范围、状态、发布时间、操作人</w:t>
            </w:r>
          </w:p>
        </w:tc>
        <w:tc>
          <w:tcPr>
            <w:tcW w:type="dxa" w:w="32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关联发布实例与回滚记录。</w:t>
            </w:r>
          </w:p>
        </w:tc>
      </w:tr>
    </w:tbl>
    <w:p>
      <w:pPr>
        <w:spacing w:after="0"/>
      </w:pPr>
    </w:p>
    <w:p>
      <w:pPr>
        <w:pStyle w:val="Heading1"/>
      </w:pPr>
      <w:r>
        <w:t>8. 外部能力与系统依赖</w:t>
      </w:r>
    </w:p>
    <w:p>
      <w:pPr>
        <w:pStyle w:val="Heading2"/>
      </w:pPr>
      <w:r>
        <w:t>8.1 火山引擎语音合成服务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050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将智能体生成的回答文本合成为数字人播报语音。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认证</w:t>
            </w:r>
          </w:p>
        </w:tc>
        <w:tc>
          <w:tcPr>
            <w:tcW w:type="dxa" w:w="80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服务密钥由后端安全保管，前端和终端不得直接暴露长期密钥。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输入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回答文本、音色/发音人、语速、音量及服务支持的其他参数。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输出</w:t>
            </w:r>
          </w:p>
        </w:tc>
        <w:tc>
          <w:tcPr>
            <w:tcW w:type="dxa" w:w="80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可用于实时播放和数字人驱动的音频流或音频数据。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异常处理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处理鉴权失败、配额不足、内容不合规、超时、限流和服务不可用，并返回平台可识别错误。</w:t>
            </w:r>
          </w:p>
        </w:tc>
      </w:tr>
      <w:tr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日志与隐私</w:t>
            </w:r>
          </w:p>
        </w:tc>
        <w:tc>
          <w:tcPr>
            <w:tcW w:type="dxa" w:w="805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记录请求结果、耗时和错误码；非必要不记录完整敏感文本，不记录密钥。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待确认</w:t>
            </w:r>
          </w:p>
        </w:tc>
        <w:tc>
          <w:tcPr>
            <w:tcW w:type="dxa" w:w="80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火山引擎账号归属、开通区域、音色清单、调用配额、内容安全策略及正式环境凭证。</w:t>
            </w:r>
          </w:p>
        </w:tc>
      </w:tr>
    </w:tbl>
    <w:p>
      <w:pPr>
        <w:spacing w:after="0"/>
      </w:pPr>
    </w:p>
    <w:p>
      <w:pPr>
        <w:pStyle w:val="Heading2"/>
      </w:pPr>
      <w:r>
        <w:t>8.2 自研能力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510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平台依赖</w:t>
            </w:r>
          </w:p>
        </w:tc>
        <w:tc>
          <w:tcPr>
            <w:tcW w:type="dxa" w:w="340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最低联调结果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形象训练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接收训练参数与素材，返回任务编号、进度、状态、产物和失败原因。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合规素材可完成一次训练并生成可用形象。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完成内容解析、切片、索引、检索、状态和失败原因返回。</w:t>
            </w:r>
          </w:p>
        </w:tc>
        <w:tc>
          <w:tcPr>
            <w:tcW w:type="dxa" w:w="34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导入资料后可被检索并由智能体使用。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智能体</w:t>
            </w:r>
          </w:p>
        </w:tc>
        <w:tc>
          <w:tcPr>
            <w:tcW w:type="dxa" w:w="5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完成会话管理、意图理解、知识检索与回答生成。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针对企业资料问题返回正确、口径一致的回答。</w:t>
            </w:r>
          </w:p>
        </w:tc>
      </w:tr>
      <w:tr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数字人驱动</w:t>
            </w:r>
          </w:p>
        </w:tc>
        <w:tc>
          <w:tcPr>
            <w:tcW w:type="dxa" w:w="51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接收音频或驱动指令，控制口型、动作和播报状态。</w:t>
            </w:r>
          </w:p>
        </w:tc>
        <w:tc>
          <w:tcPr>
            <w:tcW w:type="dxa" w:w="340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语音播放与 2D 形象驱动可完成一轮实时互动。</w:t>
            </w:r>
          </w:p>
        </w:tc>
      </w:tr>
    </w:tbl>
    <w:p>
      <w:pPr>
        <w:spacing w:after="0"/>
      </w:pPr>
    </w:p>
    <w:p>
      <w:pPr>
        <w:pStyle w:val="Heading2"/>
      </w:pPr>
      <w:r>
        <w:t>8.3 待明确的接口依赖</w:t>
      </w:r>
    </w:p>
    <w:p>
      <w:pPr>
        <w:pStyle w:val="ListBullet"/>
        <w:spacing w:after="60"/>
      </w:pPr>
      <w:r>
        <w:t>访客语音识别（ASR）服务来源、协议、支持语言和错误处理。</w:t>
      </w:r>
    </w:p>
    <w:p>
      <w:pPr>
        <w:pStyle w:val="ListBullet"/>
        <w:spacing w:after="60"/>
      </w:pPr>
      <w:r>
        <w:t>展厅终端与公有云平台之间的鉴权、心跳、会话和时长上报协议。</w:t>
      </w:r>
    </w:p>
    <w:p>
      <w:pPr>
        <w:pStyle w:val="ListBullet"/>
        <w:spacing w:after="60"/>
      </w:pPr>
      <w:r>
        <w:t>数字人实时驱动服务的输入输出协议及在线版/本地运行版边界。</w:t>
      </w:r>
    </w:p>
    <w:p>
      <w:pPr>
        <w:pStyle w:val="ListBullet"/>
        <w:spacing w:after="60"/>
      </w:pPr>
      <w:r>
        <w:t>服务状态、资源负载和版本实例信息的监控数据来源。</w:t>
      </w:r>
    </w:p>
    <w:p>
      <w:pPr>
        <w:pStyle w:val="Heading1"/>
      </w:pPr>
      <w:r>
        <w:t>9. 非功能性要求</w:t>
      </w:r>
    </w:p>
    <w:p>
      <w:r>
        <w:t>本期暂无已确认的量化性能指标。以下为上线所需的基础质量要求，具体数值在联调或试运行后补充并经项目组确认。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170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66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基础要求</w:t>
            </w:r>
          </w:p>
        </w:tc>
        <w:tc>
          <w:tcPr>
            <w:tcW w:type="dxa" w:w="294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量化指标状态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兼容性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后台适配主流桌面浏览器；展厅终端适配目标运行环境和分辨率。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终端型号与浏览器版本待确认。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type="dxa" w:w="56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核心服务失败需有明确提示、重试或降级路径；不得无反馈卡死。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可用性比例待确认。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列表、创建、对话、语音合成和形象驱动应满足展厅实时使用体验。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响应延迟、并发、训练时长待实测。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56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采用身份认证、角色权限、租户隔离、传输加密、密钥保护和关键操作审计。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安全测试标准待确认。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隐私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采集真人训练视频前取得合法授权；控制访客语音、会话和企业资料的收集范围与保留期限。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隐私政策和保存周期待确认。</w:t>
            </w:r>
          </w:p>
        </w:tc>
      </w:tr>
      <w:tr>
        <w:tc>
          <w:tcPr>
            <w:tcW w:type="dxa" w:w="170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566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授权时长扣减具备幂等性；任务、版本和会话关键状态可恢复或追踪。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恢复时间和数据丢失目标待确认。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可观测性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记录请求链路、任务状态、外部服务错误、设备在线状态和关键操作日志。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日志保留期限待确认。</w:t>
            </w:r>
          </w:p>
        </w:tc>
      </w:tr>
    </w:tbl>
    <w:p>
      <w:pPr>
        <w:spacing w:after="0"/>
      </w:pPr>
    </w:p>
    <w:p>
      <w:pPr>
        <w:pStyle w:val="Heading2"/>
      </w:pPr>
      <w:r>
        <w:t>9.1 安全与合规要求</w:t>
      </w:r>
    </w:p>
    <w:p>
      <w:pPr>
        <w:pStyle w:val="ListBullet"/>
        <w:spacing w:after="60"/>
      </w:pPr>
      <w:r>
        <w:t>服务端必须实施权限校验，不能仅依赖前端隐藏按钮。</w:t>
      </w:r>
    </w:p>
    <w:p>
      <w:pPr>
        <w:pStyle w:val="ListBullet"/>
        <w:spacing w:after="60"/>
      </w:pPr>
      <w:r>
        <w:t>不同企业客户的数据、资产、知识库、设备和会话必须逻辑隔离。</w:t>
      </w:r>
    </w:p>
    <w:p>
      <w:pPr>
        <w:pStyle w:val="ListBullet"/>
        <w:spacing w:after="60"/>
      </w:pPr>
      <w:r>
        <w:t>火山引擎及其他服务密钥不得写入前端代码、日志或可下载配置。</w:t>
      </w:r>
    </w:p>
    <w:p>
      <w:pPr>
        <w:pStyle w:val="ListBullet"/>
        <w:spacing w:after="60"/>
      </w:pPr>
      <w:r>
        <w:t>训练视频属于高敏感度素材，应限制访问、记录下载与使用行为，并按约定处置。</w:t>
      </w:r>
    </w:p>
    <w:p>
      <w:pPr>
        <w:pStyle w:val="ListBullet"/>
        <w:spacing w:after="60"/>
      </w:pPr>
      <w:r>
        <w:t>关键操作包括授权变更、资源变更、上线/下线、版本发布/回滚，应记录操作人、时间、对象和结果。</w:t>
      </w:r>
    </w:p>
    <w:p>
      <w:pPr>
        <w:pStyle w:val="ListBullet"/>
        <w:spacing w:after="60"/>
      </w:pPr>
      <w:r>
        <w:t>知识库和智能体输出应防止未经授权的企业资料泄露，并对提示词注入等风险设置基础防护。</w:t>
      </w:r>
    </w:p>
    <w:p>
      <w:pPr>
        <w:pStyle w:val="Heading1"/>
      </w:pPr>
      <w:r>
        <w:t>10. 数据统计与日志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215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统计/日志</w:t>
            </w:r>
          </w:p>
        </w:tc>
        <w:tc>
          <w:tcPr>
            <w:tcW w:type="dxa" w:w="5216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建议记录内容</w:t>
            </w:r>
          </w:p>
        </w:tc>
        <w:tc>
          <w:tcPr>
            <w:tcW w:type="dxa" w:w="294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训练任务日志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任务ID、阶段、进度、状态、失败原因、耗时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定位训练异常，计算成功率。</w:t>
            </w:r>
          </w:p>
        </w:tc>
      </w:tr>
      <w:tr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知识处理日志</w:t>
            </w:r>
          </w:p>
        </w:tc>
        <w:tc>
          <w:tcPr>
            <w:tcW w:type="dxa" w:w="5216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知识库ID、文件ID、处理阶段、状态、失败原因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定位解析与索引问题。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会话日志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会话ID、设备、数字人、智能体、起止时间、用时、结果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授权扣减、会话量和问题追踪。</w:t>
            </w:r>
          </w:p>
        </w:tc>
      </w:tr>
      <w:tr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语音合成日志</w:t>
            </w:r>
          </w:p>
        </w:tc>
        <w:tc>
          <w:tcPr>
            <w:tcW w:type="dxa" w:w="5216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请求ID、音色、文本长度、结果、错误码、耗时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排查第三方服务问题，不记录密钥。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设备用量日志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设备ID、日期、会话ID、扣减时长、剩余时长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审计每日授权时长。</w:t>
            </w:r>
          </w:p>
        </w:tc>
      </w:tr>
      <w:tr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管理操作日志</w:t>
            </w:r>
          </w:p>
        </w:tc>
        <w:tc>
          <w:tcPr>
            <w:tcW w:type="dxa" w:w="5216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用户、角色、操作、对象、变更前后、时间、结果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权限审计与问题追溯。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发布日志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版本、范围、操作人、开始/结束时间、结果、回滚原因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版本追踪。</w:t>
            </w:r>
          </w:p>
        </w:tc>
      </w:tr>
    </w:tbl>
    <w:p>
      <w:pPr>
        <w:spacing w:after="0"/>
      </w:pPr>
    </w:p>
    <w:p>
      <w:pPr>
        <w:pStyle w:val="Heading1"/>
      </w:pPr>
      <w:r>
        <w:t>11. 验收方案</w:t>
      </w:r>
    </w:p>
    <w:p>
      <w:pPr>
        <w:pStyle w:val="Heading2"/>
      </w:pPr>
      <w:r>
        <w:t>11.1 功能验收场景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38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300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379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角色权限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准备超级管理员和普通成员账号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两类账号入口和操作符合权限矩阵；越权操作失败。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UAT-02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在线版形象训练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准备符合要求的视频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成功创建任务，进度可查，最终产出可用形象。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UAT-03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素材不合规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上传含黑帧或超限素材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任务被阻止或不通过，并显示明确原因。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UAT-04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存在可用本地运行形象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可新增和编辑编排，且至少选择一个动作形象。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UAT-05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知识与智能体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准备企业介绍和业务资料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知识处理完成，智能体可检索并回答资料中的问题。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UAT-06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数字人创建上线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形象、智能体、语音服务可用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数字人配置完整后可上线；缺少依赖时不可上线。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UAT-07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实时互动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数字人已上线，设备已授权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访客输入后生成正确回答、语音并驱动形象完成播报。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UAT-08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超级管理员登录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可配置有效期和每日授权时长，普通成员仅可查看。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UAT-09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授权时长耗尽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设备当日剩余时长为 0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终端无法新建会话并收到明确原因。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UAT-10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授权跨日重置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模拟 Asia/Shanghai 自然日切换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今日已用清零，历史用量保留，当日额度恢复。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UAT-11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资产与资源</w:t>
            </w:r>
          </w:p>
        </w:tc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准备合法和非法资产、资源状态数据</w:t>
            </w:r>
          </w:p>
        </w:tc>
        <w:tc>
          <w:tcPr>
            <w:tcW w:type="dxa" w:w="37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资产校验、引用和资源健康状态符合规则。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UAT-12</w:t>
            </w:r>
          </w:p>
        </w:tc>
        <w:tc>
          <w:tcPr>
            <w:tcW w:type="dxa" w:w="238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版本发布与回滚</w:t>
            </w:r>
          </w:p>
        </w:tc>
        <w:tc>
          <w:tcPr>
            <w:tcW w:type="dxa" w:w="300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存在测试版本和稳定版本</w:t>
            </w:r>
          </w:p>
        </w:tc>
        <w:tc>
          <w:tcPr>
            <w:tcW w:type="dxa" w:w="379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发布记录完整；失败不影响稳定版本；有权限用户可回滚。</w:t>
            </w:r>
          </w:p>
        </w:tc>
      </w:tr>
    </w:tbl>
    <w:p>
      <w:pPr>
        <w:spacing w:after="0"/>
      </w:pPr>
    </w:p>
    <w:p>
      <w:pPr>
        <w:pStyle w:val="Heading2"/>
      </w:pPr>
      <w:r>
        <w:t>11.2 交付验收准入</w:t>
      </w:r>
    </w:p>
    <w:p>
      <w:pPr>
        <w:pStyle w:val="ListBullet"/>
        <w:spacing w:after="60"/>
      </w:pPr>
      <w:r>
        <w:t>P0 功能全部通过测试，未关闭的严重或阻断级缺陷为 0。</w:t>
      </w:r>
    </w:p>
    <w:p>
      <w:pPr>
        <w:pStyle w:val="ListBullet"/>
        <w:spacing w:after="60"/>
      </w:pPr>
      <w:r>
        <w:t>完整业务链路 UAT-02、UAT-05、UAT-06、UAT-07、UAT-08、UAT-09 全部通过。</w:t>
      </w:r>
    </w:p>
    <w:p>
      <w:pPr>
        <w:pStyle w:val="ListBullet"/>
        <w:spacing w:after="60"/>
      </w:pPr>
      <w:r>
        <w:t>生产环境配置、火山引擎正式凭证、设备清单和目标终端环境准备完成。</w:t>
      </w:r>
    </w:p>
    <w:p>
      <w:pPr>
        <w:pStyle w:val="ListBullet"/>
        <w:spacing w:after="60"/>
      </w:pPr>
      <w:r>
        <w:t>角色权限、租户隔离、设备授权扣减和关键操作日志通过专项验证。</w:t>
      </w:r>
    </w:p>
    <w:p>
      <w:pPr>
        <w:pStyle w:val="ListBullet"/>
        <w:spacing w:after="60"/>
      </w:pPr>
      <w:r>
        <w:t>用户操作手册、部署/发布说明、已知问题清单和回滚方案随版本交付。</w:t>
      </w:r>
    </w:p>
    <w:p>
      <w:pPr>
        <w:pStyle w:val="Heading1"/>
      </w:pPr>
      <w:r>
        <w:t>12. 项目计划</w:t>
      </w:r>
    </w:p>
    <w:p>
      <w:r>
        <w:t>以下排期以 2026 年 8 月 31 日交付为目标，由于当前日期为 2026 年 8 月 4 日，建议采用并行开发与滚动验收；实际责任人由项目经理补充。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98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建议日期</w:t>
            </w:r>
          </w:p>
        </w:tc>
        <w:tc>
          <w:tcPr>
            <w:tcW w:type="dxa" w:w="368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283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需求确认与原型冻结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8月4日–8月7日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PRD、原型、接口清单、待确认项结论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核心范围和业务规则评审通过。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技术设计与任务拆分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8月5日–8月8日</w:t>
            </w:r>
          </w:p>
        </w:tc>
        <w:tc>
          <w:tcPr>
            <w:tcW w:type="dxa" w:w="368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架构设计、数据模型、接口定义、测试计划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依赖接口可联调，任务进入开发。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功能开发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8月8日–8月20日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9 个模块、角色权限、设备授权、基础日志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 功能提测。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能力联调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8月15日–8月24日</w:t>
            </w:r>
          </w:p>
        </w:tc>
        <w:tc>
          <w:tcPr>
            <w:tcW w:type="dxa" w:w="368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自研训练/知识/智能体/驱动、火山 TTS、终端联调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完整实时互动链路跑通。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系统测试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8月21日–8月27日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测试报告、缺陷清单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阻断和严重缺陷清零。</w:t>
            </w:r>
          </w:p>
        </w:tc>
      </w:tr>
      <w:tr>
        <w:tc>
          <w:tcPr>
            <w:tcW w:type="dxa" w:w="198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业务验收</w:t>
            </w:r>
          </w:p>
        </w:tc>
        <w:tc>
          <w:tcPr>
            <w:tcW w:type="dxa" w:w="181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8月26日–8月29日</w:t>
            </w:r>
          </w:p>
        </w:tc>
        <w:tc>
          <w:tcPr>
            <w:tcW w:type="dxa" w:w="368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 记录、验收问题清单</w:t>
            </w:r>
          </w:p>
        </w:tc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核心验收场景通过。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发布准备与交付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8月29日–8月31日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生产版本、操作手册、发布与回滚说明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生产发布完成并签署交付结论。</w:t>
            </w:r>
          </w:p>
        </w:tc>
      </w:tr>
    </w:tbl>
    <w:p>
      <w:pPr>
        <w:spacing w:after="0"/>
      </w:pPr>
    </w:p>
    <w:p>
      <w:pPr>
        <w:pStyle w:val="Heading1"/>
      </w:pPr>
      <w:r>
        <w:t>13.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283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94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020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51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建议应对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实时互动依赖的 ASR 来源未确认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无法闭环语音问答或影响联调时间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8 月 7 日前确认服务来源、接口和正式环境。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2D 本地版定义与公有云部署边界不清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动作编排、终端架构和交付范围可能产生歧义</w:t>
            </w:r>
          </w:p>
        </w:tc>
        <w:tc>
          <w:tcPr>
            <w:tcW w:type="dxa" w:w="102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明确其为终端运行形态还是私有化能力，并冻结术语。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暂无量化性能指标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无法客观判断实时体验和容量是否达标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先采集基线，在 UAT 前确认最低可接受值。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交付周期不足一个月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多模块并行可能造成联调与测试压缩</w:t>
            </w:r>
          </w:p>
        </w:tc>
        <w:tc>
          <w:tcPr>
            <w:tcW w:type="dxa" w:w="102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 优先，接口先行，按完整链路滚动提测。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火山引擎账号、音色或配额未就绪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语音合成无法完成生产联调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尽早准备测试/生产账号、白名单、音色和配额。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训练视频涉及肖像及个人信息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产生合规和客户信任风险</w:t>
            </w:r>
          </w:p>
        </w:tc>
        <w:tc>
          <w:tcPr>
            <w:tcW w:type="dxa" w:w="102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上线前落实授权协议、访问控制、保存周期和删除流程。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设备时长扣减口径不一致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客户权益争议或设备误停</w:t>
            </w:r>
          </w:p>
        </w:tc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冻结计时口径，采用会话幂等及详细用量日志。</w:t>
            </w:r>
          </w:p>
        </w:tc>
      </w:tr>
      <w:tr>
        <w:tc>
          <w:tcPr>
            <w:tcW w:type="dxa" w:w="28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企业知识内容不完整或过期</w:t>
            </w:r>
          </w:p>
        </w:tc>
        <w:tc>
          <w:tcPr>
            <w:tcW w:type="dxa" w:w="294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回答不准确，影响展厅讲解效果</w:t>
            </w:r>
          </w:p>
        </w:tc>
        <w:tc>
          <w:tcPr>
            <w:tcW w:type="dxa" w:w="1020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51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建立内容责任人、更新时间和上线前问答验收集。</w:t>
            </w:r>
          </w:p>
        </w:tc>
      </w:tr>
    </w:tbl>
    <w:p>
      <w:pPr>
        <w:spacing w:after="0"/>
      </w:pPr>
    </w:p>
    <w:p>
      <w:pPr>
        <w:pStyle w:val="Heading1"/>
      </w:pPr>
      <w:r>
        <w:t>14. 待确认事项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113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7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待确认项</w:t>
            </w:r>
          </w:p>
        </w:tc>
        <w:tc>
          <w:tcPr>
            <w:tcW w:type="dxa" w:w="4252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当前假设</w:t>
            </w:r>
          </w:p>
        </w:tc>
        <w:tc>
          <w:tcPr>
            <w:tcW w:type="dxa" w:w="1757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建议最晚确认时间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TBD-01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2D 本地版的准确含义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指展厅终端本地运行形态，不代表平台私有化部署。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TBD-02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访客语音识别（ASR）来源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平台具备可供联调的 ASR 服务。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TBD-03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普通成员数据范围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可访问同一企业租户内数据。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TBD-04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普通成员是否可执行智能体启停、数字人上线/下线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默认由权限点控制，初始仅超级管理员可执行。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TBD-05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设备授权计时口径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按实时会话实际占用时长累计。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TBD-06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时长耗尽时正在进行的会话处理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完成当前回答后结束，不立即打断播报。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2026-08-07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TBD-07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设备标识与绑定方式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使用平台生成的唯一设备ID并与企业/展厅绑定。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2026-08-08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TBD-08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火山引擎账号、区域、音色和配额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项目方提供正式账号及已授权音色。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2026-08-08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TBD-09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知识库支持的具体文件格式与大小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由自研解析能力白名单决定。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2026-08-08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TBD-10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性能与容量最低验收值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先在目标设备和网络环境采集基线再确认。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2026-08-20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TBD-11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目标展厅终端型号、操作系统和显示分辨率</w:t>
            </w:r>
          </w:p>
        </w:tc>
        <w:tc>
          <w:tcPr>
            <w:tcW w:type="dxa" w:w="42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项目交付前提供固定测试设备。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2026-08-08</w:t>
            </w:r>
          </w:p>
        </w:tc>
      </w:tr>
      <w:tr>
        <w:tc>
          <w:tcPr>
            <w:tcW w:type="dxa" w:w="113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TBD-12</w:t>
            </w:r>
          </w:p>
        </w:tc>
        <w:tc>
          <w:tcPr>
            <w:tcW w:type="dxa" w:w="317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数据与日志保存周期</w:t>
            </w:r>
          </w:p>
        </w:tc>
        <w:tc>
          <w:tcPr>
            <w:tcW w:type="dxa" w:w="4252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依据企业协议及合规要求配置。</w:t>
            </w:r>
          </w:p>
        </w:tc>
        <w:tc>
          <w:tcPr>
            <w:tcW w:type="dxa" w:w="1757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2026-08-15</w:t>
            </w:r>
          </w:p>
        </w:tc>
      </w:tr>
    </w:tbl>
    <w:p>
      <w:pPr>
        <w:spacing w:after="0"/>
      </w:pPr>
    </w:p>
    <w:p>
      <w:pPr>
        <w:pStyle w:val="Heading1"/>
      </w:pPr>
      <w:r>
        <w:t>15. 上线交付物清单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4535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361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是否必需</w:t>
            </w:r>
          </w:p>
        </w:tc>
        <w:tc>
          <w:tcPr>
            <w:tcW w:type="dxa" w:w="2154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2268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产品需求文档（PRD）及评审记录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已形成评审稿</w:t>
            </w:r>
          </w:p>
        </w:tc>
      </w:tr>
      <w:tr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最终交互原型与视觉稿</w:t>
            </w:r>
          </w:p>
        </w:tc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产品/设计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待冻结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系统架构与接口文档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研发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数据库及部署配置说明</w:t>
            </w:r>
          </w:p>
        </w:tc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研发/运维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测试用例与测试报告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测试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UAT 验收记录</w:t>
            </w:r>
          </w:p>
        </w:tc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业务/产品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用户操作手册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产品/实施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发布、监控与回滚方案</w:t>
            </w:r>
          </w:p>
        </w:tc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研发/运维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第三方服务配置与保密交接记录</w:t>
            </w:r>
          </w:p>
        </w:tc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项目/运维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  <w:tr>
        <w:tc>
          <w:tcPr>
            <w:tcW w:type="dxa" w:w="4535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已知问题与后续版本清单</w:t>
            </w:r>
          </w:p>
        </w:tc>
        <w:tc>
          <w:tcPr>
            <w:tcW w:type="dxa" w:w="1361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2154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项目组</w:t>
            </w:r>
          </w:p>
        </w:tc>
        <w:tc>
          <w:tcPr>
            <w:tcW w:type="dxa" w:w="2268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待输出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A：需求优先级说明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92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P0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本期交付必须具备；缺失将导致核心业务链路不可用或无法验收。</w:t>
            </w:r>
          </w:p>
        </w:tc>
      </w:tr>
      <w:tr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P1</w:t>
            </w:r>
          </w:p>
        </w:tc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本期建议交付；不阻断最小业务闭环，但影响运营效率、运维或完整体验。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B：原型与 PRD 差异说明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DEE9"/>
          <w:left w:val="single" w:sz="6" w:color="D8DEE9"/>
          <w:bottom w:val="single" w:sz="6" w:color="D8DEE9"/>
          <w:right w:val="single" w:sz="6" w:color="D8DEE9"/>
          <w:insideH w:val="single" w:sz="6" w:color="D8DEE9"/>
          <w:insideV w:val="single" w:sz="6" w:color="D8DEE9"/>
        </w:tblBorders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shd w:fill="4F46E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处理结论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权益管理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原型中的套餐、训练额度、存储和购买权益不纳入本期；调整为设备授权与每日设备授权时长。</w:t>
            </w:r>
          </w:p>
        </w:tc>
      </w:tr>
      <w:tr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公有云与本地版</w:t>
            </w:r>
          </w:p>
        </w:tc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平台仅支持公有云部署；原型中的 2D 本地版暂解释为终端本地运行形态，待确认。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实时互动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原型主要为后台管理界面；PRD 补充了数字人实时互动所需的最小业务闭环和依赖，不扩展独立访客端产品。</w:t>
            </w:r>
          </w:p>
        </w:tc>
      </w:tr>
      <w:tr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性能指标</w:t>
            </w:r>
          </w:p>
        </w:tc>
        <w:tc>
          <w:tcPr>
            <w:tcW w:type="dxa" w:w="4929"/>
            <w:vAlign w:val="center"/>
            <w:shd w:fill="F8FA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用户暂未提出量化指标，文档仅保留基础质量要求和待确认项。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创建弹窗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微软雅黑" w:hAnsi="微软雅黑" w:eastAsia="微软雅黑"/>
                <w:sz w:val="18"/>
              </w:rPr>
              <w:t>原型除形象训练和动作编排外多为通用基础表单；PRD 根据列表字段和业务闭环补充了最低必要配置项。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2D数字人平台  ·  产品需求文档（PRD）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微软雅黑" w:hAnsi="微软雅黑" w:eastAsia="微软雅黑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12E8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338C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312E8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2D数字人平台产品需求文档（PRD）</dc:title>
  <dc:subject>企业展厅实时互动数字人公有云平台</dc:subject>
  <dc:creator>产品项目组</dc:creator>
  <cp:keywords>2D数字人, 企业展厅, 实时互动, PRD</cp:keywords>
  <dc:description>基于 2026-08-04 已确认需求和当前原型生成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