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Noto Sans CJK SC" w:hAnsi="Noto Sans CJK SC" w:eastAsia="Noto Sans CJK SC"/>
          <w:b/>
          <w:i w:val="0"/>
          <w:color w:val="2563EB"/>
          <w:sz w:val="50"/>
        </w:rPr>
        <w:t>AIPD-OS v4.0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17223B"/>
          <w:sz w:val="56"/>
        </w:rPr>
        <w:t>AI全链路产品开发与交付主管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4748B"/>
          <w:sz w:val="24"/>
        </w:rPr>
        <w:t>从产品想法、理论基础和连续附件手册，到生产CAD、供应链、验证与量产发布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26332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visor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63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8E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5803D"/>
                <w:sz w:val="22"/>
              </w:rPr>
              <w:t>核心定位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用户只面对一个AI对话入口。AI自主完成全部可数字化工作；只有产品方向、价值判断、安全法规、不可逆投入、真人试穿和正式量产放行需要用户决策。</w:t>
            </w:r>
          </w:p>
        </w:tc>
        <w:trPr>
          <w:tblHeader/>
        </w:trPr>
      </w:tr>
    </w:tbl>
    <w:p>
      <w:pPr>
        <w:spacing w:after="20"/>
      </w:pP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4748B"/>
          <w:sz w:val="18"/>
        </w:rPr>
        <w:t>版本：4.0.0  |  发布候选：正式版  |  日期：2026年8月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执行摘要</w:t>
      </w:r>
    </w:p>
    <w:p>
      <w:pPr>
        <w:spacing w:after="100" w:line="295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本体系把用户已经验证成功的提示词轨迹、合格理论基础和16页产品手册，提升为“成功样本与质量基准”，并在其上增加一个真正的总控层。v4.0不再把产品手册或CAD当作孤立Skill，而是将研究、产品定义、手册链式生图、工程基线、CAD、工业化、验证和发布纳入同一个项目状态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2563EB"/>
                <w:sz w:val="22"/>
              </w:rPr>
              <w:t>正确目标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不是让AI偶尔生成若干文件，而是让AI作为产品开发总负责人，持续判断“当前离目标还差什么、下一步做什么、用什么工具、何时返工、何时必须请用户决策”。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14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维度</w:t>
            </w:r>
          </w:p>
        </w:tc>
        <w:tc>
          <w:tcPr>
            <w:tcW w:type="dxa" w:w="2891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旧式自动化</w:t>
            </w:r>
          </w:p>
        </w:tc>
        <w:tc>
          <w:tcPr>
            <w:tcW w:type="dxa" w:w="4989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AIPD Supervisor v4.0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交互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每个模块分别询问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一个对话入口；仅提交决策包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任务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按提示词逐次执行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恢复项目状态并主动推进工作队列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数据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文档彼此引用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统一事实、证据、版本和依赖图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手册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一次生成或独立页面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规划→锚点→附件继承→分批成册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CAD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从图片自由建模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事实主表+工程基线+设计意图受控转换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质量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文件存在与格式通过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结果、成熟度、证据和用户接受四层验收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变更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人工逐份修改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影响传播、标记stale、重建与回归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17223B"/>
          <w:sz w:val="28"/>
        </w:rPr>
        <w:t>本次交付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新版理论基础与实施体系（本Word）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AIPD Orchestrator v4.0.0 可安装Skill包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主管状态机、工作队列、决策策略、能力地板和生命周期门脚本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黄金样本与成功提示词轨迹引用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回归评测与发布清单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1. 成功样本的正确作用</w:t>
      </w:r>
    </w:p>
    <w:p>
      <w:pPr>
        <w:spacing w:after="100" w:line="295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用户提供的提示词不是待解释的需求片段，而是一次真实成功项目的执行轨迹：前序多轮对话形成理论基础；“请先规划”产生手册页数与批次；确认后先生成母版、封面、原理和样板；再把前一批页面作为下一批附件继续生成，最终形成合格手册。这条轨迹应作为主管的行为示范，而不是被缩减为手册子流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14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成功资产</w:t>
            </w:r>
          </w:p>
        </w:tc>
        <w:tc>
          <w:tcPr>
            <w:tcW w:type="dxa" w:w="3402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主管应学习什么</w:t>
            </w:r>
          </w:p>
        </w:tc>
        <w:tc>
          <w:tcPr>
            <w:tcW w:type="dxa" w:w="4422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不能错误推断什么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理论基础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研究深度、结构化程度、工程语言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不代表全部参数已经实测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提示词顺序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任务分段、等待确认点、附件承接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不要求每个产品固定同一页数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合格手册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视觉密度、叙事、人物/产品一致性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不自动证明结构可制造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CAD需求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手册之后必须进入生产工程链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不能仅凭视觉页推断承载结构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866909"/>
            <wp:docPr id="2" name="Picture 2" descr="Image: image2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x1_golden_manual_mont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866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i/>
          <w:color w:val="64748B"/>
          <w:sz w:val="17"/>
        </w:rPr>
        <w:t>用户认可的WBX-1产品手册黄金样本：用于表达质量、跨页一致性与页面任务基准。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2. 系统总体架构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26332"/>
            <wp:docPr id="3" name="Picture 3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visor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95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系统由五层组成：对话入口、主管编排层、统一项目操作系统、专业执行模块、工具与外部执行方。用户不需要选择“产品经理AI、手册AI还是CAD AI”，主管根据项目状态自动调用。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587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层级</w:t>
            </w:r>
          </w:p>
        </w:tc>
        <w:tc>
          <w:tcPr>
            <w:tcW w:type="dxa" w:w="3402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核心职责</w:t>
            </w:r>
          </w:p>
        </w:tc>
        <w:tc>
          <w:tcPr>
            <w:tcW w:type="dxa" w:w="4649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关键工件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对话入口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接收目标、附件、审核意见和决策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自然语言指令、决策回复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主管编排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感知、规划、分派、追踪、审计、升级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工作队列、阶段计划、决策包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项目OS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保存唯一事实、证据、依赖、版本和成熟度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SQLite/MCP状态库、检查点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专业模块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研究、定义、手册、CAD、供应链、测试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理论基础、页面、模型、BOM、报告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工具/现实接口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生图、搜索、文档、CAD、邮件、工厂、实验室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真实文件、报价、样件和测试数据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3. 生命周期状态机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660140"/>
            <wp:docPr id="4" name="Picture 4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_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95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主管同时维护“产品生命周期阶段”和“交付物成熟度”。阶段说明项目当前关注点；成熟度说明某个工件可以被怎样使用。二者不可混用。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531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4535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AI主要产出</w:t>
            </w:r>
          </w:p>
        </w:tc>
        <w:tc>
          <w:tcPr>
            <w:tcW w:type="dxa" w:w="3572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用户决策点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S0 项目接管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资料索引、目标、事实/假设/风险初表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目标明显歧义时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S1 理论基础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场景、竞品、论文、标准、技术路线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产品机会或核心路线分叉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S2 产品定义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PRD、系统架构、V1边界、初始BOM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产品架构冻结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S3 产品手册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规划、锚点、分批页面、完整手册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不可兼容视觉方向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S4 工程基线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人体、载荷、接口、材料、风险输入包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关键接口冻结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S5 CAD与图纸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参数化模型、装配、CAE、工程图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正式发图/开模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S6 工业化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供应链、RFQ、DFM/DFA、检验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供应商与投入选择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S7 实体验证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EVT/DVT/PVT计划与结果闭环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真人试穿与风险接受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S8 生产发布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生产包、版本、ECO、质量控制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量产放行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4. 对话与自主执行契约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5" name="Picture 5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omy_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17223B"/>
          <w:sz w:val="28"/>
        </w:rPr>
        <w:t>4.1 默认不询问</w:t>
      </w:r>
    </w:p>
    <w:p>
      <w:pPr>
        <w:spacing w:after="100" w:line="295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信息不足时，主管按“项目附件→历史状态→工具检索→学术/标准证据→保守工程假设→并行推进不受影响工作”的顺序自行解决。页数细化、检索策略、普通返工、文件命名、批次拆分和局部CAD修复均属于执行层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17223B"/>
          <w:sz w:val="28"/>
        </w:rPr>
        <w:t>4.2 必须询问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14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触发类别</w:t>
            </w:r>
          </w:p>
        </w:tc>
        <w:tc>
          <w:tcPr>
            <w:tcW w:type="dxa" w:w="3742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示例</w:t>
            </w:r>
          </w:p>
        </w:tc>
        <w:tc>
          <w:tcPr>
            <w:tcW w:type="dxa" w:w="4082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提交内容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方向分叉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单臂/双臂、工业/消费定位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AI推荐、备选、影响和选择格式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价值判断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品牌语言、成本与体验优先级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不可从事实推断的偏好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不可逆投入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开模、采购、签约、正式发图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金额、风险、退出成本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安全法规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真人试穿、医疗宣称、认证路径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危害、证据状态、限制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硬约束冲突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重量、成本、性能无法同时满足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冲突证明与权衡方案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E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F97316"/>
                <w:sz w:val="22"/>
              </w:rPr>
              <w:t>决策包格式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决策编号、AI推荐、推荐理由、2—4个选项、每项影响、证据/不确定性、未回复时可继续的工作、明确回复格式。禁止只问“你觉得怎么办”。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5. 统一项目状态与数据模型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660140"/>
            <wp:docPr id="6" name="Picture 6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th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01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57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数据对象</w:t>
            </w:r>
          </w:p>
        </w:tc>
        <w:tc>
          <w:tcPr>
            <w:tcW w:type="dxa" w:w="4592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必须记录的字段</w:t>
            </w:r>
          </w:p>
        </w:tc>
        <w:tc>
          <w:tcPr>
            <w:tcW w:type="dxa" w:w="3458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Product Truth Baseline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值、单位、公差、条件、状态、证据、版本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所有文档和模型的唯一取数源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Evidence Register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来源、类型、质量、支持/反驳关系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防止假设包装成事实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Decision Log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触发、推荐、选项、选择、影响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避免重复询问和路线漂移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Work Queue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阶段、模块、输入、依赖、优先级、状态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AI持续自主推进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Artifact Lineage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提示词、附件、页面、模型、图纸的上下游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重建可追溯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Change Graph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事实/决策到交付物的影响边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自动标记stale和回归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Capability Registry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工具、可用性、成熟度上限、验证时间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防止低能力工具越级声明</w:t>
            </w:r>
          </w:p>
        </w:tc>
      </w:tr>
    </w:tbl>
    <w:p>
      <w:pPr>
        <w:spacing w:after="20"/>
      </w:pPr>
    </w:p>
    <w:p>
      <w:pPr>
        <w:spacing w:after="100" w:line="295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事实状态继续使用 V（实测/正式验证）、S（仿真支持）、C（计算）、E（外部证据）、A（工程假设）、P（待供应商确认）、T（待实体测试）、R（废弃）。任何对外参数的措辞由状态自动决定。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6. 主管的工作规划与调度</w:t>
      </w:r>
    </w:p>
    <w:p>
      <w:pPr>
        <w:spacing w:after="100" w:line="295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主管不是按固定长流程盲目执行，而是每次从状态库计算“下一最佳工作包”。工作包必须有明确输入、输出、完成标准、能力要求、依赖和失败策略。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324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7483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phase/module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所属生命周期阶段和专业模块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objective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该工作包解决的唯一问题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inputs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事实版本、附件、上游交付物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outputs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可验证文件或状态变化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acceptance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确定性、专业审计和用户结果门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capability_floor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完成该任务所需工具能力下限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dependencies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必须先完成的工作包/决策/外部数据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failure_policy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自动修复、内部重规划、等待外部或升级决策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17223B"/>
          <w:sz w:val="28"/>
        </w:rPr>
        <w:t>6.1 下一工作包选择规则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优先清除会阻塞多个下游交付物的关键缺口。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安全、接口和事实冲突优先于美观、成本等软目标。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等待外部报价或测试时，继续推进其他独立工作。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低能力工具只能生成对应成熟度的工件；不足时切换工具、降级目标或生成外部任务包。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每个工作包完成后立即更新状态、依赖和变更图。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7. 理论基础生成模块</w:t>
      </w:r>
    </w:p>
    <w:p>
      <w:pPr>
        <w:spacing w:after="100" w:line="295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理论基础是后续产品定义、手册和CAD的共同上游。主管必须把历史对话和附件转化为可追溯知识，而不是把长对话原样复制。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57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子任务</w:t>
            </w:r>
          </w:p>
        </w:tc>
        <w:tc>
          <w:tcPr>
            <w:tcW w:type="dxa" w:w="4819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AI执行</w:t>
            </w:r>
          </w:p>
        </w:tc>
        <w:tc>
          <w:tcPr>
            <w:tcW w:type="dxa" w:w="3231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退出条件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场景建模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用户、动作、频率、负荷、环境、替代方案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需求和非目标清楚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证据研究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论文、标准、法规、专利、竞品、供应链公开资料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关键结论有来源或明确假设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路线比较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至少三条路线、统一评分、风险和验证成本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主路线+备选路线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V1定义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功能、系统架构、模块、边界、参数目标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可进入产品架构评审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工业化框架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规格、BOM、DFM/DFA、EVT/DVT/PVT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后续工程任务清单完整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DEC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B91C1C"/>
                <w:sz w:val="22"/>
              </w:rPr>
              <w:t>理论基础不是量产事实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AI可以自动完成研究、计算和文档，但不能把未运行仿真、未取得报价、未制造样机或未完成测试写成已验证结果。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8. 连续附件驱动的产品手册模块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26332"/>
            <wp:docPr id="7" name="Picture 7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cha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95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主管必须识别用户成功提示词的连续关系：第一轮只规划；第二轮锁定母版与封面、原理、样板页；后续轮次将上一批完整页面作为附件，继续生成剩余页。前轮结果是强依赖，而不是可选参考。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587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4592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核心输出</w:t>
            </w:r>
          </w:p>
        </w:tc>
        <w:tc>
          <w:tcPr>
            <w:tcW w:type="dxa" w:w="3515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禁止事项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M0 理论接管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事实、参数、风险、禁用项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直接凭空生图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M1 规划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页数、页任务、锚点、批次、资产需求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用户说“先规划”却越级出全册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M2 Visual Bible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人物、整机、模块、CMF、场景、版式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仅用文字“延续上一版”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M3 锚点批次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封面、原理、至少三页样板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锚点未过门就批量扩展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M4 分批扩展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每批2—5页、附件谱系和哈希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旧图复用、结构漂移、伪文字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M5 成册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独立高清页、PDF、ZIP、设计意图包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把视觉页当工程事实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9. 产品手册质量系统</w:t>
      </w:r>
    </w:p>
    <w:p>
      <w:pPr>
        <w:spacing w:after="100" w:line="295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产品手册质量由三层共同实现：图像模型生成高保真视觉资产；程序或排版引擎生成真实中文、表格、曲线、页码、图标和注释；独立视觉审计对照黄金样本判断叙事、密度、可信度和跨页一致性。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审计维度</w:t>
            </w:r>
          </w:p>
        </w:tc>
        <w:tc>
          <w:tcPr>
            <w:tcW w:type="dxa" w:w="4535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关键问题</w:t>
            </w:r>
          </w:p>
        </w:tc>
        <w:tc>
          <w:tcPr>
            <w:tcW w:type="dxa" w:w="3458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发布门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页面任务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这一页是否传达唯一核心结论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无重复或空页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产品一致性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人物、整机、模块位置是否跨页稳定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锚点偏差在容许范围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信息真实性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参数是否来自事实版本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无参数臆造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视觉层次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主视觉、标题、说明、图注是否清楚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目标读者可快速理解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场景可信度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动作、PPE、工位和产品交互是否合理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不存在明显违和或危险示范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中文与图表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是否为真实排版而非生成式伪文字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全页可读、无乱码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黄金样本差距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叙事、密度、精细度是否达到基准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锚点平均≥8.2/10，单项≥7.5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DEC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B91C1C"/>
                <w:sz w:val="22"/>
              </w:rPr>
              <w:t>关键改进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“PNG为2480×3508、页数正确、PDF可打开”仅是文件检查，不再作为视觉质量通过证据。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10. 手册到CAD的受控交接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8" name="Picture 8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95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手册完成后，主管自动抽取Design Intent Package，但CAD必须同时读取Product Truth Baseline和Engineering Baseline。手册负责可见外观、模块关系、CMF和操作意图；工程基线负责人体、运动、载荷、材料、接口、安全和寿命；事实主表负责数值和证据状态。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手册元素分类</w:t>
            </w:r>
          </w:p>
        </w:tc>
        <w:tc>
          <w:tcPr>
            <w:tcW w:type="dxa" w:w="6973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CAD处理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engineering_confirmed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可进入工程定义，但仍需版本和证据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visual_intent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作为外观/交互约束；允许工程调整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engineering_required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暂停相关CAD细化，AI补研究或任务包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narrative_only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仅用于说明，不进入模型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prohibited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不得进入CAD、规格或宣传</w:t>
            </w:r>
          </w:p>
        </w:tc>
      </w:tr>
    </w:tbl>
    <w:p>
      <w:pPr>
        <w:spacing w:after="20"/>
      </w:pPr>
    </w:p>
    <w:p>
      <w:pPr>
        <w:spacing w:after="100" w:line="295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如果CAD为满足安全、运动、工艺或装配而改变已发布结构，主管必须回写事实主表，计算受影响页面，自动重绘和重新发布工程同步版手册。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11. 生产CAD与工程图模块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660140"/>
            <wp:docPr id="9" name="Picture 9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d_ladd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01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层级</w:t>
            </w:r>
          </w:p>
        </w:tc>
        <w:tc>
          <w:tcPr>
            <w:tcW w:type="dxa" w:w="3458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可交付用途</w:t>
            </w:r>
          </w:p>
        </w:tc>
        <w:tc>
          <w:tcPr>
            <w:tcW w:type="dxa" w:w="4649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必要证据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C0 设计意图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外观与模块讨论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手册设计意图包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C1 空间架构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包络、传力和运动链评审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人体/工位包络、轴线、禁入区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C2 参数化零件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工程建模继续开发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原生可编辑B-Rep、真实特征和接口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C3 装配验证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功能工程样机设计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装配约束、连续ROM、碰撞、尺码族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C4 工程验证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承载和安全设计迭代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载荷、强度、刚度、疲劳、失效分析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C5 制造定义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供应商DFM与工艺准备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尺寸链、基准、GD&amp;T、材料和工艺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C6 生产图纸包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受控样机制造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总装/零件图、BOM、检验、装配和发布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C7 生产放行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量产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供应商、实体样机、DVT/PVT和变更闭环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DEC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B91C1C"/>
                <w:sz w:val="22"/>
              </w:rPr>
              <w:t>能力地板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网格和Faceted BREP最高只能达到C1。任何工具回退必须同步降低成熟度声明；不能因STEP存在就说可生产。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12. 工业化、供应链与验证模块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14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工作域</w:t>
            </w:r>
          </w:p>
        </w:tc>
        <w:tc>
          <w:tcPr>
            <w:tcW w:type="dxa" w:w="4195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AI自主执行</w:t>
            </w:r>
          </w:p>
        </w:tc>
        <w:tc>
          <w:tcPr>
            <w:tcW w:type="dxa" w:w="3855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必须来自现实世界的输入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BOM与成本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结构、规格、数量、成本模型、敏感性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供应商正式报价、MOQ、模具费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供应链开发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候选搜索、资质要求、RFQ、比价、风险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供应商回复、样品、证书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DFM/DFA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评审清单、问题归因、改型建议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工厂工艺能力和正式反馈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EVT/DVT/PVT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计划、样本、条件、标准、数据模板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真实样机和原始测试数据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质量发布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CTQ、检验计划、追溯、ECO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首件、过程能力、良率和签发</w:t>
            </w:r>
          </w:p>
        </w:tc>
      </w:tr>
    </w:tbl>
    <w:p>
      <w:pPr>
        <w:spacing w:after="20"/>
      </w:pPr>
    </w:p>
    <w:p>
      <w:pPr>
        <w:spacing w:after="100" w:line="295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主管通过邮件、文件和项目工具组织外部协作；外部方只执行不可数字化动作并返回证据。AI负责解析反馈、更新CAD/BOM/文档、根因分析和回归计划。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E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F97316"/>
                <w:sz w:val="22"/>
              </w:rPr>
              <w:t>物理边界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AI不得虚构报价已取得、样机已制造、认证已通过或真人试穿安全。等待这些结果时，项目状态为blocked_external，但其他可执行工作继续。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13. 质量审计与结果收敛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71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质量层</w:t>
            </w:r>
          </w:p>
        </w:tc>
        <w:tc>
          <w:tcPr>
            <w:tcW w:type="dxa" w:w="4422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审查内容</w:t>
            </w:r>
          </w:p>
        </w:tc>
        <w:tc>
          <w:tcPr>
            <w:tcW w:type="dxa" w:w="3572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失败行为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生成者自检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完整性、格式、逻辑、来源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本模块直接修复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独立专业审计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反方检查、工程合理性、视觉差距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退回最小责任层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确定性脚本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文件、参数一致、哈希、尺寸、缺页、模型检查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自动阻止发布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结果验收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是否真正满足用户任务和目标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调整需求/方案，不用代理指标自证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17223B"/>
          <w:sz w:val="28"/>
        </w:rPr>
        <w:t>13.1 收敛函数</w:t>
      </w:r>
    </w:p>
    <w:p>
      <w:pPr>
        <w:spacing w:after="100" w:line="295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硬约束必须全部满足：安全、接口、运动、强度、夹点、法规、关键公差、工艺和证据状态。软目标只有在硬约束全通过后优化：重量、成本、零件数、装配时间、视觉一致性和供应风险。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17223B"/>
          <w:sz w:val="28"/>
        </w:rPr>
        <w:t>13.2 失败定位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事实错误：回到证据和Product Truth Baseline。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产品逻辑错误：回到需求或系统架构。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视觉不合格：回到Visual Bible、锚点或视觉资产。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CAD不合格：回到工程输入、参数化源或装配约束。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制造失败：回到工艺、公差、材料或供应能力。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测试失败：更新风险与根因，回归受影响的上游设计。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14. 能力路由与工具治理</w:t>
      </w:r>
    </w:p>
    <w:p>
      <w:pPr>
        <w:spacing w:after="100" w:line="295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主管维护Capability Registry，记录工具是否可用、最近验证时间、输入输出合同、失败模式和成熟度上限。工具不可用时可以切换或生成外部任务包，但不能维持原成熟度声明。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701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任务</w:t>
            </w:r>
          </w:p>
        </w:tc>
        <w:tc>
          <w:tcPr>
            <w:tcW w:type="dxa" w:w="3061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首选能力</w:t>
            </w:r>
          </w:p>
        </w:tc>
        <w:tc>
          <w:tcPr>
            <w:tcW w:type="dxa" w:w="3231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最低输出合同</w:t>
            </w:r>
          </w:p>
        </w:tc>
        <w:tc>
          <w:tcPr>
            <w:tcW w:type="dxa" w:w="2268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降级策略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学术研究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多源论文搜索与全文证据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来源、标识、摘要、质量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公开资料+明确低置信度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产品手册视觉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ChatGPT生图/图像模型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独立视觉资产和一致性附件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停止扩页，先修锚点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真实排版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程序化A4母版/文档工具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真实文字、表格、曲线、页码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不允许伪文字页发布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工程CAD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原生参数化B-Rep/CAD Skill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源码、STEP、检查、快照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降级至C0/C1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CAE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真实求解器或可执行任务包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模型、边界、结果、收敛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标为待运行，不写成验证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供应链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Web/邮件/表格工具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候选、RFQ、回复、比较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公开信息仅作候选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15. 成熟度声明与发布用语</w:t>
      </w:r>
    </w:p>
    <w:p>
      <w:pPr>
        <w:spacing w:after="100" w:line="295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v4.0禁止用“全链路打通”概括不同成熟度。主管必须按证据声明当前状态。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声明</w:t>
            </w:r>
          </w:p>
        </w:tc>
        <w:tc>
          <w:tcPr>
            <w:tcW w:type="dxa" w:w="6917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最低条件</w:t>
            </w:r>
          </w:p>
        </w:tc>
      </w:tr>
      <w:t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theory_foundation_ready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理论基础有证据、假设标记、架构候选和风险</w:t>
            </w:r>
          </w:p>
        </w:tc>
      </w:tr>
      <w:t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product_definition_approved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V1架构和产品边界经所有者批准</w:t>
            </w:r>
          </w:p>
        </w:tc>
      </w:tr>
      <w:t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manual_chain_planned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页数、页任务、锚点、批次和附件链已登记</w:t>
            </w:r>
          </w:p>
        </w:tc>
      </w:tr>
      <w:t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manual_anchors_locked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锚点通过黄金样本和独立视觉审计</w:t>
            </w:r>
          </w:p>
        </w:tc>
      </w:tr>
      <w:t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manual_complete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全册、真实排版、页面谱系和质量报告齐全</w:t>
            </w:r>
          </w:p>
        </w:tc>
      </w:tr>
      <w:t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engineering_model_ready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C3及以上证据满足目标用途</w:t>
            </w:r>
          </w:p>
        </w:tc>
      </w:tr>
      <w:t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prototype_build_ready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C6样机生产包、风险控制和所有者批准</w:t>
            </w:r>
          </w:p>
        </w:tc>
      </w:tr>
      <w:t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human_trial_ready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台架/安全门、试验方案、伦理/责任批准</w:t>
            </w:r>
          </w:p>
        </w:tc>
      </w:tr>
      <w:t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production_release_ready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C7、DVT/PVT、供应和质量证据闭环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16. Skill v4.0实现结构</w:t>
      </w:r>
    </w:p>
    <w:p>
      <w:pPr>
        <w:spacing w:after="100" w:line="295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v4.0保留v3.0的连续附件手册链和生产CAD链，新增主管层、工作队列、决策策略、能力注册、生命周期门和声明门。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目录/脚本</w:t>
            </w:r>
          </w:p>
        </w:tc>
        <w:tc>
          <w:tcPr>
            <w:tcW w:type="dxa" w:w="6293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职责</w:t>
            </w:r>
          </w:p>
        </w:tc>
      </w:tr>
      <w:t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SKILL.md</w:t>
            </w:r>
          </w:p>
        </w:tc>
        <w:tc>
          <w:tcPr>
            <w:tcW w:type="dxa" w:w="6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最高优先级行为契约与总控工作流</w:t>
            </w:r>
          </w:p>
        </w:tc>
      </w:tr>
      <w:t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scripts/aipd_supervisor.py</w:t>
            </w:r>
          </w:p>
        </w:tc>
        <w:tc>
          <w:tcPr>
            <w:tcW w:type="dxa" w:w="6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项目工作队列、阶段运行、能力和审计状态</w:t>
            </w:r>
          </w:p>
        </w:tc>
      </w:tr>
      <w:t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scripts/decision_policy.py</w:t>
            </w:r>
          </w:p>
        </w:tc>
        <w:tc>
          <w:tcPr>
            <w:tcW w:type="dxa" w:w="6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判断是否必须询问用户</w:t>
            </w:r>
          </w:p>
        </w:tc>
      </w:tr>
      <w:t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scripts/lifecycle_gate.py</w:t>
            </w:r>
          </w:p>
        </w:tc>
        <w:tc>
          <w:tcPr>
            <w:tcW w:type="dxa" w:w="6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按阶段和交付物验证生命周期退出条件</w:t>
            </w:r>
          </w:p>
        </w:tc>
      </w:tr>
      <w:t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scripts/capability_gate.py</w:t>
            </w:r>
          </w:p>
        </w:tc>
        <w:tc>
          <w:tcPr>
            <w:tcW w:type="dxa" w:w="6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检查工具能力是否满足目标成熟度</w:t>
            </w:r>
          </w:p>
        </w:tc>
      </w:tr>
      <w:t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scripts/claim_gate.py</w:t>
            </w:r>
          </w:p>
        </w:tc>
        <w:tc>
          <w:tcPr>
            <w:tcW w:type="dxa" w:w="6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防止无证据成熟度声明</w:t>
            </w:r>
          </w:p>
        </w:tc>
      </w:tr>
      <w:t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scripts/selftest_v4.py</w:t>
            </w:r>
          </w:p>
        </w:tc>
        <w:tc>
          <w:tcPr>
            <w:tcW w:type="dxa" w:w="6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主管行为与回归测试</w:t>
            </w:r>
          </w:p>
        </w:tc>
      </w:tr>
      <w:t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references/*</w:t>
            </w:r>
          </w:p>
        </w:tc>
        <w:tc>
          <w:tcPr>
            <w:tcW w:type="dxa" w:w="6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理论、模块政策、交付合同和成功样本</w:t>
            </w:r>
          </w:p>
        </w:tc>
      </w:tr>
      <w:t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assets/templates/*</w:t>
            </w:r>
          </w:p>
        </w:tc>
        <w:tc>
          <w:tcPr>
            <w:tcW w:type="dxa" w:w="6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项目、工作包、决策包和生命周期模板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17223B"/>
          <w:sz w:val="28"/>
        </w:rPr>
        <w:t>16.1 一个工作区内的运行方式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初始化项目和主管状态。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读取附件与历史，生成初始工作队列。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每轮选择下一最佳工作包并自主执行。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工作完成后写入交付物、证据、依赖和审计。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命中决策门时暂停相关分支，继续其他独立任务。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决策返回后自动传播影响并恢复执行。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17. 实施路线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098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3969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目标</w:t>
            </w:r>
          </w:p>
        </w:tc>
        <w:tc>
          <w:tcPr>
            <w:tcW w:type="dxa" w:w="3798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验收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V4-A 单工作区主管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统一状态、工作队列、决策和模块路由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可从想法推进到数字交付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V4-B 持久状态服务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MCP/数据库、跨会话恢复、团队权限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断开会话后恢复无重复询问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V4-C 工具连接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生图、文档、CAD、邮件、供应链与测试数据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每个工具有能力地板和输出合同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V4-D 外部执行闭环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供应商、工厂、实验室任务与回传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真实报价、样机和测试证据关联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V4-E 组织级治理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模板库、黄金样本、权限、审计和KPI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多项目复用与质量稳定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17223B"/>
          <w:sz w:val="28"/>
        </w:rPr>
        <w:t>17.1 主管KPI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4535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KPI</w:t>
            </w:r>
          </w:p>
        </w:tc>
        <w:tc>
          <w:tcPr>
            <w:tcW w:type="dxa" w:w="5329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目标方向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非必要询问率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持续下降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首次阶段通过率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持续上升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事实冲突发现时间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更早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变更自动传播覆盖率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接近100%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手册黄金样本差距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持续缩小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CAD返工在实体制造前发现比例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持续上升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无证据成熟度声明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必须为0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18. 首次项目运行SOP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接收产品想法、历史对话、附件、成功样本和目标；建立项目ID。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提取Product Truth Baseline、证据、风险、已批准决定和开放缺口。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生成生命周期路线和初始工作队列；普通缺口由AI自行补全。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完成理论基础并仅在产品主路线需要冻结时提交决策包。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完成产品定义；启动连续附件手册链，先规划、再锚点、再分批扩展。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手册完成后抽取Design Intent Package；补齐Engineering Baseline。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推进CAD C0—C6，持续几何、装配、CAE、DFM和图纸审计。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生成供应链、RFQ、EVT/DVT/PVT和质量文件；管理外部回传。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任何变更自动传播并重建受影响交付物。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只有实体EVT、真人试穿、正式开模和量产发布向用户请求放行。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8E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5803D"/>
                <w:sz w:val="22"/>
              </w:rPr>
              <w:t>主管启动语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“接管当前产品项目。全部数字工作由你完成，我只审核。请自主研究、定义、生成产品手册、完成工程CAD和工业化资料；只有命中决策闸门时向我提交决策包。”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19. 验收用例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用例</w:t>
            </w:r>
          </w:p>
        </w:tc>
        <w:tc>
          <w:tcPr>
            <w:tcW w:type="dxa" w:w="6973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预期行为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用户只给产品想法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AI建立假设和研究计划，不立即抛出长问卷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用户说“请先规划”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只生成手册规划和批次，不越级出全册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用户继续生成剩余页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自动引用上一批完整页面和锚点附件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某页视觉漂移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自动回滚最近锚点重生成，不询问用户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手册结构与工程冲突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工程安全优先，更新事实并重绘手册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CAD工具只支持网格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成熟度封顶C0/C1，不宣称可生产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供应商报价未返回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标记blocked_external并继续其他工作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准备开模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提交含成本、风险、版本和退出条件的决策包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用户修改目标成本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传播到BOM、CAD、规格、手册和验证计划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询问是否全链路完成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按成熟度声明，不用笼统术语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20. 外骨骼项目映射示例</w:t>
      </w:r>
    </w:p>
    <w:p>
      <w:pPr>
        <w:spacing w:after="100" w:line="295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以工业无源外骨骼为例，主管应把“弯腰提举、悬臂作业”的调研证据转化为场景模型；比较肩部、腰部和一体化路线；形成V1架构；使用用户成功轨迹生成精良手册；再补人体尺寸、肩胛运动、载荷谱、助力曲线、接触界面和快速释放等工程基线，进入参数化CA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57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4649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外骨骼关键输出</w:t>
            </w:r>
          </w:p>
        </w:tc>
        <w:tc>
          <w:tcPr>
            <w:tcW w:type="dxa" w:w="3402"/>
            <w:shd w:fill="1722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主要风险门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理论基础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动作、负荷、疲劳、竞品、标准、技术路线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不能宣称预防损伤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产品定义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辅助部位、传力路径、模块、V1边界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单/双臂与腰肩范围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产品手册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场景、整机、模块、原理、安装、安全、规格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人物与结构跨页一致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工程基线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P5/P50/P95、ROM、载荷、扭矩、接触压力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关节错位、夹点、快速释放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CAD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浮动肩轴、真实连接、弹簧、绑带、装配与图纸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C3/C4前不得真人穿戴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验证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台架、假人、受控试穿、疲劳和工位测试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真人试穿必须单独放行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2563EB"/>
          <w:sz w:val="36"/>
        </w:rPr>
        <w:t>21. Definition of Done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17223B"/>
          <w:sz w:val="28"/>
        </w:rPr>
        <w:t>21.1 数字主管系统完成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项目可从一个对话入口初始化、恢复和继续；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工作队列能够自主选择下一工作包；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决策策略能阻止不必要询问，并正确升级高风险事项；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理论基础、手册、CAD、工业化和验证模块共享统一事实；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变更可传播到所有依赖交付物；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所有成熟度声明通过证据门；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sz w:val="18"/>
        </w:rPr>
        <w:t>Skill结构、脚本和回归测试全部通过。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17223B"/>
          <w:sz w:val="28"/>
        </w:rPr>
        <w:t>21.2 产品项目完成</w:t>
      </w:r>
    </w:p>
    <w:p>
      <w:pPr>
        <w:spacing w:after="100" w:line="295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具体产品是否完成，取决于目标成熟度。数字工件齐全不等于真人可穿或量产可放行。主管必须明确当前停留在理论、手册、工程模型、样机制造、人体试验还是生产发布阶段。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2563EB"/>
                <w:sz w:val="22"/>
              </w:rPr>
              <w:t>最终原则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AI负责执行、追踪和自我纠错；用户负责方向、责任和不可逆放行。任何阶段都不能用精美视觉掩盖工程缺口，也不能用几何文件掩盖人体、安全和制造证据缺口。</w:t>
            </w:r>
          </w:p>
        </w:tc>
        <w:trPr>
          <w:tblHeader/>
        </w:trPr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4748B"/>
        <w:sz w:val="16"/>
      </w:rPr>
      <w:t>AIPD-OS v4.0  ·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4748B"/>
        <w:sz w:val="16"/>
      </w:rPr>
      <w:t>AIPD-OS v4.0  |  AI全链路产品开发与交付主管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2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2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