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erif CJK SC" w:hAnsi="Noto Serif CJK SC" w:eastAsia="Noto Serif CJK SC"/>
          <w:b/>
          <w:color w:val="A61E22"/>
          <w:sz w:val="56"/>
        </w:rPr>
        <w:t>具身智能作业 Demo Kit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32"/>
        </w:rPr>
        <w:t>捷顺谈判演示与应急切换手册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 w:val="0"/>
          <w:color w:val="6B7280"/>
          <w:sz w:val="22"/>
        </w:rPr>
        <w:t>外骨骼 × 本地推理 × 人员作业数据平台 × 捷顺场景协同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文件版本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5100"/>
            <w:shd w:fill="F3F4F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编制日期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2026-07-29</w:t>
            </w:r>
          </w:p>
        </w:tc>
      </w:tr>
      <w:tr>
        <w:tc>
          <w:tcPr>
            <w:tcW w:type="dxa" w:w="5100"/>
            <w:shd w:fill="F3F4F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适用阶段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开发基线冻结 → 原型开发 → 捷顺谈判演示 → 标杆接入</w:t>
            </w:r>
          </w:p>
        </w:tc>
      </w:tr>
      <w:tr>
        <w:tc>
          <w:tcPr>
            <w:tcW w:type="dxa" w:w="5100"/>
            <w:shd w:fill="F3F4F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密级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内部资料｜未经授权请勿外传</w:t>
            </w:r>
          </w:p>
        </w:tc>
      </w:tr>
    </w:tbl>
    <w:p>
      <w:r>
        <w:br w:type="page"/>
      </w:r>
    </w:p>
    <w:p>
      <w:pPr>
        <w:pStyle w:val="Heading1"/>
      </w:pPr>
      <w:r>
        <w:t>1. 演示目标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AF4E8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现场必须形成的判断</w:t>
              <w:br/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设备、数据链路、推理引擎和平台底座已经具备；下一步需要捷顺提供真实作业场所、客户接口和渠道资源，而不是从零研发。</w:t>
            </w:r>
          </w:p>
        </w:tc>
      </w:tr>
    </w:tbl>
    <w:p/>
    <w:p>
      <w:pPr>
        <w:pStyle w:val="Heading1"/>
      </w:pPr>
      <w:r>
        <w:t>2. 演示前 24 小时检查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主机、备机和浏览器均完成离线启动测试；公网关闭后全流程可用。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演示版本、模型/规则版本和数据集已冻结，禁止临场升级。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真实设备充电、固件版本、绑定人员和轻负荷动作已确认。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一键重置、预录真实数据、固定任务数据、预置事件和物流月台案例均可调用。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所有页面持续显示真实/受控/模拟数据来源。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商务主讲、技术主讲、设备演示、安全观察和应急操作角色已分配。</w:t>
      </w:r>
    </w:p>
    <w:p>
      <w:pPr>
        <w:pStyle w:val="Heading1"/>
      </w:pPr>
      <w:r>
        <w:t>3. 逐分钟演示脚本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1247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147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操作者</w:t>
            </w:r>
          </w:p>
        </w:tc>
        <w:tc>
          <w:tcPr>
            <w:tcW w:type="dxa" w:w="255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</w:t>
            </w:r>
          </w:p>
        </w:tc>
        <w:tc>
          <w:tcPr>
            <w:tcW w:type="dxa" w:w="283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屏幕</w:t>
            </w:r>
          </w:p>
        </w:tc>
        <w:tc>
          <w:tcPr>
            <w:tcW w:type="dxa" w:w="283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口径</w:t>
            </w:r>
          </w:p>
        </w:tc>
        <w:tc>
          <w:tcPr>
            <w:tcW w:type="dxa" w:w="226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失败切换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0:00—1:00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技术主讲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关闭公网，打开服务健康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所有组件绿色/明确降级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数据不出会议室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切健康快照</w:t>
            </w:r>
          </w:p>
        </w:tc>
      </w:tr>
      <w:tr>
        <w:tc>
          <w:tcPr>
            <w:tcW w:type="dxa" w:w="124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1:00—3:00</w:t>
            </w:r>
          </w:p>
        </w:tc>
        <w:tc>
          <w:tcPr>
            <w:tcW w:type="dxa" w:w="147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设备演示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设备上线、绑定人员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设备、版本、传感器健康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真机协议与数据链已跑通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切真实数据回放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3:00—6:00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设备演示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站立、行走、弯腰、搬举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动作、依据、负荷趋势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识别带作业上下文的状态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切规则或录制流</w:t>
            </w:r>
          </w:p>
        </w:tc>
      </w:tr>
      <w:tr>
        <w:tc>
          <w:tcPr>
            <w:tcW w:type="dxa" w:w="124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6:00—8:30</w:t>
            </w:r>
          </w:p>
        </w:tc>
        <w:tc>
          <w:tcPr>
            <w:tcW w:type="dxa" w:w="147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技术主讲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触发预置高负荷事件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等级、证据窗、版本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结论可追溯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打开预置事件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8:30—10:30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商务主讲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创建搬运任务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候选、分数、限制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辅助调度，人在环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固定任务页</w:t>
            </w:r>
          </w:p>
        </w:tc>
      </w:tr>
      <w:tr>
        <w:tc>
          <w:tcPr>
            <w:tcW w:type="dxa" w:w="124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10:30—12:30</w:t>
            </w:r>
          </w:p>
        </w:tc>
        <w:tc>
          <w:tcPr>
            <w:tcW w:type="dxa" w:w="147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技术主讲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询问负荷最高人员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回答+事件引用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助手不接安全控制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结构化查询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12:30—15:00</w:t>
            </w:r>
          </w:p>
        </w:tc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商务主讲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输入客户场景并导出报告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试点配置、KPI、接口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捷顺可立即筛选标杆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预置月台报告</w:t>
            </w:r>
          </w:p>
        </w:tc>
      </w:tr>
    </w:tbl>
    <w:p/>
    <w:p>
      <w:pPr>
        <w:pStyle w:val="Heading1"/>
      </w:pPr>
      <w:r>
        <w:t>4. 可讲与不可讲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可讲</w:t>
            </w:r>
          </w:p>
        </w:tc>
        <w:tc>
          <w:tcPr>
            <w:tcW w:type="dxa" w:w="510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不可讲</w:t>
            </w:r>
          </w:p>
        </w:tc>
      </w:tr>
      <w:tr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本地、离线、可追溯、可替换真实设备协议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已经在客户工厂验证，除非有书面证据</w:t>
            </w:r>
          </w:p>
        </w:tc>
      </w:tr>
      <w:tr>
        <w:tc>
          <w:tcPr>
            <w:tcW w:type="dxa" w:w="51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规则推理和模拟数据用于证明工程闭环</w:t>
            </w:r>
          </w:p>
        </w:tc>
        <w:tc>
          <w:tcPr>
            <w:tcW w:type="dxa" w:w="51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把模拟数据描述为客户实测</w:t>
            </w:r>
          </w:p>
        </w:tc>
      </w:tr>
      <w:tr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任务推荐是辅助决策，现场负责人确认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自动替代班组长或强制调度</w:t>
            </w:r>
          </w:p>
        </w:tc>
      </w:tr>
      <w:tr>
        <w:tc>
          <w:tcPr>
            <w:tcW w:type="dxa" w:w="51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疲劳/负荷为趋势估计</w:t>
            </w:r>
          </w:p>
        </w:tc>
        <w:tc>
          <w:tcPr>
            <w:tcW w:type="dxa" w:w="51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医学诊断、健康结论或工伤降低承诺</w:t>
            </w:r>
          </w:p>
        </w:tc>
      </w:tr>
      <w:tr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可与捷顺平台通过适配层对接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已完成天启AIoT正式联调，除非对接完成</w:t>
            </w:r>
          </w:p>
        </w:tc>
      </w:tr>
      <w:tr>
        <w:tc>
          <w:tcPr>
            <w:tcW w:type="dxa" w:w="51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下一步需要真实场地和接口完成标杆</w:t>
            </w:r>
          </w:p>
        </w:tc>
        <w:tc>
          <w:tcPr>
            <w:tcW w:type="dxa" w:w="51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承诺固定人效提升、ROI或落地时间</w:t>
            </w:r>
          </w:p>
        </w:tc>
      </w:tr>
    </w:tbl>
    <w:p/>
    <w:p>
      <w:pPr>
        <w:pStyle w:val="Heading1"/>
      </w:pPr>
      <w:r>
        <w:t>5. 应急切换矩阵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故障</w:t>
            </w:r>
          </w:p>
        </w:tc>
        <w:tc>
          <w:tcPr>
            <w:tcW w:type="dxa" w:w="283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30秒内动作</w:t>
            </w:r>
          </w:p>
        </w:tc>
        <w:tc>
          <w:tcPr>
            <w:tcW w:type="dxa" w:w="340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继续演示方式</w:t>
            </w:r>
          </w:p>
        </w:tc>
        <w:tc>
          <w:tcPr>
            <w:tcW w:type="dxa" w:w="226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会后动作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真机不上线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展示最后一次真实链路日志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切真实数据回放+模拟器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记录协议/硬件问题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动作识别异常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切规则结果</w:t>
            </w:r>
          </w:p>
        </w:tc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明确说明模型在受控数据上演示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检查采样/版本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事件未触发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打开预置事件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展示证据窗和处置链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复盘阈值/时间同步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助手不可用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打开结构化查询</w:t>
            </w:r>
          </w:p>
        </w:tc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强调助手是解释层，不影响主链路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恢复本地模型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报告导出失败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展示预生成报告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继续讲客户筛选逻辑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修复渲染/权限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主机故障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切备机</w:t>
            </w:r>
          </w:p>
        </w:tc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重启演示到预置步骤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保留日志，禁止现场调试</w:t>
            </w:r>
          </w:p>
        </w:tc>
      </w:tr>
    </w:tbl>
    <w:p/>
    <w:p>
      <w:pPr>
        <w:pStyle w:val="Heading1"/>
      </w:pPr>
      <w:r>
        <w:t>6. 会后必须形成的请求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由捷顺指定战略、技术、销售/方案和项目交付四条对接线。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共同筛选3—5个候选标杆场景，并用评估器完成初筛。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选定1个现场进行半天工序调研和接口摸底。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授权双方技术团队进行天启AIoT、定位、门禁或客户系统接口比对。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形成联合验证范围、客户责任、数据边界和90天里程碑。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6"/>
      </w:rPr>
      <w:t>新躯纪元｜EWOH 一次性交付包 V1.0｜内部资料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61E2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B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A61E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