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erif CJK SC" w:hAnsi="Noto Serif CJK SC" w:eastAsia="Noto Serif CJK SC"/>
          <w:b/>
          <w:color w:val="A61E22"/>
          <w:sz w:val="56"/>
        </w:rPr>
        <w:t>具身智能人员作业中枢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32"/>
        </w:rPr>
        <w:t>开发基线冻结与一次性交付说明书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 w:val="0"/>
          <w:color w:val="6B7280"/>
          <w:sz w:val="22"/>
        </w:rPr>
        <w:t>外骨骼 × 本地推理 × 人员作业数据平台 × 捷顺场景协同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文件版本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5100"/>
            <w:shd w:fill="F3F4F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编制日期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2026-07-29</w:t>
            </w:r>
          </w:p>
        </w:tc>
      </w:tr>
      <w:tr>
        <w:tc>
          <w:tcPr>
            <w:tcW w:type="dxa" w:w="5100"/>
            <w:shd w:fill="F3F4F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适用阶段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开发基线冻结 → 原型开发 → 捷顺谈判演示 → 标杆接入</w:t>
            </w:r>
          </w:p>
        </w:tc>
      </w:tr>
      <w:tr>
        <w:tc>
          <w:tcPr>
            <w:tcW w:type="dxa" w:w="5100"/>
            <w:shd w:fill="F3F4F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密级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内部资料｜未经授权请勿外传</w:t>
            </w:r>
          </w:p>
        </w:tc>
      </w:tr>
    </w:tbl>
    <w:p>
      <w:r>
        <w:br w:type="page"/>
      </w:r>
    </w:p>
    <w:p>
      <w:pPr>
        <w:pStyle w:val="Heading1"/>
      </w:pPr>
      <w:r>
        <w:t>文件控制与交付结论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AF4E8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本次一次性交付范围</w:t>
              <w:br/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已一次性完成所有可在无真机协议、无客户现场和无真实采集数据条件下完成的开发前任务，并交付可离线运行的 V0.5 模拟原型。真实外骨骼协议适配、真实动作模型训练、设备安全认证与标杆现场联调属于物理依赖项，已在包内配置接口、测试和替换位置，但不能以模拟结果冒充实测。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5386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本次已完成</w:t>
            </w:r>
          </w:p>
        </w:tc>
        <w:tc>
          <w:tcPr>
            <w:tcW w:type="dxa" w:w="238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交付位置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产品与项目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项目章程、产品定义、版本边界、PRD、演示剧本、RACI、12周WBS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01_开发基线、项目总控台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技术与接口</w:t>
            </w:r>
          </w:p>
        </w:tc>
        <w:tc>
          <w:tcPr>
            <w:tcW w:type="dxa" w:w="5386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总体架构、部署拓扑、设备协议模板、OpenAPI、JSON Schema、SQL数据模型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02_技术规范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数据与算法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数据字典、事件字典、采集标注、算法规格、模型卡、发布回滚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03_数据与算法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安全合规</w:t>
            </w:r>
          </w:p>
        </w:tc>
        <w:tc>
          <w:tcPr>
            <w:tcW w:type="dxa" w:w="5386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控制边界、RBAC、数据生命周期、DPA与演示授权模板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04_安全合规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测试交付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测试用例、验收矩阵、故障注入、演示检查、应急切换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05_测试验收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可运行原型</w:t>
            </w:r>
          </w:p>
        </w:tc>
        <w:tc>
          <w:tcPr>
            <w:tcW w:type="dxa" w:w="5386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本地 HTTP 服务、模拟设备、规则推理、事件、任务推荐、场景评估与报告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06_Demo_Prototype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商务落地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试点评估模板、客户筛选、谈判脚本、标杆接入清单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07_场景评估、08_商务与谈判</w:t>
            </w:r>
          </w:p>
        </w:tc>
      </w:tr>
    </w:tbl>
    <w:p/>
    <w:p>
      <w:pPr>
        <w:pStyle w:val="Heading1"/>
      </w:pPr>
      <w:r>
        <w:t>1. 项目章程与成功定义</w:t>
      </w:r>
    </w:p>
    <w:p>
      <w:pPr>
        <w:pStyle w:val="Heading2"/>
      </w:pPr>
      <w:r>
        <w:t>1.1 一句话产品定义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AF4E8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统一表达</w:t>
              <w:br/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以外骨骼和穿戴传感器为“人的数据入口”，在本地完成作业状态识别、安全风险判断和人员—任务协同，并通过数据平台实现实时态势、事件回放、证据查询和试点部署评估。</w:t>
            </w:r>
          </w:p>
        </w:tc>
      </w:tr>
    </w:tbl>
    <w:p/>
    <w:p>
      <w:pPr>
        <w:pStyle w:val="Heading2"/>
      </w:pPr>
      <w:r>
        <w:t>1.2 项目目标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在没有外部标杆场地的情况下，先证明设备数据、边缘计算、本地推理、事件闭环和人员任务协同可以运行。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让捷顺管理层看到一套可被天启 AIoT、定位、园区渠道和运维体系放大的技术底座。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让捷顺销售和方案团队通过场景评估器快速识别适合试点的客户、工序和部署条件。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为标杆版本预留接口、权限、审计、数据协议、KPI和验收框架，避免演示版推倒重来。</w:t>
      </w:r>
    </w:p>
    <w:p>
      <w:pPr>
        <w:pStyle w:val="Heading2"/>
      </w:pPr>
      <w:r>
        <w:t>1.3 五条成功链路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247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链路</w:t>
            </w:r>
          </w:p>
        </w:tc>
        <w:tc>
          <w:tcPr>
            <w:tcW w:type="dxa" w:w="368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V0.5目标</w:t>
            </w:r>
          </w:p>
        </w:tc>
        <w:tc>
          <w:tcPr>
            <w:tcW w:type="dxa" w:w="255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272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真机链路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至少一类真实设备稳定接入、断线恢复、时间同步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连续采集日志、原始数据片段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接口与模拟器已完成；待真实协议</w:t>
            </w:r>
          </w:p>
        </w:tc>
      </w:tr>
      <w:tr>
        <w:tc>
          <w:tcPr>
            <w:tcW w:type="dxa" w:w="124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推理链路</w:t>
            </w:r>
          </w:p>
        </w:tc>
        <w:tc>
          <w:tcPr>
            <w:tcW w:type="dxa" w:w="368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3—5类动作/状态识别，输出依据与版本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评测结果、规则/模型版本</w:t>
            </w:r>
          </w:p>
        </w:tc>
        <w:tc>
          <w:tcPr>
            <w:tcW w:type="dxa" w:w="272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规则推理已实现；待真实数据训练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事件链路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异常姿态/高负荷生成事件并保留证据窗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事件记录、前后数据回放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模拟原型已实现</w:t>
            </w:r>
          </w:p>
        </w:tc>
      </w:tr>
      <w:tr>
        <w:tc>
          <w:tcPr>
            <w:tcW w:type="dxa" w:w="124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业务链路</w:t>
            </w:r>
          </w:p>
        </w:tc>
        <w:tc>
          <w:tcPr>
            <w:tcW w:type="dxa" w:w="368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人、机、任务、区域绑定并可解释推荐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推荐结果及评分依据</w:t>
            </w:r>
          </w:p>
        </w:tc>
        <w:tc>
          <w:tcPr>
            <w:tcW w:type="dxa" w:w="272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模拟原型已实现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谈判链路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15分钟离线演示并生成试点建议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脚本、报告、应急切换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材料与原型已完成</w:t>
            </w:r>
          </w:p>
        </w:tc>
      </w:tr>
    </w:tbl>
    <w:p/>
    <w:p>
      <w:pPr>
        <w:pStyle w:val="Heading2"/>
      </w:pPr>
      <w:r>
        <w:t>1.4 非目标与红线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不做完整 MES、ERP、WMS 或全厂三维数字孪生。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平台和大模型不得直接控制关节、限扭、限速、急停和异常退出。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第一阶段只服务工业减负、物流月台、仓储拣选、装配搬运和物业工程等结构化场景。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模拟数据、受控数据和真实客户数据必须持续标识，禁止混用或包装。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不承诺全厂人效提升，不将单工序结果跨场景泛化。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不将生理、姿态和疲劳数据用于辞退、降薪、淘汰或惩罚性绩效。</w:t>
      </w:r>
    </w:p>
    <w:p>
      <w:pPr>
        <w:pStyle w:val="Heading1"/>
      </w:pPr>
      <w:r>
        <w:t>2. 产品范围与需求基线</w:t>
      </w:r>
    </w:p>
    <w:p>
      <w:pPr>
        <w:pStyle w:val="Heading2"/>
      </w:pPr>
      <w:r>
        <w:t>2.1 用户角色与决策问题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</w:t>
            </w:r>
          </w:p>
        </w:tc>
        <w:tc>
          <w:tcPr>
            <w:tcW w:type="dxa" w:w="294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关键问题</w:t>
            </w:r>
          </w:p>
        </w:tc>
        <w:tc>
          <w:tcPr>
            <w:tcW w:type="dxa" w:w="5386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系统回答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捷顺管理层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值得进入吗？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真实技术闭环、与捷顺能力互补、可复制路径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捷顺技术团队</w:t>
            </w:r>
          </w:p>
        </w:tc>
        <w:tc>
          <w:tcPr>
            <w:tcW w:type="dxa" w:w="294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能否接入现有平台？</w:t>
            </w:r>
          </w:p>
        </w:tc>
        <w:tc>
          <w:tcPr>
            <w:tcW w:type="dxa" w:w="5386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接口、部署拓扑、数据边界、复用清单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捷顺销售/方案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找哪类客户？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客户筛选、场景评分、试点建议书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工厂/园区负责人</w:t>
            </w:r>
          </w:p>
        </w:tc>
        <w:tc>
          <w:tcPr>
            <w:tcW w:type="dxa" w:w="294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会不会影响生产？</w:t>
            </w:r>
          </w:p>
        </w:tc>
        <w:tc>
          <w:tcPr>
            <w:tcW w:type="dxa" w:w="5386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部署步骤、责任边界、KPI和退出机制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安全/EHS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风险是否可控？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本地控制、最小采集、证据与审计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运维人员</w:t>
            </w:r>
          </w:p>
        </w:tc>
        <w:tc>
          <w:tcPr>
            <w:tcW w:type="dxa" w:w="294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掉线或故障怎么办？</w:t>
            </w:r>
          </w:p>
        </w:tc>
        <w:tc>
          <w:tcPr>
            <w:tcW w:type="dxa" w:w="5386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状态、故障码、重连、替换和降级</w:t>
            </w:r>
          </w:p>
        </w:tc>
      </w:tr>
    </w:tbl>
    <w:p/>
    <w:p>
      <w:pPr>
        <w:pStyle w:val="Heading2"/>
      </w:pPr>
      <w:r>
        <w:t>2.2 P0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81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53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283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REQ-001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设备与人员管理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设备注册、上线、人员绑定、版本、健康状态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上线后10秒内可见；掉线可识别</w:t>
            </w:r>
          </w:p>
        </w:tc>
      </w:tr>
      <w:tr>
        <w:tc>
          <w:tcPr>
            <w:tcW w:type="dxa" w:w="113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REQ-002</w:t>
            </w:r>
          </w:p>
        </w:tc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实时态势</w:t>
            </w:r>
          </w:p>
        </w:tc>
        <w:tc>
          <w:tcPr>
            <w:tcW w:type="dxa" w:w="45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动作、负荷、任务、风险、区域、设备状态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关键状态≤2秒更新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REQ-003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动作推理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站立、行走、弯腰、搬举等3—5类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返回标签、置信度/规则依据、版本</w:t>
            </w:r>
          </w:p>
        </w:tc>
      </w:tr>
      <w:tr>
        <w:tc>
          <w:tcPr>
            <w:tcW w:type="dxa" w:w="113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REQ-004</w:t>
            </w:r>
          </w:p>
        </w:tc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风险事件</w:t>
            </w:r>
          </w:p>
        </w:tc>
        <w:tc>
          <w:tcPr>
            <w:tcW w:type="dxa" w:w="45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连续高负荷、异常姿态、剧烈异常、设备异常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事件、等级、证据窗、处置状态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REQ-005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数据回放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按人员/设备/事件回放时序数据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事件前后数据可定位和导出</w:t>
            </w:r>
          </w:p>
        </w:tc>
      </w:tr>
      <w:tr>
        <w:tc>
          <w:tcPr>
            <w:tcW w:type="dxa" w:w="113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REQ-006</w:t>
            </w:r>
          </w:p>
        </w:tc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任务协同</w:t>
            </w:r>
          </w:p>
        </w:tc>
        <w:tc>
          <w:tcPr>
            <w:tcW w:type="dxa" w:w="45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基于技能、区域、负荷、时长、风险排序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可解释、人工确认后生效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REQ-007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本地助手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结构化查询、事件解释、报告摘要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引用本地记录；无依据拒答</w:t>
            </w:r>
          </w:p>
        </w:tc>
      </w:tr>
      <w:tr>
        <w:tc>
          <w:tcPr>
            <w:tcW w:type="dxa" w:w="113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REQ-008</w:t>
            </w:r>
          </w:p>
        </w:tc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场景评估器</w:t>
            </w:r>
          </w:p>
        </w:tc>
        <w:tc>
          <w:tcPr>
            <w:tcW w:type="dxa" w:w="45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输入客户参数生成试点建议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可编辑、可导出、标识假设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REQ-009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离线部署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无公网可运行并可一键恢复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所有静态资源和服务本地化</w:t>
            </w:r>
          </w:p>
        </w:tc>
      </w:tr>
      <w:tr>
        <w:tc>
          <w:tcPr>
            <w:tcW w:type="dxa" w:w="113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REQ-010</w:t>
            </w:r>
          </w:p>
        </w:tc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来源标识</w:t>
            </w:r>
          </w:p>
        </w:tc>
        <w:tc>
          <w:tcPr>
            <w:tcW w:type="dxa" w:w="45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真实/受控/模拟标签贯穿页面和报告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不可关闭或隐藏</w:t>
            </w:r>
          </w:p>
        </w:tc>
      </w:tr>
    </w:tbl>
    <w:p/>
    <w:p>
      <w:pPr>
        <w:pStyle w:val="Heading2"/>
      </w:pPr>
      <w:r>
        <w:t>2.3 标准 15 分钟演示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30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238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</w:t>
            </w:r>
          </w:p>
        </w:tc>
        <w:tc>
          <w:tcPr>
            <w:tcW w:type="dxa" w:w="272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展示</w:t>
            </w:r>
          </w:p>
        </w:tc>
        <w:tc>
          <w:tcPr>
            <w:tcW w:type="dxa" w:w="283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主讲结论</w:t>
            </w:r>
          </w:p>
        </w:tc>
        <w:tc>
          <w:tcPr>
            <w:tcW w:type="dxa" w:w="226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失败切换</w:t>
            </w:r>
          </w:p>
        </w:tc>
      </w:tr>
      <w:tr>
        <w:tc>
          <w:tcPr>
            <w:tcW w:type="dxa" w:w="130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0:00—1:00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断开公网并展示服务健康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边缘主机、局域网、组件状态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数据与模型在本地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展示预置健康快照</w:t>
            </w:r>
          </w:p>
        </w:tc>
      </w:tr>
      <w:tr>
        <w:tc>
          <w:tcPr>
            <w:tcW w:type="dxa" w:w="130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1:00—3:00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设备上线与人员绑定</w:t>
            </w:r>
          </w:p>
        </w:tc>
        <w:tc>
          <w:tcPr>
            <w:tcW w:type="dxa" w:w="272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编号、版本、传感器健康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协议和数据链路已跑通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真实数据回放</w:t>
            </w:r>
          </w:p>
        </w:tc>
      </w:tr>
      <w:tr>
        <w:tc>
          <w:tcPr>
            <w:tcW w:type="dxa" w:w="130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3:00—6:00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弯腰、搬举、行走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动作、置信度、负荷趋势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理解带作业上下文的人体数据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规则结果或录制数据</w:t>
            </w:r>
          </w:p>
        </w:tc>
      </w:tr>
      <w:tr>
        <w:tc>
          <w:tcPr>
            <w:tcW w:type="dxa" w:w="130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6:00—8:30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模拟连续高负荷/异常姿态</w:t>
            </w:r>
          </w:p>
        </w:tc>
        <w:tc>
          <w:tcPr>
            <w:tcW w:type="dxa" w:w="272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告警、等级、证据窗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告警可追溯，不是黑箱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预置事件回放</w:t>
            </w:r>
          </w:p>
        </w:tc>
      </w:tr>
      <w:tr>
        <w:tc>
          <w:tcPr>
            <w:tcW w:type="dxa" w:w="130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8:30—10:30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下发任务并推荐人员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候选人、分数、理由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辅助决策，人在环确认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固定任务案例</w:t>
            </w:r>
          </w:p>
        </w:tc>
      </w:tr>
      <w:tr>
        <w:tc>
          <w:tcPr>
            <w:tcW w:type="dxa" w:w="130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10:30—12:30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本地自然语言查询</w:t>
            </w:r>
          </w:p>
        </w:tc>
        <w:tc>
          <w:tcPr>
            <w:tcW w:type="dxa" w:w="272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回答与引用记录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大模型只负责解释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结构化查询面板</w:t>
            </w:r>
          </w:p>
        </w:tc>
      </w:tr>
      <w:tr>
        <w:tc>
          <w:tcPr>
            <w:tcW w:type="dxa" w:w="130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12:30—15:00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输入物流月台场景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设备、KPI、周期、接口建议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捷顺可用工具筛选标杆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预置案例报告</w:t>
            </w:r>
          </w:p>
        </w:tc>
      </w:tr>
    </w:tbl>
    <w:p/>
    <w:p>
      <w:pPr>
        <w:pStyle w:val="Heading1"/>
      </w:pPr>
      <w:r>
        <w:t>3. 技术架构冻结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88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8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部署模式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17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192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适用阶段</w:t>
            </w:r>
          </w:p>
        </w:tc>
        <w:tc>
          <w:tcPr>
            <w:tcW w:type="dxa" w:w="419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300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数据边界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单机演示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V0.5谈判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边缘主机+本地Web+模拟器+1套真机适配器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无公网、数据仅本机</w:t>
            </w:r>
          </w:p>
        </w:tc>
      </w:tr>
      <w:tr>
        <w:tc>
          <w:tcPr>
            <w:tcW w:type="dxa" w:w="141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局域网演示</w:t>
            </w:r>
          </w:p>
        </w:tc>
        <w:tc>
          <w:tcPr>
            <w:tcW w:type="dxa" w:w="192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多人观看</w:t>
            </w:r>
          </w:p>
        </w:tc>
        <w:tc>
          <w:tcPr>
            <w:tcW w:type="dxa" w:w="419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边缘主机+自带路由器+浏览器终端</w:t>
            </w:r>
          </w:p>
        </w:tc>
        <w:tc>
          <w:tcPr>
            <w:tcW w:type="dxa" w:w="300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本地局域网，不出会议室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标杆试点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V1.0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工业主机+设备网关+数据库+备份+捷顺/客户接口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默认数据不出厂，按DPA开放摘要</w:t>
            </w:r>
          </w:p>
        </w:tc>
      </w:tr>
      <w:tr>
        <w:tc>
          <w:tcPr>
            <w:tcW w:type="dxa" w:w="141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未来云边协同</w:t>
            </w:r>
          </w:p>
        </w:tc>
        <w:tc>
          <w:tcPr>
            <w:tcW w:type="dxa" w:w="192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规模复制</w:t>
            </w:r>
          </w:p>
        </w:tc>
        <w:tc>
          <w:tcPr>
            <w:tcW w:type="dxa" w:w="419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多项目边缘节点+受控中心服务</w:t>
            </w:r>
          </w:p>
        </w:tc>
        <w:tc>
          <w:tcPr>
            <w:tcW w:type="dxa" w:w="300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只上传授权后的配置、健康和聚合指标</w:t>
            </w:r>
          </w:p>
        </w:tc>
      </w:tr>
    </w:tbl>
    <w:p/>
    <w:p>
      <w:pPr>
        <w:pStyle w:val="Heading2"/>
      </w:pPr>
      <w:r>
        <w:t>3.2 关键技术选型原则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安全控制与人体关节相关能力必须在设备控制器本地闭环，平台只接收状态、下发任务或授权策略。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设备协议通过适配器隔离，统一转换为标准遥测、状态和事件消息。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实时数据与业务数据分层：高频时序数据、事件证据窗、人员/任务主数据分别存储。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推理服务必须支持规则、轻量模型和人工确认的混合路线，并具备 unknown 结果。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所有模型、规则、阈值和报告必须可版本化、可审计、可回滚。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本地助手只能调用白名单查询工具，不直接访问设备控制接口。</w:t>
      </w:r>
    </w:p>
    <w:p>
      <w:pPr>
        <w:pStyle w:val="Heading2"/>
      </w:pPr>
      <w:r>
        <w:t>3.3 服务清单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服务</w:t>
            </w:r>
          </w:p>
        </w:tc>
        <w:tc>
          <w:tcPr>
            <w:tcW w:type="dxa" w:w="385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55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P0接口</w:t>
            </w:r>
          </w:p>
        </w:tc>
        <w:tc>
          <w:tcPr>
            <w:tcW w:type="dxa" w:w="255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降级策略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device-gateway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设备协议、心跳、时间同步、缓存补传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telemetry/status/command-ack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切模拟器或本地缓存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inference-service</w:t>
            </w:r>
          </w:p>
        </w:tc>
        <w:tc>
          <w:tcPr>
            <w:tcW w:type="dxa" w:w="385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动作识别、风险规则、负荷/疲劳趋势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infer/event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模型失败切规则或unknown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operations-api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人员、设备、任务、区域、事件、推荐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REST API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核心读接口保持可用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timeseries-store</w:t>
            </w:r>
          </w:p>
        </w:tc>
        <w:tc>
          <w:tcPr>
            <w:tcW w:type="dxa" w:w="385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高频遥测和证据窗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写入/查询/导出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磁盘高水位时降采样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web-console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态势、事件、回放、调度、评估器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浏览器UI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预置静态演示数据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local-assistant</w:t>
            </w:r>
          </w:p>
        </w:tc>
        <w:tc>
          <w:tcPr>
            <w:tcW w:type="dxa" w:w="385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查询编排、引用证据、摘要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白名单工具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切结构化查询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report-service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试点建议和演示报告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HTML/DOC/PDF接口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生成HTML或JSON</w:t>
            </w:r>
          </w:p>
        </w:tc>
      </w:tr>
    </w:tbl>
    <w:p/>
    <w:p>
      <w:pPr>
        <w:pStyle w:val="Heading1"/>
      </w:pPr>
      <w:r>
        <w:t>4. 设备接口与数据标准</w:t>
      </w:r>
    </w:p>
    <w:p>
      <w:pPr>
        <w:pStyle w:val="Heading2"/>
      </w:pPr>
      <w:r>
        <w:t>4.1 统一设备模型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81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47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408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226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device_id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平台唯一设备编号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EXO-001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device_type</w:t>
            </w:r>
          </w:p>
        </w:tc>
        <w:tc>
          <w:tcPr>
            <w:tcW w:type="dxa" w:w="124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enum</w:t>
            </w:r>
          </w:p>
        </w:tc>
        <w:tc>
          <w:tcPr>
            <w:tcW w:type="dxa" w:w="850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exo/passive_sensor/wearable/uwb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exo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model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产品型号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NY-EXO-A1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firmware_version</w:t>
            </w:r>
          </w:p>
        </w:tc>
        <w:tc>
          <w:tcPr>
            <w:tcW w:type="dxa" w:w="124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50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固件版本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1.2.0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person_id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当前绑定人员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P-ANON-001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timestamp</w:t>
            </w:r>
          </w:p>
        </w:tc>
        <w:tc>
          <w:tcPr>
            <w:tcW w:type="dxa" w:w="124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ISO8601</w:t>
            </w:r>
          </w:p>
        </w:tc>
        <w:tc>
          <w:tcPr>
            <w:tcW w:type="dxa" w:w="850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设备采集时间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2026-07-29T10:32:10+08:00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online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在线状态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battery_pct</w:t>
            </w:r>
          </w:p>
        </w:tc>
        <w:tc>
          <w:tcPr>
            <w:tcW w:type="dxa" w:w="124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number</w:t>
            </w:r>
          </w:p>
        </w:tc>
        <w:tc>
          <w:tcPr>
            <w:tcW w:type="dxa" w:w="850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电量百分比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82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sensor_health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object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各传感器健康和质量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imu=good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assist_output</w:t>
            </w:r>
          </w:p>
        </w:tc>
        <w:tc>
          <w:tcPr>
            <w:tcW w:type="dxa" w:w="124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number</w:t>
            </w:r>
          </w:p>
        </w:tc>
        <w:tc>
          <w:tcPr>
            <w:tcW w:type="dxa" w:w="850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助力输出或状态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0.35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fault_codes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array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故障码列表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[]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source_type</w:t>
            </w:r>
          </w:p>
        </w:tc>
        <w:tc>
          <w:tcPr>
            <w:tcW w:type="dxa" w:w="124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enum</w:t>
            </w:r>
          </w:p>
        </w:tc>
        <w:tc>
          <w:tcPr>
            <w:tcW w:type="dxa" w:w="850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real/controlled/simulated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simulated</w:t>
            </w:r>
          </w:p>
        </w:tc>
      </w:tr>
    </w:tbl>
    <w:p/>
    <w:p>
      <w:pPr>
        <w:pStyle w:val="Heading2"/>
      </w:pPr>
      <w:r>
        <w:t>4.2 遥测消息最低字段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36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分组</w:t>
            </w:r>
          </w:p>
        </w:tc>
        <w:tc>
          <w:tcPr>
            <w:tcW w:type="dxa" w:w="311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92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单位/类型</w:t>
            </w:r>
          </w:p>
        </w:tc>
        <w:tc>
          <w:tcPr>
            <w:tcW w:type="dxa" w:w="170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建议频率</w:t>
            </w:r>
          </w:p>
        </w:tc>
        <w:tc>
          <w:tcPr>
            <w:tcW w:type="dxa" w:w="238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质量规则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IMU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acc_x/y/z, gyro_x/y/z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m/s², deg/s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50—100Hz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时间戳单调、缺失率&lt;1%</w:t>
            </w:r>
          </w:p>
        </w:tc>
      </w:tr>
      <w:tr>
        <w:tc>
          <w:tcPr>
            <w:tcW w:type="dxa" w:w="136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姿态</w:t>
            </w:r>
          </w:p>
        </w:tc>
        <w:tc>
          <w:tcPr>
            <w:tcW w:type="dxa" w:w="311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pitch, roll, yaw</w:t>
            </w:r>
          </w:p>
        </w:tc>
        <w:tc>
          <w:tcPr>
            <w:tcW w:type="dxa" w:w="192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degree</w:t>
            </w:r>
          </w:p>
        </w:tc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20—50Hz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超量程标记invalid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关节/助力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joint_angle, torque, assist_level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degree/Nm/0—1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20—100Hz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禁止平台伪造</w:t>
            </w:r>
          </w:p>
        </w:tc>
      </w:tr>
      <w:tr>
        <w:tc>
          <w:tcPr>
            <w:tcW w:type="dxa" w:w="136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生理（可选）</w:t>
            </w:r>
          </w:p>
        </w:tc>
        <w:tc>
          <w:tcPr>
            <w:tcW w:type="dxa" w:w="311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heart_rate, HRV</w:t>
            </w:r>
          </w:p>
        </w:tc>
        <w:tc>
          <w:tcPr>
            <w:tcW w:type="dxa" w:w="192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bpm/ms</w:t>
            </w:r>
          </w:p>
        </w:tc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1Hz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须单独授权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位置（可选）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zone_id, x, y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string/m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1—10Hz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允许仅保留区域级</w:t>
            </w:r>
          </w:p>
        </w:tc>
      </w:tr>
      <w:tr>
        <w:tc>
          <w:tcPr>
            <w:tcW w:type="dxa" w:w="136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质量</w:t>
            </w:r>
          </w:p>
        </w:tc>
        <w:tc>
          <w:tcPr>
            <w:tcW w:type="dxa" w:w="311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seq, latency_ms, packet_loss</w:t>
            </w:r>
          </w:p>
        </w:tc>
        <w:tc>
          <w:tcPr>
            <w:tcW w:type="dxa" w:w="192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number</w:t>
            </w:r>
          </w:p>
        </w:tc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每帧/窗口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写入质量标记</w:t>
            </w:r>
          </w:p>
        </w:tc>
      </w:tr>
    </w:tbl>
    <w:p/>
    <w:p>
      <w:pPr>
        <w:pStyle w:val="Heading2"/>
      </w:pPr>
      <w:r>
        <w:t>4.3 控制边界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757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平台是否允许</w:t>
            </w:r>
          </w:p>
        </w:tc>
        <w:tc>
          <w:tcPr>
            <w:tcW w:type="dxa" w:w="6236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任务/工序提示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允许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下发任务、区域和优先级；现场负责人确认</w:t>
            </w:r>
          </w:p>
        </w:tc>
      </w:tr>
      <w:tr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设备模式建议</w:t>
            </w:r>
          </w:p>
        </w:tc>
        <w:tc>
          <w:tcPr>
            <w:tcW w:type="dxa" w:w="175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条件允许</w:t>
            </w:r>
          </w:p>
        </w:tc>
        <w:tc>
          <w:tcPr>
            <w:tcW w:type="dxa" w:w="6236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仅白名单建议，设备端二次校验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阈值配置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条件允许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经过审批、版本化、可回滚</w:t>
            </w:r>
          </w:p>
        </w:tc>
      </w:tr>
      <w:tr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关节实时控制</w:t>
            </w:r>
          </w:p>
        </w:tc>
        <w:tc>
          <w:tcPr>
            <w:tcW w:type="dxa" w:w="175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禁止</w:t>
            </w:r>
          </w:p>
        </w:tc>
        <w:tc>
          <w:tcPr>
            <w:tcW w:type="dxa" w:w="6236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必须留在设备控制器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限扭/限速/急停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禁止平台绕过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任何网络命令不得关闭本地安全机制</w:t>
            </w:r>
          </w:p>
        </w:tc>
      </w:tr>
      <w:tr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固件升级</w:t>
            </w:r>
          </w:p>
        </w:tc>
        <w:tc>
          <w:tcPr>
            <w:tcW w:type="dxa" w:w="175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条件允许</w:t>
            </w:r>
          </w:p>
        </w:tc>
        <w:tc>
          <w:tcPr>
            <w:tcW w:type="dxa" w:w="6236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签名校验、维护窗口、失败回滚</w:t>
            </w:r>
          </w:p>
        </w:tc>
      </w:tr>
    </w:tbl>
    <w:p/>
    <w:p>
      <w:pPr>
        <w:pStyle w:val="Heading1"/>
      </w:pPr>
      <w:r>
        <w:t>5. 数据模型、事件与算法</w:t>
      </w:r>
    </w:p>
    <w:p>
      <w:pPr>
        <w:pStyle w:val="Heading2"/>
      </w:pPr>
      <w:r>
        <w:t>5.1 核心业务实体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170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主键</w:t>
            </w:r>
          </w:p>
        </w:tc>
        <w:tc>
          <w:tcPr>
            <w:tcW w:type="dxa" w:w="4649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238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保留策略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person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person_id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匿名身份、技能、班组、授权状态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按项目和授权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device</w:t>
            </w:r>
          </w:p>
        </w:tc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device_id</w:t>
            </w:r>
          </w:p>
        </w:tc>
        <w:tc>
          <w:tcPr>
            <w:tcW w:type="dxa" w:w="464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型号、版本、健康、绑定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设备生命周期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task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task_id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工序、区域、要求、负荷、状态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项目期+审计期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zone</w:t>
            </w:r>
          </w:p>
        </w:tc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zone_id</w:t>
            </w:r>
          </w:p>
        </w:tc>
        <w:tc>
          <w:tcPr>
            <w:tcW w:type="dxa" w:w="464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园区/车间/工位/月台、风险属性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项目期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telemetry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record_id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设备、时间、原始/标准化字段、质量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原始短期、聚合长期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inference</w:t>
            </w:r>
          </w:p>
        </w:tc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inference_id</w:t>
            </w:r>
          </w:p>
        </w:tc>
        <w:tc>
          <w:tcPr>
            <w:tcW w:type="dxa" w:w="464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动作、置信度、模型版本、证据范围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与事件/作业记录绑定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risk_event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event_id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类型、等级、证据窗、处置、版本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按安全审计要求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audit_log</w:t>
            </w:r>
          </w:p>
        </w:tc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audit_id</w:t>
            </w:r>
          </w:p>
        </w:tc>
        <w:tc>
          <w:tcPr>
            <w:tcW w:type="dxa" w:w="464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用户、动作、对象、前后值、时间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不可变审计</w:t>
            </w:r>
          </w:p>
        </w:tc>
      </w:tr>
    </w:tbl>
    <w:p/>
    <w:p>
      <w:pPr>
        <w:pStyle w:val="Heading2"/>
      </w:pPr>
      <w:r>
        <w:t>5.2 事件字典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87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87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79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触发示例</w:t>
            </w:r>
          </w:p>
        </w:tc>
        <w:tc>
          <w:tcPr>
            <w:tcW w:type="dxa" w:w="113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55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POSTURE_BEND_LONG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长时间弯腰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躯干角&gt;阈值持续60秒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L1/L2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前后30秒姿态</w:t>
            </w:r>
          </w:p>
        </w:tc>
      </w:tr>
      <w:tr>
        <w:tc>
          <w:tcPr>
            <w:tcW w:type="dxa" w:w="187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LOAD_CONTINUOUS</w:t>
            </w:r>
          </w:p>
        </w:tc>
        <w:tc>
          <w:tcPr>
            <w:tcW w:type="dxa" w:w="187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连续高负荷</w:t>
            </w:r>
          </w:p>
        </w:tc>
        <w:tc>
          <w:tcPr>
            <w:tcW w:type="dxa" w:w="379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load_score&gt;0.8持续150秒</w:t>
            </w:r>
          </w:p>
        </w:tc>
        <w:tc>
          <w:tcPr>
            <w:tcW w:type="dxa" w:w="113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L2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负荷、动作、任务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MOTION_ABNORMAL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剧烈异常动作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加速度/角速度异常+规则确认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L2/L3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IMU窗口</w:t>
            </w:r>
          </w:p>
        </w:tc>
      </w:tr>
      <w:tr>
        <w:tc>
          <w:tcPr>
            <w:tcW w:type="dxa" w:w="187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FALL_SUSPECTED</w:t>
            </w:r>
          </w:p>
        </w:tc>
        <w:tc>
          <w:tcPr>
            <w:tcW w:type="dxa" w:w="187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疑似跌倒</w:t>
            </w:r>
          </w:p>
        </w:tc>
        <w:tc>
          <w:tcPr>
            <w:tcW w:type="dxa" w:w="379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冲击+姿态变化+静止</w:t>
            </w:r>
          </w:p>
        </w:tc>
        <w:tc>
          <w:tcPr>
            <w:tcW w:type="dxa" w:w="113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L3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IMU和人工确认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DEVICE_OFFLINE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设备离线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心跳超时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L1/L2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心跳和网络</w:t>
            </w:r>
          </w:p>
        </w:tc>
      </w:tr>
      <w:tr>
        <w:tc>
          <w:tcPr>
            <w:tcW w:type="dxa" w:w="187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SENSOR_DEGRADED</w:t>
            </w:r>
          </w:p>
        </w:tc>
        <w:tc>
          <w:tcPr>
            <w:tcW w:type="dxa" w:w="187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传感器降级</w:t>
            </w:r>
          </w:p>
        </w:tc>
        <w:tc>
          <w:tcPr>
            <w:tcW w:type="dxa" w:w="379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质量低于门槛</w:t>
            </w:r>
          </w:p>
        </w:tc>
        <w:tc>
          <w:tcPr>
            <w:tcW w:type="dxa" w:w="113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L1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质量指标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INFERENCE_UNAVAILABLE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推理不可用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服务异常或数据不足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服务日志/质量</w:t>
            </w:r>
          </w:p>
        </w:tc>
      </w:tr>
    </w:tbl>
    <w:p/>
    <w:p>
      <w:pPr>
        <w:pStyle w:val="Heading2"/>
      </w:pPr>
      <w:r>
        <w:t>5.3 第一版算法规格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81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260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198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窗口/频率</w:t>
            </w:r>
          </w:p>
        </w:tc>
        <w:tc>
          <w:tcPr>
            <w:tcW w:type="dxa" w:w="232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</w:t>
            </w:r>
          </w:p>
        </w:tc>
        <w:tc>
          <w:tcPr>
            <w:tcW w:type="dxa" w:w="283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目标与降级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动作分类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腰部/大腿IMU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2秒，200ms更新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站立/行走/弯腰/搬举/unknown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受控准确率目标≥85%；失败用规则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姿态风险</w:t>
            </w:r>
          </w:p>
        </w:tc>
        <w:tc>
          <w:tcPr>
            <w:tcW w:type="dxa" w:w="260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pitch/roll+持续时间</w:t>
            </w:r>
          </w:p>
        </w:tc>
        <w:tc>
          <w:tcPr>
            <w:tcW w:type="dxa" w:w="198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滑动窗口</w:t>
            </w:r>
          </w:p>
        </w:tc>
        <w:tc>
          <w:tcPr>
            <w:tcW w:type="dxa" w:w="232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风险等级与触发条件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规则可解释；数据差返回unknown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负荷趋势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力矩/助力/动作/任务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30秒—10分钟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0—1负荷分数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仅趋势，不作为医学结论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疲劳趋势</w:t>
            </w:r>
          </w:p>
        </w:tc>
        <w:tc>
          <w:tcPr>
            <w:tcW w:type="dxa" w:w="260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作业时长+负荷+动作频次</w:t>
            </w:r>
          </w:p>
        </w:tc>
        <w:tc>
          <w:tcPr>
            <w:tcW w:type="dxa" w:w="198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15—60分钟</w:t>
            </w:r>
          </w:p>
        </w:tc>
        <w:tc>
          <w:tcPr>
            <w:tcW w:type="dxa" w:w="232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低/中/高趋势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需明确“估计”标签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任务推荐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技能/区域/负荷/时长/风险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按任务触发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候选人及分项得分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人工确认；无合格人选时拒绝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本地问答</w:t>
            </w:r>
          </w:p>
        </w:tc>
        <w:tc>
          <w:tcPr>
            <w:tcW w:type="dxa" w:w="260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结构化数据库+事件索引</w:t>
            </w:r>
          </w:p>
        </w:tc>
        <w:tc>
          <w:tcPr>
            <w:tcW w:type="dxa" w:w="198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查询时</w:t>
            </w:r>
          </w:p>
        </w:tc>
        <w:tc>
          <w:tcPr>
            <w:tcW w:type="dxa" w:w="232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回答+引用记录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无证据拒答；不调用控制接口</w:t>
            </w:r>
          </w:p>
        </w:tc>
      </w:tr>
    </w:tbl>
    <w:p/>
    <w:p>
      <w:pPr>
        <w:pStyle w:val="Heading2"/>
      </w:pPr>
      <w:r>
        <w:t>5.4 任务推荐基线公式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AF4E8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可解释打分</w:t>
              <w:br/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总分 = 30% 技能匹配 + 20% 区域接近 + 20% 当前负荷余量 + 15% 连续作业时长余量 + 15% 近期风险余量。任何安全禁忌、设备不可用或人员未授权均为硬性淘汰条件。权重为演示基线，标杆时须由现场负责人确认。</w:t>
            </w:r>
          </w:p>
        </w:tc>
      </w:tr>
    </w:tbl>
    <w:p/>
    <w:p>
      <w:pPr>
        <w:pStyle w:val="Heading1"/>
      </w:pPr>
      <w:r>
        <w:t>6. 数据采集、标注与模型治理</w:t>
      </w:r>
    </w:p>
    <w:p>
      <w:pPr>
        <w:pStyle w:val="Heading2"/>
      </w:pPr>
      <w:r>
        <w:t>6.1 标准动作集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17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68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标准定义</w:t>
            </w:r>
          </w:p>
        </w:tc>
        <w:tc>
          <w:tcPr>
            <w:tcW w:type="dxa" w:w="255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变化维度</w:t>
            </w:r>
          </w:p>
        </w:tc>
        <w:tc>
          <w:tcPr>
            <w:tcW w:type="dxa" w:w="283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禁止项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站立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自然站立5—20秒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不同身高/设备/姿态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禁止长时间静止导致不适</w:t>
            </w:r>
          </w:p>
        </w:tc>
      </w:tr>
      <w:tr>
        <w:tc>
          <w:tcPr>
            <w:tcW w:type="dxa" w:w="141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行走</w:t>
            </w:r>
          </w:p>
        </w:tc>
        <w:tc>
          <w:tcPr>
            <w:tcW w:type="dxa" w:w="368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平地直线正常速度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速度、转弯、负载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不做跑步或障碍穿越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弯腰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轻度/深度弯腰并复位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角度、节奏、是否负载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避免极限姿态</w:t>
            </w:r>
          </w:p>
        </w:tc>
      </w:tr>
      <w:tr>
        <w:tc>
          <w:tcPr>
            <w:tcW w:type="dxa" w:w="141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搬起/放下</w:t>
            </w:r>
          </w:p>
        </w:tc>
        <w:tc>
          <w:tcPr>
            <w:tcW w:type="dxa" w:w="368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从安全高度搬起轻负荷并放下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重量、次数、台面高度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演示只用轻负荷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搬运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持轻负荷行走短距离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距离、速度、双手/单手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不做危险转身</w:t>
            </w:r>
          </w:p>
        </w:tc>
      </w:tr>
      <w:tr>
        <w:tc>
          <w:tcPr>
            <w:tcW w:type="dxa" w:w="141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异常姿态</w:t>
            </w:r>
          </w:p>
        </w:tc>
        <w:tc>
          <w:tcPr>
            <w:tcW w:type="dxa" w:w="368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在安全范围内模拟持续错误姿态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持续时间、角度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不得模拟真实跌倒</w:t>
            </w:r>
          </w:p>
        </w:tc>
      </w:tr>
    </w:tbl>
    <w:p/>
    <w:p>
      <w:pPr>
        <w:pStyle w:val="Heading2"/>
      </w:pPr>
      <w:r>
        <w:t>6.2 采集批次要求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每批记录人员匿名ID、身高体重区间、设备型号、固件版本、动作、重量、时间、次数、标注员和授权。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原始数据不可直接覆盖；清洗、切窗、特征和标签均需保留版本与脚本哈希。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训练/验证/测试按人员划分，禁止同一人员相邻片段跨集合造成数据泄漏。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受控测试至少双人复核关键标签；冲突标签进入仲裁。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模型卡必须包含适用设备、数据来源、性能、known limitations、资源需求和回滚包。</w:t>
      </w:r>
    </w:p>
    <w:p>
      <w:pPr>
        <w:pStyle w:val="Heading2"/>
      </w:pPr>
      <w:r>
        <w:t>6.3 发布与回滚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83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4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产物</w:t>
            </w:r>
          </w:p>
        </w:tc>
        <w:tc>
          <w:tcPr>
            <w:tcW w:type="dxa" w:w="255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失败处理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候选模型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离线评测通过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模型文件、校验值、模型卡、评测报告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不进入演示环境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影子运行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与规则并行且不影响结果</w:t>
            </w:r>
          </w:p>
        </w:tc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对比日志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偏差过大则退回训练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灰度启用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仅受控动作/设备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版本配置、监控阈值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一键切回上一版本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正式演示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G3和G4通过</w:t>
            </w:r>
          </w:p>
        </w:tc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签名包、回滚包、冻结配置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禁止现场临时升级</w:t>
            </w:r>
          </w:p>
        </w:tc>
      </w:tr>
    </w:tbl>
    <w:p/>
    <w:p>
      <w:pPr>
        <w:pStyle w:val="Heading1"/>
      </w:pPr>
      <w:r>
        <w:t>7. 安全、隐私与可靠性</w:t>
      </w:r>
    </w:p>
    <w:p>
      <w:pPr>
        <w:pStyle w:val="Heading2"/>
      </w:pPr>
      <w:r>
        <w:t>7.1 数据分级与权限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170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283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默认可见</w:t>
            </w:r>
          </w:p>
        </w:tc>
        <w:tc>
          <w:tcPr>
            <w:tcW w:type="dxa" w:w="408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限制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设备健康/故障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内部业务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运维、项目管理员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不含个人绩效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作业动作/负荷</w:t>
            </w:r>
          </w:p>
        </w:tc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敏感业务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本人、EHS、授权管理者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最小颗粒度、用途限定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位置/轨迹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敏感个人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本人、授权调度人员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优先区域级；短期保留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生理数据</w:t>
            </w:r>
          </w:p>
        </w:tc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高度敏感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本人、授权健康/EHS人员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单独明示授权，默认不开启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视频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高度敏感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指定安全/标注人员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首版默认不存储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模型/规则结果</w:t>
            </w:r>
          </w:p>
        </w:tc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敏感业务</w:t>
            </w:r>
          </w:p>
        </w:tc>
        <w:tc>
          <w:tcPr>
            <w:tcW w:type="dxa" w:w="28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按用途授权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需可追溯、可申诉</w:t>
            </w:r>
          </w:p>
        </w:tc>
      </w:tr>
    </w:tbl>
    <w:p/>
    <w:p>
      <w:pPr>
        <w:pStyle w:val="Heading2"/>
      </w:pPr>
      <w:r>
        <w:t>7.2 故障降级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故障</w:t>
            </w:r>
          </w:p>
        </w:tc>
        <w:tc>
          <w:tcPr>
            <w:tcW w:type="dxa" w:w="419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系统行为</w:t>
            </w:r>
          </w:p>
        </w:tc>
        <w:tc>
          <w:tcPr>
            <w:tcW w:type="dxa" w:w="243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用户提示</w:t>
            </w:r>
          </w:p>
        </w:tc>
        <w:tc>
          <w:tcPr>
            <w:tcW w:type="dxa" w:w="238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恢复目标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设备掉线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保持最后状态并标记stale，停止新推理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设备离线、数据不可用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自动重连并补传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单传感器异常</w:t>
            </w:r>
          </w:p>
        </w:tc>
        <w:tc>
          <w:tcPr>
            <w:tcW w:type="dxa" w:w="419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降级到可用传感器或unknown</w:t>
            </w:r>
          </w:p>
        </w:tc>
        <w:tc>
          <w:tcPr>
            <w:tcW w:type="dxa" w:w="243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传感器降级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更换/校准后恢复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推理服务异常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规则兜底或unknown，不生成无依据高风险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推理不可用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重启服务/回滚模型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数据库异常</w:t>
            </w:r>
          </w:p>
        </w:tc>
        <w:tc>
          <w:tcPr>
            <w:tcW w:type="dxa" w:w="419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缓存写入，界面只读</w:t>
            </w:r>
          </w:p>
        </w:tc>
        <w:tc>
          <w:tcPr>
            <w:tcW w:type="dxa" w:w="243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记录延迟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恢复后补写与校验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本地助手异常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切结构化查询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智能助手不可用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不影响主链路</w:t>
            </w:r>
          </w:p>
        </w:tc>
      </w:tr>
      <w:tr>
        <w:tc>
          <w:tcPr>
            <w:tcW w:type="dxa" w:w="1814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磁盘高水位</w:t>
            </w:r>
          </w:p>
        </w:tc>
        <w:tc>
          <w:tcPr>
            <w:tcW w:type="dxa" w:w="419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停止非必要原始数据、保留事件窗</w:t>
            </w:r>
          </w:p>
        </w:tc>
        <w:tc>
          <w:tcPr>
            <w:tcW w:type="dxa" w:w="243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存储告警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清理/扩容</w:t>
            </w:r>
          </w:p>
        </w:tc>
      </w:tr>
    </w:tbl>
    <w:p/>
    <w:p>
      <w:pPr>
        <w:pStyle w:val="Heading1"/>
      </w:pPr>
      <w:r>
        <w:t>8. 测试与验收冻结</w:t>
      </w:r>
    </w:p>
    <w:p>
      <w:pPr>
        <w:pStyle w:val="Heading2"/>
      </w:pPr>
      <w:r>
        <w:t>8.1 P0 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969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3969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真机/模拟设备上线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真机上线后10秒内可见；模拟器可扩至50台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设备日志与页面录像</w:t>
            </w:r>
          </w:p>
        </w:tc>
      </w:tr>
      <w:tr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连续采集</w:t>
            </w:r>
          </w:p>
        </w:tc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真实设备目标≥2小时；模拟服务≥8小时</w:t>
            </w:r>
          </w:p>
        </w:tc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长稳日志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断线恢复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网络恢复后60秒内重连并恢复状态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故障注入记录</w:t>
            </w:r>
          </w:p>
        </w:tc>
      </w:tr>
      <w:tr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页面刷新</w:t>
            </w:r>
          </w:p>
        </w:tc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关键状态≤2秒或按项目配置</w:t>
            </w:r>
          </w:p>
        </w:tc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端到端时间戳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推理延迟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单窗口本地推理P95≤500ms（演示目标）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性能报告</w:t>
            </w:r>
          </w:p>
        </w:tc>
      </w:tr>
      <w:tr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事件生成</w:t>
            </w:r>
          </w:p>
        </w:tc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触发后2秒内出现并有前后证据窗</w:t>
            </w:r>
          </w:p>
        </w:tc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事件详情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任务推荐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5秒内返回候选和分项理由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接口与页面</w:t>
            </w:r>
          </w:p>
        </w:tc>
      </w:tr>
      <w:tr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离线演示</w:t>
            </w:r>
          </w:p>
        </w:tc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断网可完成六步脚本</w:t>
            </w:r>
          </w:p>
        </w:tc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完整录像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一键重置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2分钟内恢复初始状态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彩排记录</w:t>
            </w:r>
          </w:p>
        </w:tc>
      </w:tr>
      <w:tr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来源标识</w:t>
            </w:r>
          </w:p>
        </w:tc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所有模拟/受控数据持续标注</w:t>
            </w:r>
          </w:p>
        </w:tc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页面和报告抽查</w:t>
            </w:r>
          </w:p>
        </w:tc>
      </w:tr>
    </w:tbl>
    <w:p/>
    <w:p>
      <w:pPr>
        <w:pStyle w:val="Heading2"/>
      </w:pPr>
      <w:r>
        <w:t>8.2 必测故障注入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拔掉或停止一台设备；验证掉线、stale状态、重连和补传。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让传感器字段缺失或乱序；验证数据质量、unknown和不误报。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停止推理服务；验证规则兜底、助手不受影响或明确降级。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停止数据库或模拟磁盘高水位；验证缓存、告警和恢复。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修改模型/阈值版本；验证审计日志和一键回滚。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断开公网；验证所有字体、图标、模型和报告功能仍可用。</w:t>
      </w:r>
    </w:p>
    <w:p>
      <w:pPr>
        <w:pStyle w:val="Heading1"/>
      </w:pPr>
      <w:r>
        <w:t>9. 12 周实施计划与门禁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850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周</w:t>
            </w:r>
          </w:p>
        </w:tc>
        <w:tc>
          <w:tcPr>
            <w:tcW w:type="dxa" w:w="255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重点</w:t>
            </w:r>
          </w:p>
        </w:tc>
        <w:tc>
          <w:tcPr>
            <w:tcW w:type="dxa" w:w="4535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必交产物</w:t>
            </w:r>
          </w:p>
        </w:tc>
        <w:tc>
          <w:tcPr>
            <w:tcW w:type="dxa" w:w="255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门禁/控制点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项目启动与基线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章程、角色、仓库、环境、问题清单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范围和安全红线</w:t>
            </w:r>
          </w:p>
        </w:tc>
      </w:tr>
      <w:tr>
        <w:tc>
          <w:tcPr>
            <w:tcW w:type="dxa" w:w="850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W2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产品/架构冻结</w:t>
            </w:r>
          </w:p>
        </w:tc>
        <w:tc>
          <w:tcPr>
            <w:tcW w:type="dxa" w:w="45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PRD、演示脚本、架构、接口、数据字典、验收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G1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真机/模拟链路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设备适配器、缓存、时间同步、回放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G2；真实协议优先</w:t>
            </w:r>
          </w:p>
        </w:tc>
      </w:tr>
      <w:tr>
        <w:tc>
          <w:tcPr>
            <w:tcW w:type="dxa" w:w="850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W4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数据与动作基线</w:t>
            </w:r>
          </w:p>
        </w:tc>
        <w:tc>
          <w:tcPr>
            <w:tcW w:type="dxa" w:w="45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采集工具、标准动作集、标注规范、规则v0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数据质量审查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推理与事件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动作推理、风险规则、事件证据窗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模型/规则可解释</w:t>
            </w:r>
          </w:p>
        </w:tc>
      </w:tr>
      <w:tr>
        <w:tc>
          <w:tcPr>
            <w:tcW w:type="dxa" w:w="850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W6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算法评测与回滚</w:t>
            </w:r>
          </w:p>
        </w:tc>
        <w:tc>
          <w:tcPr>
            <w:tcW w:type="dxa" w:w="45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评测报告、模型卡、回滚包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G3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W7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业务对象与任务协同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人员/任务/区域、推荐打分、设备模拟器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人工确认</w:t>
            </w:r>
          </w:p>
        </w:tc>
      </w:tr>
      <w:tr>
        <w:tc>
          <w:tcPr>
            <w:tcW w:type="dxa" w:w="850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W8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助手与场景报告</w:t>
            </w:r>
          </w:p>
        </w:tc>
        <w:tc>
          <w:tcPr>
            <w:tcW w:type="dxa" w:w="45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白名单查询、证据引用、场景评估报告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助手失败不影响主链路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W9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演示闭环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六步脚本、一键重置、离线安装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G4；停止扩功能</w:t>
            </w:r>
          </w:p>
        </w:tc>
      </w:tr>
      <w:tr>
        <w:tc>
          <w:tcPr>
            <w:tcW w:type="dxa" w:w="850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W10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系统与安全测试</w:t>
            </w:r>
          </w:p>
        </w:tc>
        <w:tc>
          <w:tcPr>
            <w:tcW w:type="dxa" w:w="45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长稳、掉线、故障注入、权限、日志、恢复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P0缺陷清零计划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W11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彩排与交付包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3轮彩排、录像、讲稿、应急切换、用户手册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商务/技术双版本</w:t>
            </w:r>
          </w:p>
        </w:tc>
      </w:tr>
      <w:tr>
        <w:tc>
          <w:tcPr>
            <w:tcW w:type="dxa" w:w="850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W12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谈判交付</w:t>
            </w:r>
          </w:p>
        </w:tc>
        <w:tc>
          <w:tcPr>
            <w:tcW w:type="dxa" w:w="4535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G5评审、Demo Kit封箱、演示支持、标杆清单</w:t>
            </w:r>
          </w:p>
        </w:tc>
        <w:tc>
          <w:tcPr>
            <w:tcW w:type="dxa" w:w="255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未通过不对外</w:t>
            </w:r>
          </w:p>
        </w:tc>
      </w:tr>
    </w:tbl>
    <w:p/>
    <w:p>
      <w:pPr>
        <w:pStyle w:val="Heading1"/>
      </w:pPr>
      <w:r>
        <w:t>10. Demo Kit BOM 与资源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08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建议配置</w:t>
            </w:r>
          </w:p>
        </w:tc>
        <w:tc>
          <w:tcPr>
            <w:tcW w:type="dxa" w:w="1417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340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边缘主机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x86 8核/32GB/1TB SSD；可选独显或NPU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1+备机1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V0.5不强制GPU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外骨骼/传感器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真实设备至少1套</w:t>
            </w:r>
          </w:p>
        </w:tc>
        <w:tc>
          <w:tcPr>
            <w:tcW w:type="dxa" w:w="141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1—2</w:t>
            </w:r>
          </w:p>
        </w:tc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协议与授权由设备团队提供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局域网路由器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离线双频路由器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1+备1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禁止依赖现场网络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显示终端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笔记本/触控屏</w:t>
            </w:r>
          </w:p>
        </w:tc>
        <w:tc>
          <w:tcPr>
            <w:tcW w:type="dxa" w:w="141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1—2</w:t>
            </w:r>
          </w:p>
        </w:tc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浏览器访问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电源与UPS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插排、适配器、小型UPS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1套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保证15分钟以上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演示道具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轻负荷箱、标识胶带、安全垫</w:t>
            </w:r>
          </w:p>
        </w:tc>
        <w:tc>
          <w:tcPr>
            <w:tcW w:type="dxa" w:w="141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1套</w:t>
            </w:r>
          </w:p>
        </w:tc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经安全负责人批准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运输箱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防震箱、线缆标签、备件盒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1套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5分钟内布置</w:t>
            </w:r>
          </w:p>
        </w:tc>
      </w:tr>
      <w:tr>
        <w:tc>
          <w:tcPr>
            <w:tcW w:type="dxa" w:w="170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软件包</w:t>
            </w:r>
          </w:p>
        </w:tc>
        <w:tc>
          <w:tcPr>
            <w:tcW w:type="dxa" w:w="408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离线安装包、镜像/依赖、回滚包</w:t>
            </w:r>
          </w:p>
        </w:tc>
        <w:tc>
          <w:tcPr>
            <w:tcW w:type="dxa" w:w="1417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2份</w:t>
            </w:r>
          </w:p>
        </w:tc>
        <w:tc>
          <w:tcPr>
            <w:tcW w:type="dxa" w:w="340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主盘+加密备份盘</w:t>
            </w:r>
          </w:p>
        </w:tc>
      </w:tr>
    </w:tbl>
    <w:p/>
    <w:p>
      <w:pPr>
        <w:pStyle w:val="Heading1"/>
      </w:pPr>
      <w:r>
        <w:t>11. 风险与未决依赖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43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风险/依赖</w:t>
            </w:r>
          </w:p>
        </w:tc>
        <w:tc>
          <w:tcPr>
            <w:tcW w:type="dxa" w:w="2381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252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当前处理</w:t>
            </w:r>
          </w:p>
        </w:tc>
        <w:tc>
          <w:tcPr>
            <w:tcW w:type="dxa" w:w="226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负责人/触发条件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真实设备协议未提供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无法完成真机链路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已提供适配器接口与模拟器；协议到位后替换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设备负责人；W2前</w:t>
            </w:r>
          </w:p>
        </w:tc>
      </w:tr>
      <w:tr>
        <w:tc>
          <w:tcPr>
            <w:tcW w:type="dxa" w:w="243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真实受控数据不足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动作模型不可宣称性能</w:t>
            </w:r>
          </w:p>
        </w:tc>
        <w:tc>
          <w:tcPr>
            <w:tcW w:type="dxa" w:w="425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先规则+模拟；启动标准采集与按人划分评测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算法负责人；W4—W6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设备安全与可靠性未验证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不得做高负荷/现场部署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演示仅轻负荷；标杆前做连续运行、急停、误助力等测试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技术/安全负责人</w:t>
            </w:r>
          </w:p>
        </w:tc>
      </w:tr>
      <w:tr>
        <w:tc>
          <w:tcPr>
            <w:tcW w:type="dxa" w:w="243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捷顺接口未知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无法正式联调</w:t>
            </w:r>
          </w:p>
        </w:tc>
        <w:tc>
          <w:tcPr>
            <w:tcW w:type="dxa" w:w="425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已提供OpenAPI和适配层；收到接口后做映射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架构负责人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客户场景与基线未知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无法计算ROI或承诺效果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使用评估器筛选；必须获得现场基线后再设KPI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商务负责人</w:t>
            </w:r>
          </w:p>
        </w:tc>
      </w:tr>
      <w:tr>
        <w:tc>
          <w:tcPr>
            <w:tcW w:type="dxa" w:w="243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本地大模型资源不确定</w:t>
            </w:r>
          </w:p>
        </w:tc>
        <w:tc>
          <w:tcPr>
            <w:tcW w:type="dxa" w:w="2381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问答延迟或不可用</w:t>
            </w:r>
          </w:p>
        </w:tc>
        <w:tc>
          <w:tcPr>
            <w:tcW w:type="dxa" w:w="4252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结构化白名单查询为P0兜底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算法/架构负责人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对外口径越界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声誉与合规风险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所有数据标来源，所有结论限定场景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决策人/合规</w:t>
            </w:r>
          </w:p>
        </w:tc>
      </w:tr>
    </w:tbl>
    <w:p/>
    <w:p>
      <w:pPr>
        <w:pStyle w:val="Heading1"/>
      </w:pPr>
      <w:r>
        <w:t>12. 一次性交付索引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969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4819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268"/>
            <w:shd w:fill="A61E2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使用者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01_开发基线/EWOH_开发基线冻结包_V1.0.docx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本文件，作为G1冻结与研发输入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管理层、产品、技术</w:t>
            </w:r>
          </w:p>
        </w:tc>
      </w:tr>
      <w:tr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01_开发基线/EWOH_捷顺谈判演示手册_V1.0.docx</w:t>
            </w:r>
          </w:p>
        </w:tc>
        <w:tc>
          <w:tcPr>
            <w:tcW w:type="dxa" w:w="481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15分钟演示、讲稿、失败切换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商务、演示人员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02_技术规范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架构、设备协议、OpenAPI、SQL、Schema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研发、捷顺技术</w:t>
            </w:r>
          </w:p>
        </w:tc>
      </w:tr>
      <w:tr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03_数据与算法</w:t>
            </w:r>
          </w:p>
        </w:tc>
        <w:tc>
          <w:tcPr>
            <w:tcW w:type="dxa" w:w="481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数据字典、事件字典、采集标注、模型卡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算法、数据、测试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04_安全合规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控制边界、RBAC、DPA、授权模板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法务、EHS、客户</w:t>
            </w:r>
          </w:p>
        </w:tc>
      </w:tr>
      <w:tr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05_测试验收</w:t>
            </w:r>
          </w:p>
        </w:tc>
        <w:tc>
          <w:tcPr>
            <w:tcW w:type="dxa" w:w="481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验收标准、测试清单、故障注入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测试、交付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06_Demo_Prototype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可运行本地模拟原型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谈判、内部评审</w:t>
            </w:r>
          </w:p>
        </w:tc>
      </w:tr>
      <w:tr>
        <w:tc>
          <w:tcPr>
            <w:tcW w:type="dxa" w:w="396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EWOH_项目执行总控台_V1.0.xlsx</w:t>
            </w:r>
          </w:p>
        </w:tc>
        <w:tc>
          <w:tcPr>
            <w:tcW w:type="dxa" w:w="4819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WBS、需求、测试、风险、BOM、门禁</w:t>
            </w:r>
          </w:p>
        </w:tc>
        <w:tc>
          <w:tcPr>
            <w:tcW w:type="dxa" w:w="2268"/>
            <w:vAlign w:val="center"/>
            <w:shd w:fill="FAFAFA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项目管理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AF4E8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签署建议</w:t>
              <w:br/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本文件中的产品边界、技术架构、数据字段、控制边界和P0验收指标应在开发启动前由决策人、产品负责人、技术负责人、设备负责人、算法负责人和测试负责人共同签字。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6"/>
      </w:rPr>
      <w:t>新躯纪元｜EWOH 一次性交付包 V1.0｜内部资料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61E2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A61E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