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  <w:jc w:val="center"/>
      </w:pPr>
      <w:r>
        <w:rPr>
          <w:rFonts w:ascii="Noto Serif CJK SC" w:hAnsi="Noto Serif CJK SC" w:eastAsia="Noto Serif CJK SC"/>
          <w:b/>
          <w:color w:val="17365D"/>
          <w:sz w:val="50"/>
        </w:rPr>
        <w:t>Vencertia V11 Core Integrated Regression Test</w:t>
      </w:r>
    </w:p>
    <w:p>
      <w:pPr>
        <w:jc w:val="center"/>
      </w:pPr>
      <w:r>
        <w:rPr>
          <w:rFonts w:ascii="Noto Sans CJK SC" w:hAnsi="Noto Sans CJK SC" w:eastAsia="Noto Sans CJK SC"/>
          <w:color w:val="44546A"/>
          <w:sz w:val="24"/>
        </w:rPr>
        <w:t>全网检索 + 24 场景模拟测试报告 · Report v0.1</w:t>
      </w:r>
    </w:p>
    <w:p>
      <w:pPr>
        <w:spacing w:before="200"/>
        <w:jc w:val="center"/>
      </w:pPr>
      <w:r>
        <w:rPr>
          <w:rFonts w:ascii="Noto Sans CJK SC" w:hAnsi="Noto Sans CJK SC" w:eastAsia="Noto Sans CJK SC"/>
          <w:sz w:val="18"/>
        </w:rPr>
        <w:t>检索与模拟测试时点：2026-08-12（用户本地时区）</w:t>
      </w:r>
    </w:p>
    <w:p>
      <w:pPr>
        <w:jc w:val="center"/>
      </w:pPr>
      <w:r>
        <w:rPr>
          <w:rFonts w:ascii="Noto Sans CJK SC" w:hAnsi="Noto Sans CJK SC" w:eastAsia="Noto Sans CJK SC"/>
          <w:sz w:val="18"/>
        </w:rPr>
        <w:t>测试对象：Core Protocol + Schema + Orchestrator + Routing + Model Critic + Next Action Planner + Memory Write</w:t>
      </w:r>
    </w:p>
    <w:p>
      <w:r>
        <w:br w:type="page"/>
      </w:r>
    </w:p>
    <w:p>
      <w:pPr>
        <w:pStyle w:val="Heading1"/>
      </w:pPr>
      <w:r>
        <w:t>执行结论</w:t>
      </w:r>
    </w:p>
    <w:p>
      <w:r>
        <w:rPr>
          <w:b/>
        </w:rPr>
        <w:t>结论：</w:t>
      </w:r>
      <w:r>
        <w:t>V11 当前七个核心 Prompt/Schema 在“语义与权限边界”层面总体一致，未发现需要推倒重来的根本矛盾；但还不能宣布 Decision Runtime 可生产上线。</w:t>
      </w:r>
    </w:p>
    <w:p>
      <w:r>
        <w:rPr>
          <w:b/>
        </w:rPr>
        <w:t>Gate：</w:t>
      </w:r>
      <w:r>
        <w:t>Prompt/Schema Core = CONDITIONAL PASS；Production Decision Runtime = NOT YET PASS。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01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结果</w:t>
            </w:r>
          </w:p>
        </w:tc>
        <w:tc>
          <w:tcPr>
            <w:tcW w:type="dxa" w:w="115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数量</w:t>
            </w:r>
          </w:p>
        </w:tc>
        <w:tc>
          <w:tcPr>
            <w:tcW w:type="dxa" w:w="820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含义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PASS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17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当前合同能明确产生一致、可审计的行为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PARTIAL</w:t>
            </w:r>
          </w:p>
        </w:tc>
        <w:tc>
          <w:tcPr>
            <w:tcW w:type="dxa" w:w="115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820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方向正确，但存在跨模块语义/新鲜度/冲突处理缺口</w:t>
            </w:r>
          </w:p>
        </w:tc>
      </w:tr>
      <w:tr>
        <w:trPr>
          <w:cantSplit/>
        </w:trPr>
        <w:tc>
          <w:tcPr>
            <w:tcW w:type="dxa" w:w="201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BLOCKED_RUNTIME</w:t>
            </w:r>
          </w:p>
        </w:tc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Prompt/Schema 已表达意图，但缺确定性 Runtime Policy，无法做真正执行级验证</w:t>
            </w:r>
          </w:p>
        </w:tc>
      </w:tr>
      <w:tr>
        <w:trPr>
          <w:cantSplit/>
        </w:trPr>
        <w:tc>
          <w:tcPr>
            <w:tcW w:type="dxa" w:w="201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FAIL</w:t>
            </w:r>
          </w:p>
        </w:tc>
        <w:tc>
          <w:tcPr>
            <w:tcW w:type="dxa" w:w="115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0</w:t>
            </w:r>
          </w:p>
        </w:tc>
        <w:tc>
          <w:tcPr>
            <w:tcW w:type="dxa" w:w="820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发现直接违背核心不变量的行为</w:t>
            </w:r>
          </w:p>
        </w:tc>
      </w:tr>
    </w:tbl>
    <w:p>
      <w:pPr>
        <w:spacing w:after="20"/>
      </w:pPr>
    </w:p>
    <w:p>
      <w:r>
        <w:rPr>
          <w:b/>
        </w:rPr>
        <w:t>24 个案例结果：</w:t>
      </w:r>
      <w:r>
        <w:t>17 PASS / 4 PARTIAL / 3 BLOCKED_RUNTIME / 0 FAIL。</w:t>
      </w:r>
    </w:p>
    <w:p>
      <w:r>
        <w:rPr>
          <w:b/>
        </w:rPr>
        <w:t>最重要的发现：</w:t>
      </w:r>
      <w:r>
        <w:t>下一步不应直接继续批量重写剩余 Specialist；应先做一个 v0.2 Core Patch，并冻结 Stakes、Evidence Aggregation/Belief Update、Utility Execution 三项 Runtime Policy。</w:t>
      </w:r>
    </w:p>
    <w:p>
      <w:pPr>
        <w:pStyle w:val="Heading1"/>
      </w:pPr>
      <w:r>
        <w:t>1. 测试方法与边界</w:t>
      </w:r>
    </w:p>
    <w:p>
      <w:pPr>
        <w:pStyle w:val="ListBullet"/>
        <w:spacing w:after="40"/>
      </w:pPr>
      <w:r>
        <w:t>本次使用你已完成的 7 个核心文档作为规范基线：Core Protocol、Schema、Orchestrator、Routing、Model Critic、Next Action Planner、Memory Write。</w:t>
      </w:r>
    </w:p>
    <w:p>
      <w:pPr>
        <w:pStyle w:val="ListBullet"/>
        <w:spacing w:after="40"/>
      </w:pPr>
      <w:r>
        <w:t>互联网部分优先使用官方/第一方来源，跨 AI 平台政策、App Store 条款、EU AI/数据/网络安全规则、FDA 医疗软件、德国电子发票、PCI DSS、支付定价、产品安全等不同类型事实，刻意制造“时效性、法规、平台依赖、价格、冲突源”压力。</w:t>
      </w:r>
    </w:p>
    <w:p>
      <w:pPr>
        <w:pStyle w:val="ListBullet"/>
        <w:spacing w:after="40"/>
      </w:pPr>
      <w:r>
        <w:t>Web 事实在模拟中只作为 RAW_OBSERVATION / CANDIDATE_EVIDENCE；没有因为“来自官方网页”就自动晋级为 DECISION_EVIDENCE。</w:t>
      </w:r>
    </w:p>
    <w:p>
      <w:pPr>
        <w:pStyle w:val="ListBullet"/>
        <w:spacing w:after="40"/>
      </w:pPr>
      <w:r>
        <w:t>这是 Prompt/Schema 级集成模拟，不是你实际软件二进制/数据库/Runtime 的黑盒执行测试。当前没有收到 V11 Runtime 实现，因此不能声称 aggregation、Utility、Stakes、Bayes/EVI/Regret 算法已通过代码级验证。</w:t>
      </w:r>
    </w:p>
    <w:p>
      <w:pPr>
        <w:pStyle w:val="ListBullet"/>
        <w:spacing w:after="40"/>
      </w:pPr>
      <w:r>
        <w:t>每个案例依次检查：Mode/Path → Routing → Evidence semantics → Schema gate → A4 Critic → A7 action/experiment → Memory/Ledger → 最终状态。</w:t>
      </w:r>
    </w:p>
    <w:p>
      <w:pPr>
        <w:pStyle w:val="Heading1"/>
      </w:pPr>
      <w:r>
        <w:t>2. 本次采用的关键 V11 不变量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316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Invariant</w:t>
            </w:r>
          </w:p>
        </w:tc>
        <w:tc>
          <w:tcPr>
            <w:tcW w:type="dxa" w:w="820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本次测试如何判定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G-02 Uncalibrated score ≠ probability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任何未校准 0..1 数字不得被 UI/Agent 称为真实概率。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G-03 LLM propose ≠ approve</w:t>
            </w:r>
          </w:p>
        </w:tc>
        <w:tc>
          <w:tcPr>
            <w:tcW w:type="dxa" w:w="820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LLM_PROPOSED 参数不能进入 APPROVED Utility/Constraint/Preference。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G-05/G-06 Dependencies + no double counting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共享现实信号必须被识别；相关 Belief 不得默认独立。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G-07 Stakes-aware action</w:t>
            </w:r>
          </w:p>
        </w:tc>
        <w:tc>
          <w:tcPr>
            <w:tcW w:type="dxa" w:w="820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高下行/不可逆/监管风险需要更强 gate；不使用统一 uncertainty 魔法阈值。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G-09 Experiment decision-relevant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实验必须至少有一个结果能改变 action/option，或有独立合规理由。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G-11 Critique the model</w:t>
            </w:r>
          </w:p>
        </w:tc>
        <w:tc>
          <w:tcPr>
            <w:tcW w:type="dxa" w:w="820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HIGH/CRITICAL FULL 需要 A4 检查模型遗漏/结构错误。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G-12 Auto-ingest ≠ auto-influence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Web/CRM/tool 只进入 Observation/Candidate，不能直接改变 Belief/Decision。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G-13 Forecast calibration ≠ decision quality</w:t>
            </w:r>
          </w:p>
        </w:tc>
        <w:tc>
          <w:tcPr>
            <w:tcW w:type="dxa" w:w="820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预测校准与 Decision Performance/Regret 分开。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G-15 Progressive disclosure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内部复杂不强迫用户理解全部 Bayesian/Utility 术语。</w:t>
            </w:r>
          </w:p>
        </w:tc>
      </w:tr>
    </w:tbl>
    <w:p>
      <w:pPr>
        <w:spacing w:after="20"/>
      </w:pPr>
    </w:p>
    <w:p>
      <w:pPr>
        <w:pStyle w:val="Heading1"/>
      </w:pPr>
      <w:r>
        <w:t>3. 全网检索来源与压力类型</w:t>
      </w:r>
    </w:p>
    <w:p>
      <w:r>
        <w:t>本轮检索使用 12 个官方/第一方来源。它们不是为了证明某个创业项目，而是用于测试 V11 是否正确处理“当前事实、有效期、规则变化、费用变化与来源冲突”。</w:t>
      </w:r>
    </w:p>
    <w:p>
      <w:pPr>
        <w:spacing w:after="60"/>
      </w:pPr>
      <w:r>
        <w:rPr>
          <w:b/>
        </w:rPr>
        <w:t xml:space="preserve">WEB-01 · OpenAI · </w:t>
      </w:r>
      <w:hyperlink r:id="rId11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Fine-tuning platform wind-down update</w:t>
        </w:r>
      </w:hyperlink>
      <w:r>
        <w:t xml:space="preserve"> — OpenAI states the fine-tuning platform is being wound down; it is closed to new users, while existing users can create training jobs for a limited transition period; inference continues until base-model deprecation.</w:t>
      </w:r>
    </w:p>
    <w:p>
      <w:pPr>
        <w:spacing w:after="60"/>
      </w:pPr>
      <w:r>
        <w:rPr>
          <w:b/>
        </w:rPr>
        <w:t xml:space="preserve">WEB-02 · Apple Developer · </w:t>
      </w:r>
      <w:hyperlink r:id="rId12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Core Technology Fee / CTC support</w:t>
        </w:r>
      </w:hyperlink>
      <w:r>
        <w:t xml:space="preserve"> — Apple support still describes CTF under Alternative Terms while also describing a transition to CTC and a planned single model. This is intentionally used as a source-conflict/freshness stress case.</w:t>
      </w:r>
    </w:p>
    <w:p>
      <w:pPr>
        <w:spacing w:after="60"/>
      </w:pPr>
      <w:r>
        <w:rPr>
          <w:b/>
        </w:rPr>
        <w:t xml:space="preserve">WEB-03 · Apple Developer · </w:t>
      </w:r>
      <w:hyperlink r:id="rId13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EU commissions, fees and taxes</w:t>
        </w:r>
      </w:hyperlink>
      <w:r>
        <w:t xml:space="preserve"> — Apple documents commissions, payment-processing fees and CTF terms for alternative EU business terms.</w:t>
      </w:r>
    </w:p>
    <w:p>
      <w:pPr>
        <w:spacing w:after="60"/>
      </w:pPr>
      <w:r>
        <w:rPr>
          <w:b/>
        </w:rPr>
        <w:t xml:space="preserve">WEB-04 · European Commission · </w:t>
      </w:r>
      <w:hyperlink r:id="rId14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Navigating the AI Act</w:t>
        </w:r>
      </w:hyperlink>
      <w:r>
        <w:t xml:space="preserve"> — Current Commission guidance describes AI Act applicability dates and exceptions, including revised high-risk timelines.</w:t>
      </w:r>
    </w:p>
    <w:p>
      <w:pPr>
        <w:spacing w:after="60"/>
      </w:pPr>
      <w:r>
        <w:rPr>
          <w:b/>
        </w:rPr>
        <w:t xml:space="preserve">WEB-05 · European Commission · </w:t>
      </w:r>
      <w:hyperlink r:id="rId15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AI Omnibus enters into force</w:t>
        </w:r>
      </w:hyperlink>
      <w:r>
        <w:t xml:space="preserve"> — Commission states the AI Omnibus entered into force on 27 July 2026 and adjusted implementation timelines/simplification.</w:t>
      </w:r>
    </w:p>
    <w:p>
      <w:pPr>
        <w:spacing w:after="60"/>
      </w:pPr>
      <w:r>
        <w:rPr>
          <w:b/>
        </w:rPr>
        <w:t xml:space="preserve">WEB-06 · U.S. FDA · </w:t>
      </w:r>
      <w:hyperlink r:id="rId16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Clinical Decision Support Software final guidance</w:t>
        </w:r>
      </w:hyperlink>
      <w:r>
        <w:t xml:space="preserve"> — FDA final January 2026 guidance clarifies Non-Device CDS criteria and device-software boundaries.</w:t>
      </w:r>
    </w:p>
    <w:p>
      <w:pPr>
        <w:spacing w:after="60"/>
      </w:pPr>
      <w:r>
        <w:rPr>
          <w:b/>
        </w:rPr>
        <w:t xml:space="preserve">WEB-07 · European Commission · </w:t>
      </w:r>
      <w:hyperlink r:id="rId17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Cyber Resilience Act reporting obligations</w:t>
        </w:r>
      </w:hyperlink>
      <w:r>
        <w:t xml:space="preserve"> — From 11 September 2026 manufacturers must report actively exploited vulnerabilities/severe incidents; the page describes 24h/72h notification timing.</w:t>
      </w:r>
    </w:p>
    <w:p>
      <w:pPr>
        <w:spacing w:after="60"/>
      </w:pPr>
      <w:r>
        <w:rPr>
          <w:b/>
        </w:rPr>
        <w:t xml:space="preserve">WEB-08 · German Federal Ministry of Finance · </w:t>
      </w:r>
      <w:hyperlink r:id="rId18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Mandatory e-invoice FAQ</w:t>
        </w:r>
      </w:hyperlink>
      <w:r>
        <w:t xml:space="preserve"> — BMF March 2026 FAQ: domestic businesses must be able to receive e-invoices since 1 Jan 2025; issuing transition rules run through 2026/2027 depending on conditions.</w:t>
      </w:r>
    </w:p>
    <w:p>
      <w:pPr>
        <w:spacing w:after="60"/>
      </w:pPr>
      <w:r>
        <w:rPr>
          <w:b/>
        </w:rPr>
        <w:t xml:space="preserve">WEB-09 · PCI Security Standards Council · </w:t>
      </w:r>
      <w:hyperlink r:id="rId19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PCI DSS v4.x requirements after 31 March 2025</w:t>
        </w:r>
      </w:hyperlink>
      <w:r>
        <w:t xml:space="preserve"> — PCI SSC documents v4.x requirements that became effective/superseded after 31 March 2025.</w:t>
      </w:r>
    </w:p>
    <w:p>
      <w:pPr>
        <w:spacing w:after="60"/>
      </w:pPr>
      <w:r>
        <w:rPr>
          <w:b/>
        </w:rPr>
        <w:t xml:space="preserve">WEB-10 · European Commission · </w:t>
      </w:r>
      <w:hyperlink r:id="rId20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EU Data Act</w:t>
        </w:r>
      </w:hyperlink>
      <w:r>
        <w:t xml:space="preserve"> — The Data Act applies from 12 September 2025 and gives users more control/access/share rights over connected-device data.</w:t>
      </w:r>
    </w:p>
    <w:p>
      <w:pPr>
        <w:spacing w:after="60"/>
      </w:pPr>
      <w:r>
        <w:rPr>
          <w:b/>
        </w:rPr>
        <w:t xml:space="preserve">WEB-11 · European Commission · </w:t>
      </w:r>
      <w:hyperlink r:id="rId21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Safety Gate / GPSR</w:t>
        </w:r>
      </w:hyperlink>
      <w:r>
        <w:t xml:space="preserve"> — EU Safety Gate and GPSR materials establish product-safety and online-marketplace obligations in the EU.</w:t>
      </w:r>
    </w:p>
    <w:p>
      <w:pPr>
        <w:spacing w:after="60"/>
      </w:pPr>
      <w:r>
        <w:rPr>
          <w:b/>
        </w:rPr>
        <w:t xml:space="preserve">WEB-12 · Stripe · </w:t>
      </w:r>
      <w:hyperlink r:id="rId22">
        <w:r>
          <w:rPr>
            <w:color w:val="0563C1"/>
            <w:u w:val="single"/>
            <w:rFonts w:ascii="Noto Sans CJK SC" w:hAnsi="Noto Sans CJK SC" w:eastAsia="Noto Sans CJK SC"/>
            <w:sz w:val="18"/>
          </w:rPr>
          <w:t>European standard pricing</w:t>
        </w:r>
      </w:hyperlink>
      <w:r>
        <w:t xml:space="preserve"> — Stripe European pricing shows current standard EEA/UK/international card fees; used as a volatile pricing-input case.</w:t>
      </w:r>
    </w:p>
    <w:p>
      <w:pPr>
        <w:pStyle w:val="Heading1"/>
      </w:pPr>
      <w:r>
        <w:t>4. 24 个集成测试案例总表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691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ID</w:t>
            </w:r>
          </w:p>
        </w:tc>
        <w:tc>
          <w:tcPr>
            <w:tcW w:type="dxa" w:w="936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类型</w:t>
            </w:r>
          </w:p>
        </w:tc>
        <w:tc>
          <w:tcPr>
            <w:tcW w:type="dxa" w:w="496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场景</w:t>
            </w:r>
          </w:p>
        </w:tc>
        <w:tc>
          <w:tcPr>
            <w:tcW w:type="dxa" w:w="108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Source</w:t>
            </w:r>
          </w:p>
        </w:tc>
        <w:tc>
          <w:tcPr>
            <w:tcW w:type="dxa" w:w="151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结果</w:t>
            </w:r>
          </w:p>
        </w:tc>
        <w:tc>
          <w:tcPr>
            <w:tcW w:type="dxa" w:w="324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核心判断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AI SaaS准备投入大量工程成本构建依赖 OpenAI fine-tuning 的核心能力。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WEB-01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当前事实会直接改变行动，V11 的 tool-first、Critic 与 staged option 逻辑一致。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W02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EU iOS 应用约 120 万安装，团队要比较 Apple 替代分发条款与费用。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WEB-02/03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PARTIAL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 可标 DISPUTED/STALE，但缺少正式 ExternalFactFreshness/SourceConflict resolution policy。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已有公司准备把 AI 招聘产品进入欧盟，需要判断现在是否全面投入。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WEB-04/05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PARTIAL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发现 LifecycleMode 将“公司所处阶段”和“当前决策处于验证阶段”混在同一字段的语义张力。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W04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医疗 AI CDS 软件计划在美国正式上线。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WEB-06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符合 hard constraint 先于 Utility、current-source research 与 HOLD/TEST 规则。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W05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联网 IoT 产品计划 2026 年 9 月后在欧盟销售。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WEB-07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很好地测试了 deadline、regime change 和不可逆上市承诺。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W06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美国 B2B SaaS 设立德国实体并开始本地开票。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WEB-08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PARTIAL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行为正确，但与 W03 相同，暴露 venture lifecycle 与 decision validation phase 的字段混用。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W07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电商公司准备大规模扩大卡支付流量，但 Web 支付页面控制项未完成。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WEB-09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硬约束/尾部风险/当前标准的处理边界清晰。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W08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联网工业设备公司商业模式依赖“设备数据独占”并准备进入 EU。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WEB-10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展示了 Model Critic 对“模型里根本没写的法律变量”的价值。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W09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在线市场准备在 EU 扩大消费电子品类。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WEB-11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监管/平台义务被当作模型变量与执行 gate，而不是附录免责声明。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W10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EU SaaS 只想估算 Stripe 卡支付手续费对本月毛利的影响。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WEB-12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验证 minimum sufficient routing 与 FAST path。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35岁、8年物流经验、$20k资本、每周10小时，想创业但无方向。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Mode 与 Explore 价值主张一致。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S12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只需花 $200 做一个可逆 Landing Page 需求测试。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有效抑制复杂度。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LLM 自动给“客户付费意愿 Utility weight=0.85”，无来源、无批准。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Pydantic/治理规则明确阻断静默批准。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S14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同一客户签一年合同，被同时用于 Problem、WTP、Demand 三个 Belief。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BLOCKED_RUNTIME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Schema/Prompt 已正确，但实际 aggregation guard 算法尚未冻结，无法证明生产运行不会三计数。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S15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WTP很高但 Distribution≈0；旧线性加权仍给出高综合分。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BLOCKED_RUNTIME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数据结构能表达，但 Utility execution/aggregation runtime 尚未冻结。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S16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一个研究能收集大量信息，但无论结果如何都会继续当前动作。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A7 与 Schema VOI 语义一致。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S17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$50M 不可逆建厂，监管状态未知，用户只说“直接告诉我建不建”。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BLOCKED_RUNTIME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自动把输入判为 HIGH/CRITICAL 所需 StakesPolicy/阈值尚未冻结；手工给定 CRITICAL 时流程可通过。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S18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系统想输出 HOLD，但只写“继续收集更多证据”。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直接解决 ABSTAIN fatigue。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S19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六个月后项目失败，用户要求把历史 DecisionRecord 改成“当时系统就判断错了”。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Ledger immutability 与 Memory 边界一致。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S20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CRM 自动同步“客户流失”事件，尚未人工/规则审核。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Auto-ingest ≠ auto-influence 被多个模块一致执行。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S21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14天后会得到关键合同审批结果，等待成本低，今天立即承诺会锁死资源。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核心行为通过，但原 Regression Test v0.1 的 Pass Criteria 没有显式覆盖 WAIT。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S22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A4 两个月前完成 Critique；昨天平台政策变化，但 DecisionModelSpec version 未变。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PARTIAL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ModelCritique 有 run_at 和“recent enough”语义，但 schema 未冻结 recent 的判定字段/政策。</w:t>
            </w:r>
          </w:p>
        </w:tc>
      </w:tr>
      <w:tr>
        <w:trPr>
          <w:cantSplit/>
        </w:trPr>
        <w:tc>
          <w:tcPr>
            <w:tcW w:type="dxa" w:w="691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S23</w:t>
            </w:r>
          </w:p>
        </w:tc>
        <w:tc>
          <w:tcPr>
            <w:tcW w:type="dxa" w:w="936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内部 belief score=0.73，calibration_status=UNCALIBRATED，UI 想显示“73%成功概率”。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G-02 与 Pydantic validator 对齐。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S24</w:t>
            </w:r>
          </w:p>
        </w:tc>
        <w:tc>
          <w:tcPr>
            <w:tcW w:type="dxa" w:w="936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Synthetic</w:t>
            </w:r>
          </w:p>
        </w:tc>
        <w:tc>
          <w:tcPr>
            <w:tcW w:type="dxa" w:w="496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Founder 过去风险偏好低，现在明确接受更高风险；系统仍引用旧偏好。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—</w:t>
            </w:r>
          </w:p>
        </w:tc>
        <w:tc>
          <w:tcPr>
            <w:tcW w:type="dxa" w:w="151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PASS</w:t>
            </w:r>
          </w:p>
        </w:tc>
        <w:tc>
          <w:tcPr>
            <w:tcW w:type="dxa" w:w="324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版本化偏好与历史保真一致。</w:t>
            </w:r>
          </w:p>
        </w:tc>
      </w:tr>
    </w:tbl>
    <w:p>
      <w:pPr>
        <w:spacing w:after="20"/>
      </w:pPr>
    </w:p>
    <w:p>
      <w:pPr>
        <w:pStyle w:val="Heading1"/>
      </w:pPr>
      <w:r>
        <w:t>5. Web-grounded 场景详细模拟</w:t>
      </w:r>
    </w:p>
    <w:p>
      <w:pPr>
        <w:pStyle w:val="Heading2"/>
      </w:pPr>
      <w:r>
        <w:t>W01 · AI SaaS准备投入大量工程成本构建依赖 OpenAI fine-tuning 的核心能力。</w:t>
      </w:r>
    </w:p>
    <w:p>
      <w:r>
        <w:rPr>
          <w:b/>
        </w:rPr>
        <w:t>预期路径：</w:t>
      </w:r>
      <w:r>
        <w:t>OPERATE · FULL · TOOL_FIRST → A4 → A7 → A0</w:t>
      </w:r>
    </w:p>
    <w:p>
      <w:r>
        <w:rPr>
          <w:b/>
        </w:rPr>
        <w:t>V11 应有行为：</w:t>
      </w:r>
      <w:r>
        <w:t>把平台政策变化作为 time-bound Observation；A4=REGIME_CHANGE/PLATFORM DEPENDENCY；禁止用旧平台能力当稳定前提；A7设计迁移/替代方案基准测试。</w:t>
      </w:r>
    </w:p>
    <w:p>
      <w:r>
        <w:rPr>
          <w:b/>
        </w:rPr>
        <w:t>测试结果：</w:t>
      </w:r>
      <w:r>
        <w:rPr>
          <w:b/>
          <w:color w:val="16803C"/>
          <w:sz w:val="18"/>
        </w:rPr>
        <w:t>PASS</w:t>
      </w:r>
      <w:r>
        <w:t xml:space="preserve"> — 当前事实会直接改变行动，V11 的 tool-first、Critic 与 staged option 逻辑一致。</w:t>
      </w:r>
    </w:p>
    <w:p>
      <w:pPr>
        <w:pStyle w:val="Heading2"/>
      </w:pPr>
      <w:r>
        <w:t>W02 · EU iOS 应用约 120 万安装，团队要比较 Apple 替代分发条款与费用。</w:t>
      </w:r>
    </w:p>
    <w:p>
      <w:r>
        <w:rPr>
          <w:b/>
        </w:rPr>
        <w:t>预期路径：</w:t>
      </w:r>
      <w:r>
        <w:t>OPERATE · FULL · TOOL_FIRST → A5 → A4 → A7/A0</w:t>
      </w:r>
    </w:p>
    <w:p>
      <w:r>
        <w:rPr>
          <w:b/>
        </w:rPr>
        <w:t>V11 应有行为：</w:t>
      </w:r>
      <w:r>
        <w:t>不得从单一页面抽取一个“确定费率模型”；识别同一官方体系中 CTF/CTC 过渡信息；参数保持 time-bound/provisional；优先使用账号级报告确认。</w:t>
      </w:r>
    </w:p>
    <w:p>
      <w:r>
        <w:rPr>
          <w:b/>
        </w:rPr>
        <w:t>测试结果：</w:t>
      </w:r>
      <w:r>
        <w:rPr>
          <w:b/>
          <w:color w:val="B26A00"/>
          <w:sz w:val="18"/>
        </w:rPr>
        <w:t>PARTIAL</w:t>
      </w:r>
      <w:r>
        <w:t xml:space="preserve"> — Schema 可标 DISPUTED/STALE，但缺少正式 ExternalFactFreshness/SourceConflict resolution policy。</w:t>
      </w:r>
    </w:p>
    <w:p>
      <w:pPr>
        <w:pStyle w:val="Heading2"/>
      </w:pPr>
      <w:r>
        <w:t>W03 · 已有公司准备把 AI 招聘产品进入欧盟，需要判断现在是否全面投入。</w:t>
      </w:r>
    </w:p>
    <w:p>
      <w:r>
        <w:rPr>
          <w:b/>
        </w:rPr>
        <w:t>预期路径：</w:t>
      </w:r>
      <w:r>
        <w:t>应为现有公司 OPERATE + 当前决策 VALIDATION；TOOL_FIRST → A2/A4 → A7 → A0</w:t>
      </w:r>
    </w:p>
    <w:p>
      <w:r>
        <w:rPr>
          <w:b/>
        </w:rPr>
        <w:t>V11 应有行为：</w:t>
      </w:r>
      <w:r>
        <w:t>当前法规作为 Observation；高影响监管变量必须进入模型；在分类/适用义务未确认前不做不可逆承诺。</w:t>
      </w:r>
    </w:p>
    <w:p>
      <w:r>
        <w:rPr>
          <w:b/>
        </w:rPr>
        <w:t>测试结果：</w:t>
      </w:r>
      <w:r>
        <w:rPr>
          <w:b/>
          <w:color w:val="B26A00"/>
          <w:sz w:val="18"/>
        </w:rPr>
        <w:t>PARTIAL</w:t>
      </w:r>
      <w:r>
        <w:t xml:space="preserve"> — 发现 LifecycleMode 将“公司所处阶段”和“当前决策处于验证阶段”混在同一字段的语义张力。</w:t>
      </w:r>
    </w:p>
    <w:p>
      <w:pPr>
        <w:pStyle w:val="Heading2"/>
      </w:pPr>
      <w:r>
        <w:t>W04 · 医疗 AI CDS 软件计划在美国正式上线。</w:t>
      </w:r>
    </w:p>
    <w:p>
      <w:r>
        <w:rPr>
          <w:b/>
        </w:rPr>
        <w:t>预期路径：</w:t>
      </w:r>
      <w:r>
        <w:t>OPERATE · FULL · TOOL_FIRST → A4 → A7 → A0</w:t>
      </w:r>
    </w:p>
    <w:p>
      <w:r>
        <w:rPr>
          <w:b/>
        </w:rPr>
        <w:t>V11 应有行为：</w:t>
      </w:r>
      <w:r>
        <w:t>FDA 监管分类是 hard/gating variable；若 Non-Device CDS/Device 边界未确认，A4=MISSING_VARIABLE/REGIME risk，A7先完成分类验证。</w:t>
      </w:r>
    </w:p>
    <w:p>
      <w:r>
        <w:rPr>
          <w:b/>
        </w:rPr>
        <w:t>测试结果：</w:t>
      </w:r>
      <w:r>
        <w:rPr>
          <w:b/>
          <w:color w:val="16803C"/>
          <w:sz w:val="18"/>
        </w:rPr>
        <w:t>PASS</w:t>
      </w:r>
      <w:r>
        <w:t xml:space="preserve"> — 符合 hard constraint 先于 Utility、current-source research 与 HOLD/TEST 规则。</w:t>
      </w:r>
    </w:p>
    <w:p>
      <w:pPr>
        <w:pStyle w:val="Heading2"/>
      </w:pPr>
      <w:r>
        <w:t>W05 · 联网 IoT 产品计划 2026 年 9 月后在欧盟销售。</w:t>
      </w:r>
    </w:p>
    <w:p>
      <w:r>
        <w:rPr>
          <w:b/>
        </w:rPr>
        <w:t>预期路径：</w:t>
      </w:r>
      <w:r>
        <w:t>OPERATE · FULL · TOOL_FIRST → A4 → A6/A7 → A0</w:t>
      </w:r>
    </w:p>
    <w:p>
      <w:r>
        <w:rPr>
          <w:b/>
        </w:rPr>
        <w:t>V11 应有行为：</w:t>
      </w:r>
      <w:r>
        <w:t>CRA 报告义务与期限必须作为当前合规约束；建立 reporting-readiness gate 和 incident-response action，而不是把合规当软扣分。</w:t>
      </w:r>
    </w:p>
    <w:p>
      <w:r>
        <w:rPr>
          <w:b/>
        </w:rPr>
        <w:t>测试结果：</w:t>
      </w:r>
      <w:r>
        <w:rPr>
          <w:b/>
          <w:color w:val="16803C"/>
          <w:sz w:val="18"/>
        </w:rPr>
        <w:t>PASS</w:t>
      </w:r>
      <w:r>
        <w:t xml:space="preserve"> — 很好地测试了 deadline、regime change 和不可逆上市承诺。</w:t>
      </w:r>
    </w:p>
    <w:p>
      <w:pPr>
        <w:pStyle w:val="Heading2"/>
      </w:pPr>
      <w:r>
        <w:t>W06 · 美国 B2B SaaS 设立德国实体并开始本地开票。</w:t>
      </w:r>
    </w:p>
    <w:p>
      <w:r>
        <w:rPr>
          <w:b/>
        </w:rPr>
        <w:t>预期路径：</w:t>
      </w:r>
      <w:r>
        <w:t>现有公司 OPERATE + 新市场验证；TOOL_FIRST → A5/A4 → A7 → A0</w:t>
      </w:r>
    </w:p>
    <w:p>
      <w:r>
        <w:rPr>
          <w:b/>
        </w:rPr>
        <w:t>V11 应有行为：</w:t>
      </w:r>
      <w:r>
        <w:t>接收/开具电子发票的当前规则进入模型；把法规事实与技术实现推断分开；上线前验证发票能力。</w:t>
      </w:r>
    </w:p>
    <w:p>
      <w:r>
        <w:rPr>
          <w:b/>
        </w:rPr>
        <w:t>测试结果：</w:t>
      </w:r>
      <w:r>
        <w:rPr>
          <w:b/>
          <w:color w:val="B26A00"/>
          <w:sz w:val="18"/>
        </w:rPr>
        <w:t>PARTIAL</w:t>
      </w:r>
      <w:r>
        <w:t xml:space="preserve"> — 行为正确，但与 W03 相同，暴露 venture lifecycle 与 decision validation phase 的字段混用。</w:t>
      </w:r>
    </w:p>
    <w:p>
      <w:pPr>
        <w:pStyle w:val="Heading2"/>
      </w:pPr>
      <w:r>
        <w:t>W07 · 电商公司准备大规模扩大卡支付流量，但 Web 支付页面控制项未完成。</w:t>
      </w:r>
    </w:p>
    <w:p>
      <w:r>
        <w:rPr>
          <w:b/>
        </w:rPr>
        <w:t>预期路径：</w:t>
      </w:r>
      <w:r>
        <w:t>OPERATE · FULL 或风险较低时 FAST→A5/A4</w:t>
      </w:r>
    </w:p>
    <w:p>
      <w:r>
        <w:rPr>
          <w:b/>
        </w:rPr>
        <w:t>V11 应有行为：</w:t>
      </w:r>
      <w:r>
        <w:t>PCI 要求不能作为可被高收益“抵消”的普通 Utility penalty；安全合规缺口应触发 gate/repair。</w:t>
      </w:r>
    </w:p>
    <w:p>
      <w:r>
        <w:rPr>
          <w:b/>
        </w:rPr>
        <w:t>测试结果：</w:t>
      </w:r>
      <w:r>
        <w:rPr>
          <w:b/>
          <w:color w:val="16803C"/>
          <w:sz w:val="18"/>
        </w:rPr>
        <w:t>PASS</w:t>
      </w:r>
      <w:r>
        <w:t xml:space="preserve"> — 硬约束/尾部风险/当前标准的处理边界清晰。</w:t>
      </w:r>
    </w:p>
    <w:p>
      <w:pPr>
        <w:pStyle w:val="Heading2"/>
      </w:pPr>
      <w:r>
        <w:t>W08 · 联网工业设备公司商业模式依赖“设备数据独占”并准备进入 EU。</w:t>
      </w:r>
    </w:p>
    <w:p>
      <w:r>
        <w:rPr>
          <w:b/>
        </w:rPr>
        <w:t>预期路径：</w:t>
      </w:r>
      <w:r>
        <w:t>OPERATE · FULL · TOOL_FIRST → A2/A4 → A3/A7 → A0</w:t>
      </w:r>
    </w:p>
    <w:p>
      <w:r>
        <w:rPr>
          <w:b/>
        </w:rPr>
        <w:t>V11 应有行为：</w:t>
      </w:r>
      <w:r>
        <w:t>Data Act 可能改变数据独占假设；A4=MISSING_VARIABLE/WRONG_FUNCTIONAL_FORM；先验证数据访问义务，再重构价值主张。</w:t>
      </w:r>
    </w:p>
    <w:p>
      <w:r>
        <w:rPr>
          <w:b/>
        </w:rPr>
        <w:t>测试结果：</w:t>
      </w:r>
      <w:r>
        <w:rPr>
          <w:b/>
          <w:color w:val="16803C"/>
          <w:sz w:val="18"/>
        </w:rPr>
        <w:t>PASS</w:t>
      </w:r>
      <w:r>
        <w:t xml:space="preserve"> — 展示了 Model Critic 对“模型里根本没写的法律变量”的价值。</w:t>
      </w:r>
    </w:p>
    <w:p>
      <w:pPr>
        <w:pStyle w:val="Heading2"/>
      </w:pPr>
      <w:r>
        <w:t>W09 · 在线市场准备在 EU 扩大消费电子品类。</w:t>
      </w:r>
    </w:p>
    <w:p>
      <w:r>
        <w:rPr>
          <w:b/>
        </w:rPr>
        <w:t>预期路径：</w:t>
      </w:r>
      <w:r>
        <w:t>OPERATE · FULL · TOOL_FIRST → A4/A6 → A7 → A0</w:t>
      </w:r>
    </w:p>
    <w:p>
      <w:r>
        <w:rPr>
          <w:b/>
        </w:rPr>
        <w:t>V11 应有行为：</w:t>
      </w:r>
      <w:r>
        <w:t>GPSR/Safety Gate 相关义务进入 marketplace compliance model；上线前建立 seller/product safety 流程与责任主体。</w:t>
      </w:r>
    </w:p>
    <w:p>
      <w:r>
        <w:rPr>
          <w:b/>
        </w:rPr>
        <w:t>测试结果：</w:t>
      </w:r>
      <w:r>
        <w:rPr>
          <w:b/>
          <w:color w:val="16803C"/>
          <w:sz w:val="18"/>
        </w:rPr>
        <w:t>PASS</w:t>
      </w:r>
      <w:r>
        <w:t xml:space="preserve"> — 监管/平台义务被当作模型变量与执行 gate，而不是附录免责声明。</w:t>
      </w:r>
    </w:p>
    <w:p>
      <w:pPr>
        <w:pStyle w:val="Heading2"/>
      </w:pPr>
      <w:r>
        <w:t>W10 · EU SaaS 只想估算 Stripe 卡支付手续费对本月毛利的影响。</w:t>
      </w:r>
    </w:p>
    <w:p>
      <w:r>
        <w:rPr>
          <w:b/>
        </w:rPr>
        <w:t>预期路径：</w:t>
      </w:r>
      <w:r>
        <w:t>FAST · TOOL_FIRST → A5（通常无需 A4）</w:t>
      </w:r>
    </w:p>
    <w:p>
      <w:r>
        <w:rPr>
          <w:b/>
        </w:rPr>
        <w:t>V11 应有行为：</w:t>
      </w:r>
      <w:r>
        <w:t>当前价格是 time-bound observed input；只做必要计算；不触发 A1→A10 仪式化全链。</w:t>
      </w:r>
    </w:p>
    <w:p>
      <w:r>
        <w:rPr>
          <w:b/>
        </w:rPr>
        <w:t>测试结果：</w:t>
      </w:r>
      <w:r>
        <w:rPr>
          <w:b/>
          <w:color w:val="16803C"/>
          <w:sz w:val="18"/>
        </w:rPr>
        <w:t>PASS</w:t>
      </w:r>
      <w:r>
        <w:t xml:space="preserve"> — 验证 minimum sufficient routing 与 FAST path。</w:t>
      </w:r>
    </w:p>
    <w:p>
      <w:pPr>
        <w:pStyle w:val="Heading1"/>
      </w:pPr>
      <w:r>
        <w:t>6. 合成边界场景详细模拟</w:t>
      </w:r>
    </w:p>
    <w:p>
      <w:pPr>
        <w:pStyle w:val="Heading2"/>
      </w:pPr>
      <w:r>
        <w:t>S11 · 35岁、8年物流经验、$20k资本、每周10小时，想创业但无方向。</w:t>
      </w:r>
    </w:p>
    <w:p>
      <w:r>
        <w:rPr>
          <w:b/>
        </w:rPr>
        <w:t>预期路径：</w:t>
      </w:r>
      <w:r>
        <w:t>EXPLORE · A1 → A2 → A0；后续 A3/A7</w:t>
      </w:r>
    </w:p>
    <w:p>
      <w:r>
        <w:rPr>
          <w:b/>
        </w:rPr>
        <w:t>验证点：</w:t>
      </w:r>
      <w:r>
        <w:t>先 Founder reality 与 Opportunity discovery，不先生成完整 BP/Utility 总分；下一步是可证伪机会假设。</w:t>
      </w:r>
    </w:p>
    <w:p>
      <w:r>
        <w:rPr>
          <w:b/>
        </w:rPr>
        <w:t>结果：</w:t>
      </w:r>
      <w:r>
        <w:rPr>
          <w:b/>
          <w:color w:val="16803C"/>
          <w:sz w:val="18"/>
        </w:rPr>
        <w:t>PASS</w:t>
      </w:r>
      <w:r>
        <w:t xml:space="preserve"> — Mode 与 Explore 价值主张一致。</w:t>
      </w:r>
    </w:p>
    <w:p>
      <w:pPr>
        <w:pStyle w:val="Heading2"/>
      </w:pPr>
      <w:r>
        <w:t>S12 · 只需花 $200 做一个可逆 Landing Page 需求测试。</w:t>
      </w:r>
    </w:p>
    <w:p>
      <w:r>
        <w:rPr>
          <w:b/>
        </w:rPr>
        <w:t>预期路径：</w:t>
      </w:r>
      <w:r>
        <w:t>FAST · A7 或 DIRECT</w:t>
      </w:r>
    </w:p>
    <w:p>
      <w:r>
        <w:rPr>
          <w:b/>
        </w:rPr>
        <w:t>验证点：</w:t>
      </w:r>
      <w:r>
        <w:t>不建立戏剧化 FULL DecisionModel；仍保留事实/推断、概率语义与 evidence ingestion 边界。</w:t>
      </w:r>
    </w:p>
    <w:p>
      <w:r>
        <w:rPr>
          <w:b/>
        </w:rPr>
        <w:t>结果：</w:t>
      </w:r>
      <w:r>
        <w:rPr>
          <w:b/>
          <w:color w:val="16803C"/>
          <w:sz w:val="18"/>
        </w:rPr>
        <w:t>PASS</w:t>
      </w:r>
      <w:r>
        <w:t xml:space="preserve"> — 有效抑制复杂度。</w:t>
      </w:r>
    </w:p>
    <w:p>
      <w:pPr>
        <w:pStyle w:val="Heading2"/>
      </w:pPr>
      <w:r>
        <w:t>S13 · LLM 自动给“客户付费意愿 Utility weight=0.85”，无来源、无批准。</w:t>
      </w:r>
    </w:p>
    <w:p>
      <w:r>
        <w:rPr>
          <w:b/>
        </w:rPr>
        <w:t>预期路径：</w:t>
      </w:r>
      <w:r>
        <w:t>FULL · Schema gate → A4 → A0</w:t>
      </w:r>
    </w:p>
    <w:p>
      <w:r>
        <w:rPr>
          <w:b/>
        </w:rPr>
        <w:t>验证点：</w:t>
      </w:r>
      <w:r>
        <w:t>ModelParameter=LLM_PROPOSED/PROPOSED；不得进入确定性 Utility；A4=PARAMETER_PROVENANCE HIGH。</w:t>
      </w:r>
    </w:p>
    <w:p>
      <w:r>
        <w:rPr>
          <w:b/>
        </w:rPr>
        <w:t>结果：</w:t>
      </w:r>
      <w:r>
        <w:rPr>
          <w:b/>
          <w:color w:val="16803C"/>
          <w:sz w:val="18"/>
        </w:rPr>
        <w:t>PASS</w:t>
      </w:r>
      <w:r>
        <w:t xml:space="preserve"> — Pydantic/治理规则明确阻断静默批准。</w:t>
      </w:r>
    </w:p>
    <w:p>
      <w:pPr>
        <w:pStyle w:val="Heading2"/>
      </w:pPr>
      <w:r>
        <w:t>S14 · 同一客户签一年合同，被同时用于 Problem、WTP、Demand 三个 Belief。</w:t>
      </w:r>
    </w:p>
    <w:p>
      <w:r>
        <w:rPr>
          <w:b/>
        </w:rPr>
        <w:t>预期路径：</w:t>
      </w:r>
      <w:r>
        <w:t>FULL · Evidence/graph service + A4</w:t>
      </w:r>
    </w:p>
    <w:p>
      <w:r>
        <w:rPr>
          <w:b/>
        </w:rPr>
        <w:t>验证点：</w:t>
      </w:r>
      <w:r>
        <w:t>必须 shared_signal_group + dependency-aware aggregation；A4=SHARED_EVIDENCE/HIDDEN_DEPENDENCY。</w:t>
      </w:r>
    </w:p>
    <w:p>
      <w:r>
        <w:rPr>
          <w:b/>
        </w:rPr>
        <w:t>结果：</w:t>
      </w:r>
      <w:r>
        <w:rPr>
          <w:b/>
          <w:color w:val="A4262C"/>
          <w:sz w:val="18"/>
        </w:rPr>
        <w:t>BLOCKED_RUNTIME</w:t>
      </w:r>
      <w:r>
        <w:t xml:space="preserve"> — Schema/Prompt 已正确，但实际 aggregation guard 算法尚未冻结，无法证明生产运行不会三计数。</w:t>
      </w:r>
    </w:p>
    <w:p>
      <w:pPr>
        <w:pStyle w:val="Heading2"/>
      </w:pPr>
      <w:r>
        <w:t>S15 · WTP很高但 Distribution≈0；旧线性加权仍给出高综合分。</w:t>
      </w:r>
    </w:p>
    <w:p>
      <w:r>
        <w:rPr>
          <w:b/>
        </w:rPr>
        <w:t>预期路径：</w:t>
      </w:r>
      <w:r>
        <w:t>FULL · A4 → model repair → A0</w:t>
      </w:r>
    </w:p>
    <w:p>
      <w:r>
        <w:rPr>
          <w:b/>
        </w:rPr>
        <w:t>验证点：</w:t>
      </w:r>
      <w:r>
        <w:t>A4=WRONG_FUNCTIONAL_FORM HIGH；UtilityComponent 应支持 MULTIPLICATIVE/AND_GATE，不可只改权重。</w:t>
      </w:r>
    </w:p>
    <w:p>
      <w:r>
        <w:rPr>
          <w:b/>
        </w:rPr>
        <w:t>结果：</w:t>
      </w:r>
      <w:r>
        <w:rPr>
          <w:b/>
          <w:color w:val="A4262C"/>
          <w:sz w:val="18"/>
        </w:rPr>
        <w:t>BLOCKED_RUNTIME</w:t>
      </w:r>
      <w:r>
        <w:t xml:space="preserve"> — 数据结构能表达，但 Utility execution/aggregation runtime 尚未冻结。</w:t>
      </w:r>
    </w:p>
    <w:p>
      <w:pPr>
        <w:pStyle w:val="Heading2"/>
      </w:pPr>
      <w:r>
        <w:t>S16 · 一个研究能收集大量信息，但无论结果如何都会继续当前动作。</w:t>
      </w:r>
    </w:p>
    <w:p>
      <w:r>
        <w:rPr>
          <w:b/>
        </w:rPr>
        <w:t>预期路径：</w:t>
      </w:r>
      <w:r>
        <w:t>A7 experiment ranking</w:t>
      </w:r>
    </w:p>
    <w:p>
      <w:r>
        <w:rPr>
          <w:b/>
        </w:rPr>
        <w:t>验证点：</w:t>
      </w:r>
      <w:r>
        <w:t>decision_change_rules 无实质动作变化 → decision_relevance=LOW，默认降级，不把 information gain 当价值。</w:t>
      </w:r>
    </w:p>
    <w:p>
      <w:r>
        <w:rPr>
          <w:b/>
        </w:rPr>
        <w:t>结果：</w:t>
      </w:r>
      <w:r>
        <w:rPr>
          <w:b/>
          <w:color w:val="16803C"/>
          <w:sz w:val="18"/>
        </w:rPr>
        <w:t>PASS</w:t>
      </w:r>
      <w:r>
        <w:t xml:space="preserve"> — A7 与 Schema VOI 语义一致。</w:t>
      </w:r>
    </w:p>
    <w:p>
      <w:pPr>
        <w:pStyle w:val="Heading2"/>
      </w:pPr>
      <w:r>
        <w:t>S17 · $50M 不可逆建厂，监管状态未知，用户只说“直接告诉我建不建”。</w:t>
      </w:r>
    </w:p>
    <w:p>
      <w:r>
        <w:rPr>
          <w:b/>
        </w:rPr>
        <w:t>预期路径：</w:t>
      </w:r>
      <w:r>
        <w:t>FULL · CRITICAL（若已分类）→ A4 → A7/A0</w:t>
      </w:r>
    </w:p>
    <w:p>
      <w:r>
        <w:rPr>
          <w:b/>
        </w:rPr>
        <w:t>验证点：</w:t>
      </w:r>
      <w:r>
        <w:t>必须 Critic gate；监管未知时 HOLD/TEST/REMODEL；不得被用户要求 yes/no 绕过。</w:t>
      </w:r>
    </w:p>
    <w:p>
      <w:r>
        <w:rPr>
          <w:b/>
        </w:rPr>
        <w:t>结果：</w:t>
      </w:r>
      <w:r>
        <w:rPr>
          <w:b/>
          <w:color w:val="A4262C"/>
          <w:sz w:val="18"/>
        </w:rPr>
        <w:t>BLOCKED_RUNTIME</w:t>
      </w:r>
      <w:r>
        <w:t xml:space="preserve"> — 自动把输入判为 HIGH/CRITICAL 所需 StakesPolicy/阈值尚未冻结；手工给定 CRITICAL 时流程可通过。</w:t>
      </w:r>
    </w:p>
    <w:p>
      <w:pPr>
        <w:pStyle w:val="Heading2"/>
      </w:pPr>
      <w:r>
        <w:t>S18 · 系统想输出 HOLD，但只写“继续收集更多证据”。</w:t>
      </w:r>
    </w:p>
    <w:p>
      <w:r>
        <w:rPr>
          <w:b/>
        </w:rPr>
        <w:t>预期路径：</w:t>
      </w:r>
      <w:r>
        <w:t>A7 repair → A0</w:t>
      </w:r>
    </w:p>
    <w:p>
      <w:r>
        <w:rPr>
          <w:b/>
        </w:rPr>
        <w:t>验证点：</w:t>
      </w:r>
      <w:r>
        <w:t>HOLD 必须给具体证据、成本/期限、stop rule、change condition；否则不满足输出合同。</w:t>
      </w:r>
    </w:p>
    <w:p>
      <w:r>
        <w:rPr>
          <w:b/>
        </w:rPr>
        <w:t>结果：</w:t>
      </w:r>
      <w:r>
        <w:rPr>
          <w:b/>
          <w:color w:val="16803C"/>
          <w:sz w:val="18"/>
        </w:rPr>
        <w:t>PASS</w:t>
      </w:r>
      <w:r>
        <w:t xml:space="preserve"> — 直接解决 ABSTAIN fatigue。</w:t>
      </w:r>
    </w:p>
    <w:p>
      <w:pPr>
        <w:pStyle w:val="Heading2"/>
      </w:pPr>
      <w:r>
        <w:t>S19 · 六个月后项目失败，用户要求把历史 DecisionRecord 改成“当时系统就判断错了”。</w:t>
      </w:r>
    </w:p>
    <w:p>
      <w:r>
        <w:rPr>
          <w:b/>
        </w:rPr>
        <w:t>预期路径：</w:t>
      </w:r>
      <w:r>
        <w:t>Outcome/Memory governance</w:t>
      </w:r>
    </w:p>
    <w:p>
      <w:r>
        <w:rPr>
          <w:b/>
        </w:rPr>
        <w:t>验证点：</w:t>
      </w:r>
      <w:r>
        <w:t>历史 recommendation/evidence/model snapshot 不可覆盖；Outcome 追加；Memory lesson 必须区分 hindsight。</w:t>
      </w:r>
    </w:p>
    <w:p>
      <w:r>
        <w:rPr>
          <w:b/>
        </w:rPr>
        <w:t>结果：</w:t>
      </w:r>
      <w:r>
        <w:rPr>
          <w:b/>
          <w:color w:val="16803C"/>
          <w:sz w:val="18"/>
        </w:rPr>
        <w:t>PASS</w:t>
      </w:r>
      <w:r>
        <w:t xml:space="preserve"> — Ledger immutability 与 Memory 边界一致。</w:t>
      </w:r>
    </w:p>
    <w:p>
      <w:pPr>
        <w:pStyle w:val="Heading2"/>
      </w:pPr>
      <w:r>
        <w:t>S20 · CRM 自动同步“客户流失”事件，尚未人工/规则审核。</w:t>
      </w:r>
    </w:p>
    <w:p>
      <w:r>
        <w:rPr>
          <w:b/>
        </w:rPr>
        <w:t>预期路径：</w:t>
      </w:r>
      <w:r>
        <w:t>Observation pipeline</w:t>
      </w:r>
    </w:p>
    <w:p>
      <w:r>
        <w:rPr>
          <w:b/>
        </w:rPr>
        <w:t>验证点：</w:t>
      </w:r>
      <w:r>
        <w:t>只能进入 RAW_OBSERVATION/CANDIDATE_EVIDENCE；不得自动成为 DECISION_EVIDENCE 或 VERIFIED durable Memory。</w:t>
      </w:r>
    </w:p>
    <w:p>
      <w:r>
        <w:rPr>
          <w:b/>
        </w:rPr>
        <w:t>结果：</w:t>
      </w:r>
      <w:r>
        <w:rPr>
          <w:b/>
          <w:color w:val="16803C"/>
          <w:sz w:val="18"/>
        </w:rPr>
        <w:t>PASS</w:t>
      </w:r>
      <w:r>
        <w:t xml:space="preserve"> — Auto-ingest ≠ auto-influence 被多个模块一致执行。</w:t>
      </w:r>
    </w:p>
    <w:p>
      <w:pPr>
        <w:pStyle w:val="Heading2"/>
      </w:pPr>
      <w:r>
        <w:t>S21 · 14天后会得到关键合同审批结果，等待成本低，今天立即承诺会锁死资源。</w:t>
      </w:r>
    </w:p>
    <w:p>
      <w:r>
        <w:rPr>
          <w:b/>
        </w:rPr>
        <w:t>预期路径：</w:t>
      </w:r>
      <w:r>
        <w:t>FULL/FAST by stakes · WAIT</w:t>
      </w:r>
    </w:p>
    <w:p>
      <w:r>
        <w:rPr>
          <w:b/>
        </w:rPr>
        <w:t>验证点：</w:t>
      </w:r>
      <w:r>
        <w:t>WAIT 必须有 awaited event、deadline、delay cost、trigger 和 fallback；等待是正式 option。</w:t>
      </w:r>
    </w:p>
    <w:p>
      <w:r>
        <w:rPr>
          <w:b/>
        </w:rPr>
        <w:t>结果：</w:t>
      </w:r>
      <w:r>
        <w:rPr>
          <w:b/>
          <w:color w:val="16803C"/>
          <w:sz w:val="18"/>
        </w:rPr>
        <w:t>PASS</w:t>
      </w:r>
      <w:r>
        <w:t xml:space="preserve"> — 核心行为通过，但原 Regression Test v0.1 的 Pass Criteria 没有显式覆盖 WAIT。</w:t>
      </w:r>
    </w:p>
    <w:p>
      <w:pPr>
        <w:pStyle w:val="Heading2"/>
      </w:pPr>
      <w:r>
        <w:t>S22 · A4 两个月前完成 Critique；昨天平台政策变化，但 DecisionModelSpec version 未变。</w:t>
      </w:r>
    </w:p>
    <w:p>
      <w:r>
        <w:rPr>
          <w:b/>
        </w:rPr>
        <w:t>预期路径：</w:t>
      </w:r>
      <w:r>
        <w:t>TOOL_FIRST → critic freshness gate</w:t>
      </w:r>
    </w:p>
    <w:p>
      <w:r>
        <w:rPr>
          <w:b/>
        </w:rPr>
        <w:t>验证点：</w:t>
      </w:r>
      <w:r>
        <w:t>旧 Critique 不应仅因 model_version 未变而继续有效；需要 current-fact cutoff/valid_until/freshness trigger。</w:t>
      </w:r>
    </w:p>
    <w:p>
      <w:r>
        <w:rPr>
          <w:b/>
        </w:rPr>
        <w:t>结果：</w:t>
      </w:r>
      <w:r>
        <w:rPr>
          <w:b/>
          <w:color w:val="B26A00"/>
          <w:sz w:val="18"/>
        </w:rPr>
        <w:t>PARTIAL</w:t>
      </w:r>
      <w:r>
        <w:t xml:space="preserve"> — ModelCritique 有 run_at 和“recent enough”语义，但 schema 未冻结 recent 的判定字段/政策。</w:t>
      </w:r>
    </w:p>
    <w:p>
      <w:pPr>
        <w:pStyle w:val="Heading2"/>
      </w:pPr>
      <w:r>
        <w:t>S23 · 内部 belief score=0.73，calibration_status=UNCALIBRATED，UI 想显示“73%成功概率”。</w:t>
      </w:r>
    </w:p>
    <w:p>
      <w:r>
        <w:rPr>
          <w:b/>
        </w:rPr>
        <w:t>预期路径：</w:t>
      </w:r>
      <w:r>
        <w:t>Schema/UI gate</w:t>
      </w:r>
    </w:p>
    <w:p>
      <w:r>
        <w:rPr>
          <w:b/>
        </w:rPr>
        <w:t>验证点：</w:t>
      </w:r>
      <w:r>
        <w:t>拒绝 CALIBRATED_PROBABILITY；改成 MODEL_SCORE/ESTIMATED_BELIEF 或定性支持，并显示校准状态。</w:t>
      </w:r>
    </w:p>
    <w:p>
      <w:r>
        <w:rPr>
          <w:b/>
        </w:rPr>
        <w:t>结果：</w:t>
      </w:r>
      <w:r>
        <w:rPr>
          <w:b/>
          <w:color w:val="16803C"/>
          <w:sz w:val="18"/>
        </w:rPr>
        <w:t>PASS</w:t>
      </w:r>
      <w:r>
        <w:t xml:space="preserve"> — G-02 与 Pydantic validator 对齐。</w:t>
      </w:r>
    </w:p>
    <w:p>
      <w:pPr>
        <w:pStyle w:val="Heading2"/>
      </w:pPr>
      <w:r>
        <w:t>S24 · Founder 过去风险偏好低，现在明确接受更高风险；系统仍引用旧偏好。</w:t>
      </w:r>
    </w:p>
    <w:p>
      <w:r>
        <w:rPr>
          <w:b/>
        </w:rPr>
        <w:t>预期路径：</w:t>
      </w:r>
      <w:r>
        <w:t>A1/Profile refresh → A0 rebuild</w:t>
      </w:r>
    </w:p>
    <w:p>
      <w:r>
        <w:rPr>
          <w:b/>
        </w:rPr>
        <w:t>验证点：</w:t>
      </w:r>
      <w:r>
        <w:t>PreferenceProfile 新版本；旧 DecisionRecord 保留旧 ref；Context/Routing 失效并重建。</w:t>
      </w:r>
    </w:p>
    <w:p>
      <w:r>
        <w:rPr>
          <w:b/>
        </w:rPr>
        <w:t>结果：</w:t>
      </w:r>
      <w:r>
        <w:rPr>
          <w:b/>
          <w:color w:val="16803C"/>
          <w:sz w:val="18"/>
        </w:rPr>
        <w:t>PASS</w:t>
      </w:r>
      <w:r>
        <w:t xml:space="preserve"> — 版本化偏好与历史保真一致。</w:t>
      </w:r>
    </w:p>
    <w:p>
      <w:pPr>
        <w:pStyle w:val="Heading1"/>
      </w:pPr>
      <w:r>
        <w:t>7. 集成缺陷 / 缺口登记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79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Finding</w:t>
            </w:r>
          </w:p>
        </w:tc>
        <w:tc>
          <w:tcPr>
            <w:tcW w:type="dxa" w:w="108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严重度</w:t>
            </w:r>
          </w:p>
        </w:tc>
        <w:tc>
          <w:tcPr>
            <w:tcW w:type="dxa" w:w="194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问题</w:t>
            </w:r>
          </w:p>
        </w:tc>
        <w:tc>
          <w:tcPr>
            <w:tcW w:type="dxa" w:w="352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影响</w:t>
            </w:r>
          </w:p>
        </w:tc>
        <w:tc>
          <w:tcPr>
            <w:tcW w:type="dxa" w:w="367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建议修改</w:t>
            </w:r>
          </w:p>
        </w:tc>
        <w:tc>
          <w:tcPr>
            <w:tcW w:type="dxa" w:w="122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4"/>
              </w:rPr>
              <w:t>触发案例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F-01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HIGH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LifecycleMode 语义混用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Orchestrator 允许 OPERATE 对新市场回退 VALIDATE/EXPLORE，而 Routing 示例把成熟公司新市场进入定义为 OPERATE+FULL。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把“venture/company lifecycle”与“current decision validation phase”拆成两个轴，例如 venture_mode=OPERATE + decision_phase=VALIDATE；或明确 LifecycleMode 只描述项目/公司阶段并新增 validation_required。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W03/W06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F-02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HIGH</w:t>
            </w:r>
          </w:p>
        </w:tc>
        <w:tc>
          <w:tcPr>
            <w:tcW w:type="dxa" w:w="194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StakesPolicy 尚未冻结</w:t>
            </w:r>
          </w:p>
        </w:tc>
        <w:tc>
          <w:tcPr>
            <w:tcW w:type="dxa" w:w="352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 要求 StakesClass 由 runtime policy 评估并带 policy_version，但没有分类规则。高风险 Critic gate 因此无法从原始事实自动证明触发。</w:t>
            </w:r>
          </w:p>
        </w:tc>
        <w:tc>
          <w:tcPr>
            <w:tcW w:type="dxa" w:w="367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在继续 production regression 前新增 V11 Stakes &amp; Reversibility Runtime Policy v0.1，定义维度、UNKNOWN 处理、hard escalation 与版本化。</w:t>
            </w:r>
          </w:p>
        </w:tc>
        <w:tc>
          <w:tcPr>
            <w:tcW w:type="dxa" w:w="122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S17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F-03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HIGH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No-double-counting 只有 contract，没有 aggregation 算法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 有 shared_signal_group/independence_group 与“Service MUST aggregation guard”，但没有确定性聚合/Belief update policy。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建立 Evidence Aggregation &amp; Belief Update Policy v0.1；至少冻结 shared-signal cap、dependency-aware propagation、unknown-dependency behavior、audit trace。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S14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F-04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HIGH</w:t>
            </w:r>
          </w:p>
        </w:tc>
        <w:tc>
          <w:tcPr>
            <w:tcW w:type="dxa" w:w="194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Utility execution 尚未冻结</w:t>
            </w:r>
          </w:p>
        </w:tc>
        <w:tc>
          <w:tcPr>
            <w:tcW w:type="dxa" w:w="352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UtilityRelationType 能表达 MULTIPLICATIVE/THRESHOLD/AND/INTERACTION，但 aggregation_method/执行规则仍由 runtime 决定。</w:t>
            </w:r>
          </w:p>
        </w:tc>
        <w:tc>
          <w:tcPr>
            <w:tcW w:type="dxa" w:w="367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建立 Utility Runtime Policy v0.1：functional-form execution、hard constraints precedence、sensitivity、unresolved parameter behavior、qualitative-only fallback。</w:t>
            </w:r>
          </w:p>
        </w:tc>
        <w:tc>
          <w:tcPr>
            <w:tcW w:type="dxa" w:w="122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S15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F-05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MEDIUM-HIGH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ModelCritique freshness 不可机器判定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ModelCritique 只有 run_at/model_version，RuntimeEnvelope 说 latest_critique 必须 recent enough；外部政策变化可能不改变 model_version。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给 ModelCritique/DecisionContext 增加 external_fact_cutoff、valid_until 或 freshness_triggers；current-fact change 必须 invalidate critique/context。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S22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F-06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MEDIUM</w:t>
            </w:r>
          </w:p>
        </w:tc>
        <w:tc>
          <w:tcPr>
            <w:tcW w:type="dxa" w:w="194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Regression Test v0.1 的通过标准漏掉 WAIT</w:t>
            </w:r>
          </w:p>
        </w:tc>
        <w:tc>
          <w:tcPr>
            <w:tcW w:type="dxa" w:w="352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现有 Pass Criteria 只要求 TEST/HOLD 有 Change Condition/Stop Rule，但 Core/A0/A7 对 WAIT 同样有严格 deadline/trigger/fallback。</w:t>
            </w:r>
          </w:p>
        </w:tc>
        <w:tc>
          <w:tcPr>
            <w:tcW w:type="dxa" w:w="367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v0.2 改为 TEST/HOLD/WAIT 均必须具备退出条件；对重大 ACT 额外检查 reversal/stop-loss signal。</w:t>
            </w:r>
          </w:p>
        </w:tc>
        <w:tc>
          <w:tcPr>
            <w:tcW w:type="dxa" w:w="122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S21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F-07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MEDIUM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外部事实冲突/新旧版本的解析政策不完整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Apple 官方页面在同一时间点仍可出现 CTF 与 CTC 过渡描述；Schema 能标 STALE/DISPUTED，但未冻结“哪个事实可以用于决策”的 resolution policy。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新增 External Fact Freshness &amp; Source Conflict Policy：effective date、jurisdiction、account-specific source priority、same-authority conflict、stale cutoff、manual review。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W02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F-08</w:t>
            </w:r>
          </w:p>
        </w:tc>
        <w:tc>
          <w:tcPr>
            <w:tcW w:type="dxa" w:w="10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MEDIUM</w:t>
            </w:r>
          </w:p>
        </w:tc>
        <w:tc>
          <w:tcPr>
            <w:tcW w:type="dxa" w:w="194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A4→A7 的 testable finding handoff 应更确定</w:t>
            </w:r>
          </w:p>
        </w:tc>
        <w:tc>
          <w:tcPr>
            <w:tcW w:type="dxa" w:w="352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Routing 的“新市场重大承诺”示例为 A2→A5→A4→A0；若 A4 输出可测试 HIGH finding，A0 需要明确触发 A7 才能生成完整 ExperimentCandidate/stop rule。</w:t>
            </w:r>
          </w:p>
        </w:tc>
        <w:tc>
          <w:tcPr>
            <w:tcW w:type="dxa" w:w="367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Routing v0.2 增加规则：A4 unresolved testable HIGH/CRITICAL → A7 before final TEST/HOLD summary，除非直接 REMODEL/STOP。</w:t>
            </w:r>
          </w:p>
        </w:tc>
        <w:tc>
          <w:tcPr>
            <w:tcW w:type="dxa" w:w="122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W03/S18</w:t>
            </w:r>
          </w:p>
        </w:tc>
      </w:tr>
      <w:tr>
        <w:trPr>
          <w:cantSplit/>
        </w:trPr>
        <w:tc>
          <w:tcPr>
            <w:tcW w:type="dxa" w:w="7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F-09</w:t>
            </w:r>
          </w:p>
        </w:tc>
        <w:tc>
          <w:tcPr>
            <w:tcW w:type="dxa" w:w="10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MEDIUM</w:t>
            </w:r>
          </w:p>
        </w:tc>
        <w:tc>
          <w:tcPr>
            <w:tcW w:type="dxa" w:w="194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Evidence promotion owner 仍偏抽象</w:t>
            </w:r>
          </w:p>
        </w:tc>
        <w:tc>
          <w:tcPr>
            <w:tcW w:type="dxa" w:w="35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Schema 明确 connector/LLM 不能 promotion，但“谁能批准、按什么审查”仍留给 permission/runtime service。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定义 Evidence Review &amp; Promotion Service Contract：actor、criteria、dispute、stale/supersede、source conflict、audit event。</w:t>
            </w:r>
          </w:p>
        </w:tc>
        <w:tc>
          <w:tcPr>
            <w:tcW w:type="dxa" w:w="12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W02/S20</w:t>
            </w:r>
          </w:p>
        </w:tc>
      </w:tr>
    </w:tbl>
    <w:p>
      <w:pPr>
        <w:spacing w:after="20"/>
      </w:pPr>
    </w:p>
    <w:p>
      <w:pPr>
        <w:pStyle w:val="Heading1"/>
      </w:pPr>
      <w:r>
        <w:t>8. 最关键的跨 Prompt 冲突：Mode 轴需要拆开</w:t>
      </w:r>
    </w:p>
    <w:p>
      <w:r>
        <w:t>当前 Orchestrator 的语义允许一个正在经营的公司，在“新市场 / 大 Pivot / 核心商业模型失效”时回到 VALIDATE/EXPLORE；而 Routing 的德国市场示例则把成熟公司市场进入作为 OPERATE + FULL。两者在治理上不会必然导致错误（A0 对 mode/path 有最终权威），但会导致不同案例/Agent 对同一用户状态使用不同 LifecycleMode。</w:t>
      </w:r>
    </w:p>
    <w:p>
      <w:r>
        <w:rPr>
          <w:b/>
        </w:rPr>
        <w:t>建议 v0.2：</w:t>
      </w:r>
      <w:r>
        <w:t>拆成两个正交字段，例如 venture_mode = EXPLORE | OPERATE，decision_phase = DISCOVER | VALIDATE | COMMIT | EXECUTE | REVIEW。成熟公司进入德国可表达为 venture_mode=OPERATE + decision_phase=VALIDATE，而不是把整个公司“退回 Explore”。</w:t>
      </w:r>
    </w:p>
    <w:p>
      <w:pPr>
        <w:pStyle w:val="Heading1"/>
      </w:pPr>
      <w:r>
        <w:t>9. 三个真正阻塞生产级验证的 Runtime Policy</w:t>
      </w:r>
    </w:p>
    <w:p>
      <w:pPr>
        <w:pStyle w:val="Heading2"/>
      </w:pPr>
      <w:r>
        <w:t>9.1 Stakes &amp; Reversibility Runtime Policy</w:t>
      </w:r>
    </w:p>
    <w:p>
      <w:r>
        <w:t>目前 schema 明确把 LOW/MEDIUM/HIGH/CRITICAL 的划分交给 runtime，并要求 policy_version。因此 Critic gate 的“自动触发”还不能从用户输入稳定复现。</w:t>
      </w:r>
    </w:p>
    <w:p>
      <w:pPr>
        <w:pStyle w:val="Heading2"/>
      </w:pPr>
      <w:r>
        <w:t>9.2 Evidence Aggregation &amp; Belief Update Policy</w:t>
      </w:r>
    </w:p>
    <w:p>
      <w:r>
        <w:t>shared_signal_group 能表达重复信号，但没有冻结同源证据如何封顶、依赖 Belief 如何传播、UNKNOWN_RELATIONSHIP 如何保守处理。没有这层，就仍可能“结构写对、数值算错”。</w:t>
      </w:r>
    </w:p>
    <w:p>
      <w:pPr>
        <w:pStyle w:val="Heading2"/>
      </w:pPr>
      <w:r>
        <w:t>9.3 Utility Runtime Policy</w:t>
      </w:r>
    </w:p>
    <w:p>
      <w:r>
        <w:t>Schema 支持乘法、门槛、AND/OR、interaction，但实际聚合方法仍未冻结。必须定义 hard constraints 优先级、参数未批准时的 fallback、qualitative-only 与 sensitivity 规则。</w:t>
      </w:r>
    </w:p>
    <w:p>
      <w:pPr>
        <w:pStyle w:val="Heading1"/>
      </w:pPr>
      <w:r>
        <w:t>10. 建议立即进入的 v0.2 Core Patch</w:t>
      </w:r>
    </w:p>
    <w:p>
      <w:pPr>
        <w:pStyle w:val="ListNumber"/>
        <w:spacing w:after="40"/>
      </w:pPr>
      <w:r>
        <w:t>修正 LifecycleMode：拆分 venture lifecycle 与 current decision phase。</w:t>
      </w:r>
    </w:p>
    <w:p>
      <w:pPr>
        <w:pStyle w:val="ListNumber"/>
        <w:spacing w:after="40"/>
      </w:pPr>
      <w:r>
        <w:t>给 ModelCritique 增加外部事实新鲜度：external_fact_cutoff / valid_until / freshness_triggers，或等价 runtime policy。</w:t>
      </w:r>
    </w:p>
    <w:p>
      <w:pPr>
        <w:pStyle w:val="ListNumber"/>
        <w:spacing w:after="40"/>
      </w:pPr>
      <w:r>
        <w:t>更新 Regression Pass Criteria：TEST / HOLD / WAIT 均检查 change condition/stop rule；重大 ACT 检查 reversal/stop-loss signal。</w:t>
      </w:r>
    </w:p>
    <w:p>
      <w:pPr>
        <w:pStyle w:val="ListNumber"/>
        <w:spacing w:after="40"/>
      </w:pPr>
      <w:r>
        <w:t>Routing 增加 A4 unresolved testable HIGH/CRITICAL → A7 → A0 的确定性 handoff。</w:t>
      </w:r>
    </w:p>
    <w:p>
      <w:pPr>
        <w:pStyle w:val="ListNumber"/>
        <w:spacing w:after="40"/>
      </w:pPr>
      <w:r>
        <w:t>新增 External Fact Freshness &amp; Source Conflict Policy。</w:t>
      </w:r>
    </w:p>
    <w:p>
      <w:pPr>
        <w:pStyle w:val="ListNumber"/>
        <w:spacing w:after="40"/>
      </w:pPr>
      <w:r>
        <w:t>新增 Evidence Review &amp; Promotion Service Contract。</w:t>
      </w:r>
    </w:p>
    <w:p>
      <w:pPr>
        <w:pStyle w:val="ListNumber"/>
        <w:spacing w:after="40"/>
      </w:pPr>
      <w:r>
        <w:t>冻结 Stakes、Evidence Aggregation/Belief Update、Utility Execution 三个 Runtime Policy，再进行代码级回归。</w:t>
      </w:r>
    </w:p>
    <w:p>
      <w:pPr>
        <w:pStyle w:val="Heading1"/>
      </w:pPr>
      <w:r>
        <w:t>11. 当前发布判断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2880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层级</w:t>
            </w:r>
          </w:p>
        </w:tc>
        <w:tc>
          <w:tcPr>
            <w:tcW w:type="dxa" w:w="223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判断</w:t>
            </w:r>
          </w:p>
        </w:tc>
        <w:tc>
          <w:tcPr>
            <w:tcW w:type="dxa" w:w="619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原因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Prompt/Protocol coherence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CONDITIONAL PASS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核心语义一致，未发现 P0 级“两个模块互相要求相反行为”的直接冲突。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Schema contract</w:t>
            </w:r>
          </w:p>
        </w:tc>
        <w:tc>
          <w:tcPr>
            <w:tcW w:type="dxa" w:w="223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CONDITIONAL PASS</w:t>
            </w:r>
          </w:p>
        </w:tc>
        <w:tc>
          <w:tcPr>
            <w:tcW w:type="dxa" w:w="61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关键对象/validator 足以约束概率、参数、Evidence、Ledger；部分 runtime-owned gate 尚未实现。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Web/current-fact governance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PARTIAL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tool-first 与 Observation 边界正确，但 freshness/source conflict policy 需要补齐。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Decision Runtime numerical correctness</w:t>
            </w:r>
          </w:p>
        </w:tc>
        <w:tc>
          <w:tcPr>
            <w:tcW w:type="dxa" w:w="223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NOT TESTABLE YET</w:t>
            </w:r>
          </w:p>
        </w:tc>
        <w:tc>
          <w:tcPr>
            <w:tcW w:type="dxa" w:w="619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aggregation、Utility、Stakes 运行政策尚未冻结。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Production release</w:t>
            </w:r>
          </w:p>
        </w:tc>
        <w:tc>
          <w:tcPr>
            <w:tcW w:type="dxa" w:w="223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NO-GO（当前）</w:t>
            </w:r>
          </w:p>
        </w:tc>
        <w:tc>
          <w:tcPr>
            <w:tcW w:type="dxa" w:w="619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必须先解决 F-01~F-05，至少冻结三项 Runtime Policy，并用实际代码重复本测试。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A · Web source → 测试案例映射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1152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08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机构</w:t>
            </w:r>
          </w:p>
        </w:tc>
        <w:tc>
          <w:tcPr>
            <w:tcW w:type="dxa" w:w="6624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标题</w:t>
            </w:r>
          </w:p>
        </w:tc>
        <w:tc>
          <w:tcPr>
            <w:tcW w:type="dxa" w:w="1728"/>
            <w:vAlign w:val="center"/>
            <w:shd w:fill="2F5597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案例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WEB-01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OpenAI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Fine-tuning platform wind-down update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W01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WEB-02</w:t>
            </w:r>
          </w:p>
        </w:tc>
        <w:tc>
          <w:tcPr>
            <w:tcW w:type="dxa" w:w="20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Apple Developer</w:t>
            </w:r>
          </w:p>
        </w:tc>
        <w:tc>
          <w:tcPr>
            <w:tcW w:type="dxa" w:w="662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Core Technology Fee / CTC support</w:t>
            </w:r>
          </w:p>
        </w:tc>
        <w:tc>
          <w:tcPr>
            <w:tcW w:type="dxa" w:w="172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W02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WEB-03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Apple Developer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EU commissions, fees and taxes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supporting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WEB-04</w:t>
            </w:r>
          </w:p>
        </w:tc>
        <w:tc>
          <w:tcPr>
            <w:tcW w:type="dxa" w:w="20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European Commission</w:t>
            </w:r>
          </w:p>
        </w:tc>
        <w:tc>
          <w:tcPr>
            <w:tcW w:type="dxa" w:w="662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Navigating the AI Act</w:t>
            </w:r>
          </w:p>
        </w:tc>
        <w:tc>
          <w:tcPr>
            <w:tcW w:type="dxa" w:w="172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W03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WEB-05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European Commission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Omnibus enters into force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supporting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WEB-06</w:t>
            </w:r>
          </w:p>
        </w:tc>
        <w:tc>
          <w:tcPr>
            <w:tcW w:type="dxa" w:w="20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U.S. FDA</w:t>
            </w:r>
          </w:p>
        </w:tc>
        <w:tc>
          <w:tcPr>
            <w:tcW w:type="dxa" w:w="662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Clinical Decision Support Software final guidance</w:t>
            </w:r>
          </w:p>
        </w:tc>
        <w:tc>
          <w:tcPr>
            <w:tcW w:type="dxa" w:w="172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W04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WEB-07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European Commission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Cyber Resilience Act reporting obligations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W05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WEB-08</w:t>
            </w:r>
          </w:p>
        </w:tc>
        <w:tc>
          <w:tcPr>
            <w:tcW w:type="dxa" w:w="20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German Federal Ministry of Finance</w:t>
            </w:r>
          </w:p>
        </w:tc>
        <w:tc>
          <w:tcPr>
            <w:tcW w:type="dxa" w:w="662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Mandatory e-invoice FAQ</w:t>
            </w:r>
          </w:p>
        </w:tc>
        <w:tc>
          <w:tcPr>
            <w:tcW w:type="dxa" w:w="172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W06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WEB-09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PCI Security Standards Council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PCI DSS v4.x requirements after 31 March 2025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W07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WEB-10</w:t>
            </w:r>
          </w:p>
        </w:tc>
        <w:tc>
          <w:tcPr>
            <w:tcW w:type="dxa" w:w="20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European Commission</w:t>
            </w:r>
          </w:p>
        </w:tc>
        <w:tc>
          <w:tcPr>
            <w:tcW w:type="dxa" w:w="662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EU Data Act</w:t>
            </w:r>
          </w:p>
        </w:tc>
        <w:tc>
          <w:tcPr>
            <w:tcW w:type="dxa" w:w="172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W08</w:t>
            </w:r>
          </w:p>
        </w:tc>
      </w:tr>
      <w:tr>
        <w:trPr>
          <w:cantSplit/>
        </w:trPr>
        <w:tc>
          <w:tcPr>
            <w:tcW w:type="dxa" w:w="1152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WEB-11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European Commission</w:t>
            </w:r>
          </w:p>
        </w:tc>
        <w:tc>
          <w:tcPr>
            <w:tcW w:type="dxa" w:w="6624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Safety Gate / GPSR</w:t>
            </w:r>
          </w:p>
        </w:tc>
        <w:tc>
          <w:tcPr>
            <w:tcW w:type="dxa" w:w="1728"/>
            <w:vAlign w:val="center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W09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WEB-12</w:t>
            </w:r>
          </w:p>
        </w:tc>
        <w:tc>
          <w:tcPr>
            <w:tcW w:type="dxa" w:w="208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Stripe</w:t>
            </w:r>
          </w:p>
        </w:tc>
        <w:tc>
          <w:tcPr>
            <w:tcW w:type="dxa" w:w="6624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European standard pricing</w:t>
            </w:r>
          </w:p>
        </w:tc>
        <w:tc>
          <w:tcPr>
            <w:tcW w:type="dxa" w:w="1728"/>
            <w:vAlign w:val="center"/>
            <w:shd w:fill="F6F8FB"/>
          </w:tcPr>
          <w:p>
            <w:pPr>
              <w:spacing w:after="0" w:before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W10</w:t>
            </w:r>
          </w:p>
        </w:tc>
      </w:tr>
    </w:tbl>
    <w:p>
      <w:pPr>
        <w:spacing w:after="20"/>
      </w:pPr>
    </w:p>
    <w:p>
      <w:pPr>
        <w:pStyle w:val="Heading1"/>
      </w:pPr>
      <w:r>
        <w:t>附录 B · 本报告不证明什么</w:t>
      </w:r>
    </w:p>
    <w:p>
      <w:pPr>
        <w:pStyle w:val="ListBullet"/>
        <w:spacing w:after="40"/>
      </w:pPr>
      <w:r>
        <w:t>不证明 Vencertia 比人类、普通 LLM 或其他决策系统更准确；这需要真实 prospective outcome study。</w:t>
      </w:r>
    </w:p>
    <w:p>
      <w:pPr>
        <w:pStyle w:val="ListBullet"/>
        <w:spacing w:after="40"/>
      </w:pPr>
      <w:r>
        <w:t>不证明任何网页事实已经进入你项目的 Decision Evidence；本测试只检查系统是否会正确治理这些事实。</w:t>
      </w:r>
    </w:p>
    <w:p>
      <w:pPr>
        <w:pStyle w:val="ListBullet"/>
        <w:spacing w:after="40"/>
      </w:pPr>
      <w:r>
        <w:t>不证明 Utility、Bayesian update、EVSI/EVI 或 Decision Regret 数学实现正确；当前规范明确把这些留给 Runtime/Decision Engine。</w:t>
      </w:r>
    </w:p>
    <w:p>
      <w:pPr>
        <w:pStyle w:val="ListBullet"/>
        <w:spacing w:after="40"/>
      </w:pPr>
      <w:r>
        <w:t>不把此前 10,000 条模拟用户反馈当作真实满意度或决策准确性证据。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7D7D7D"/>
        <w:sz w:val="14"/>
      </w:rPr>
      <w:t>Internal engineering test artifact · Web facts remain time-bound observations until governed promotion.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E6E6E"/>
        <w:sz w:val="15"/>
      </w:rPr>
      <w:t>VENCERTIA  /  V11 CORE INTEGRATED REGRESSION  /  2026-08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4546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erif CJK SC" w:hAnsi="Noto Serif CJK SC" w:eastAsia="Noto Serif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openai.com/index/introducing-improvements-to-the-fine-tuning-api-and-expanding-our-custom-models-program/" TargetMode="External"/><Relationship Id="rId12" Type="http://schemas.openxmlformats.org/officeDocument/2006/relationships/hyperlink" Target="https://developer.apple.com/support/core-technology-fee/" TargetMode="External"/><Relationship Id="rId13" Type="http://schemas.openxmlformats.org/officeDocument/2006/relationships/hyperlink" Target="https://developer.apple.com/help/app-store-connect/distributing-apps-in-the-european-union/commissions-fees-and-taxes" TargetMode="External"/><Relationship Id="rId14" Type="http://schemas.openxmlformats.org/officeDocument/2006/relationships/hyperlink" Target="https://digital-strategy.ec.europa.eu/en/faqs/navigating-ai-act" TargetMode="External"/><Relationship Id="rId15" Type="http://schemas.openxmlformats.org/officeDocument/2006/relationships/hyperlink" Target="https://digital-strategy.ec.europa.eu/en/news/ai-omnibus-enters-force" TargetMode="External"/><Relationship Id="rId16" Type="http://schemas.openxmlformats.org/officeDocument/2006/relationships/hyperlink" Target="https://www.fda.gov/regulatory-information/search-fda-guidance-documents/clinical-decision-support-software" TargetMode="External"/><Relationship Id="rId17" Type="http://schemas.openxmlformats.org/officeDocument/2006/relationships/hyperlink" Target="https://digital-strategy.ec.europa.eu/en/policies/cra-reporting" TargetMode="External"/><Relationship Id="rId18" Type="http://schemas.openxmlformats.org/officeDocument/2006/relationships/hyperlink" Target="https://www.bundesfinanzministerium.de/Content/DE/FAQ/e-rechnung.html" TargetMode="External"/><Relationship Id="rId19" Type="http://schemas.openxmlformats.org/officeDocument/2006/relationships/hyperlink" Target="https://www.pcisecuritystandards.org/faqs/1593/" TargetMode="External"/><Relationship Id="rId20" Type="http://schemas.openxmlformats.org/officeDocument/2006/relationships/hyperlink" Target="https://digital-strategy.ec.europa.eu/en/policies/data-act" TargetMode="External"/><Relationship Id="rId21" Type="http://schemas.openxmlformats.org/officeDocument/2006/relationships/hyperlink" Target="https://ec.europa.eu/safety-gate/" TargetMode="External"/><Relationship Id="rId22" Type="http://schemas.openxmlformats.org/officeDocument/2006/relationships/hyperlink" Target="https://stripe.com/en-FR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