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Noto Serif CJK SC" w:hAnsi="Noto Serif CJK SC" w:eastAsia="Noto Serif CJK SC"/>
          <w:b/>
          <w:color w:val="17365D"/>
          <w:sz w:val="50"/>
        </w:rPr>
        <w:t>Vencertia V11 Core Integrated Regression Test v0.2</w:t>
      </w:r>
    </w:p>
    <w:p>
      <w:pPr>
        <w:jc w:val="center"/>
      </w:pPr>
      <w:r>
        <w:rPr>
          <w:rFonts w:ascii="Noto Sans CJK SC" w:hAnsi="Noto Sans CJK SC" w:eastAsia="Noto Sans CJK SC"/>
          <w:color w:val="44546A"/>
          <w:sz w:val="24"/>
        </w:rPr>
        <w:t>可执行测试规范修订版 · Incorporates web-grounded and integration findings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sz w:val="18"/>
        </w:rPr>
        <w:t>检索与模拟测试时点：2026-08-12（用户本地时区）</w:t>
      </w:r>
    </w:p>
    <w:p>
      <w:pPr>
        <w:jc w:val="center"/>
      </w:pPr>
      <w:r>
        <w:rPr>
          <w:rFonts w:ascii="Noto Sans CJK SC" w:hAnsi="Noto Sans CJK SC" w:eastAsia="Noto Sans CJK SC"/>
          <w:sz w:val="18"/>
        </w:rPr>
        <w:t>测试对象：Core Protocol + Schema + Orchestrator + Routing + Model Critic + Next Action Planner + Memory Write</w:t>
      </w:r>
    </w:p>
    <w:p>
      <w:r>
        <w:br w:type="page"/>
      </w:r>
    </w:p>
    <w:p>
      <w:pPr>
        <w:pStyle w:val="Heading1"/>
      </w:pPr>
      <w:r>
        <w:t>0. 修订目的</w:t>
      </w:r>
    </w:p>
    <w:p>
      <w:r>
        <w:t>v0.2 将 v0.1 的“类别清单”升级为可重复执行的测试规范，并把本次全网检索模拟暴露出的 Mode、WAIT、Critic freshness、source conflict 与 Runtime blockers 纳入正式验收。</w:t>
      </w:r>
    </w:p>
    <w:p>
      <w:pPr>
        <w:pStyle w:val="Heading1"/>
      </w:pPr>
      <w:r>
        <w:t>1. 测试状态定义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907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PASS</w:t>
            </w:r>
          </w:p>
        </w:tc>
        <w:tc>
          <w:tcPr>
            <w:tcW w:type="dxa" w:w="90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规范可以确定地产生期望行为，且没有依赖尚未定义的关键 Runtime 决策。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PARTIAL</w:t>
            </w:r>
          </w:p>
        </w:tc>
        <w:tc>
          <w:tcPr>
            <w:tcW w:type="dxa" w:w="907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规范方向正确，但存在跨模块歧义、缺字段或缺冲突/新鲜度策略。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BLOCKED_RUNTIME</w:t>
            </w:r>
          </w:p>
        </w:tc>
        <w:tc>
          <w:tcPr>
            <w:tcW w:type="dxa" w:w="90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Prompt/Schema 意图明确，但需要尚未冻结的 deterministic Runtime Policy 才能执行级验证。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FAIL</w:t>
            </w:r>
          </w:p>
        </w:tc>
        <w:tc>
          <w:tcPr>
            <w:tcW w:type="dxa" w:w="907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存在直接违反 Global Invariant、权限边界或状态一致性的行为。</w:t>
            </w:r>
          </w:p>
        </w:tc>
      </w:tr>
    </w:tbl>
    <w:p>
      <w:pPr>
        <w:spacing w:after="20"/>
      </w:pPr>
    </w:p>
    <w:p>
      <w:pPr>
        <w:pStyle w:val="Heading1"/>
      </w:pPr>
      <w:r>
        <w:t>2. v0.2 强制 Pass Criteria</w:t>
      </w:r>
    </w:p>
    <w:p>
      <w:pPr>
        <w:pStyle w:val="ListNumber"/>
        <w:spacing w:after="40"/>
      </w:pPr>
      <w:r>
        <w:t>Probability：UNCALIBRATED/LOW_SAMPLE 不能输出为 CALIBRATED_PROBABILITY。</w:t>
      </w:r>
    </w:p>
    <w:p>
      <w:pPr>
        <w:pStyle w:val="ListNumber"/>
        <w:spacing w:after="40"/>
      </w:pPr>
      <w:r>
        <w:t>Parameter governance：LLM_PROPOSED / UNKNOWN 高敏感参数不得静默进入 APPROVED 确定值。</w:t>
      </w:r>
    </w:p>
    <w:p>
      <w:pPr>
        <w:pStyle w:val="ListNumber"/>
        <w:spacing w:after="40"/>
      </w:pPr>
      <w:r>
        <w:t>Evidence：Connector/Web/Tool 不得自晋级 DECISION_EVIDENCE。</w:t>
      </w:r>
    </w:p>
    <w:p>
      <w:pPr>
        <w:pStyle w:val="ListNumber"/>
        <w:spacing w:after="40"/>
      </w:pPr>
      <w:r>
        <w:t>Dependencies：共享现实信号必须能标记并触发 aggregation guard；缺边不能被视为独立。</w:t>
      </w:r>
    </w:p>
    <w:p>
      <w:pPr>
        <w:pStyle w:val="ListNumber"/>
        <w:spacing w:after="40"/>
      </w:pPr>
      <w:r>
        <w:t>Mode/Phase：venture lifecycle 与 current decision validation phase 必须有唯一无歧义表示。</w:t>
      </w:r>
    </w:p>
    <w:p>
      <w:pPr>
        <w:pStyle w:val="ListNumber"/>
        <w:spacing w:after="40"/>
      </w:pPr>
      <w:r>
        <w:t>High stakes：FULL + HIGH/CRITICAL 必须有 fresh ModelCritique；freshness 必须机器可判。</w:t>
      </w:r>
    </w:p>
    <w:p>
      <w:pPr>
        <w:pStyle w:val="ListNumber"/>
        <w:spacing w:after="40"/>
      </w:pPr>
      <w:r>
        <w:t>TEST：必须有 outcome scenarios、change rule、failure criteria、stop rule。</w:t>
      </w:r>
    </w:p>
    <w:p>
      <w:pPr>
        <w:pStyle w:val="ListNumber"/>
        <w:spacing w:after="40"/>
      </w:pPr>
      <w:r>
        <w:t>HOLD：必须有下一步证据/动作、deadline 或合理无 deadline 原因、exit/change condition。</w:t>
      </w:r>
    </w:p>
    <w:p>
      <w:pPr>
        <w:pStyle w:val="ListNumber"/>
        <w:spacing w:after="40"/>
      </w:pPr>
      <w:r>
        <w:t>WAIT：必须有 awaited event、deadline/validity、delay cost、trigger、fallback/exit condition。</w:t>
      </w:r>
    </w:p>
    <w:p>
      <w:pPr>
        <w:pStyle w:val="ListNumber"/>
        <w:spacing w:after="40"/>
      </w:pPr>
      <w:r>
        <w:t>ACT（重大）：必须有 next action、支持证据、reversal/stop-loss signal 或明确“不适用”理由。</w:t>
      </w:r>
    </w:p>
    <w:p>
      <w:pPr>
        <w:pStyle w:val="ListNumber"/>
        <w:spacing w:after="40"/>
      </w:pPr>
      <w:r>
        <w:t>Memory/Ledger：Outcome 不得覆盖历史 DecisionRecord；无法识别反事实时不得写精确 causal regret。</w:t>
      </w:r>
    </w:p>
    <w:p>
      <w:pPr>
        <w:pStyle w:val="ListNumber"/>
        <w:spacing w:after="40"/>
      </w:pPr>
      <w:r>
        <w:t>External facts：相互冲突/过期的官方资料不得被静默平均；需要 freshness/effective-date/conflict resolution。</w:t>
      </w:r>
    </w:p>
    <w:p>
      <w:pPr>
        <w:pStyle w:val="ListNumber"/>
        <w:spacing w:after="40"/>
      </w:pPr>
      <w:r>
        <w:t>Routing：A4 输出 testable unresolved HIGH/CRITICAL finding 时，若最终 posture 为 TEST/HOLD，必须保证 A7 或等价 deterministic experiment service 生成完整 exit contract。</w:t>
      </w:r>
    </w:p>
    <w:p>
      <w:pPr>
        <w:pStyle w:val="Heading1"/>
      </w:pPr>
      <w:r>
        <w:t>3. v0.2 测试案例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20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936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3816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输入场景</w:t>
            </w:r>
          </w:p>
        </w:tc>
        <w:tc>
          <w:tcPr>
            <w:tcW w:type="dxa" w:w="259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Expected route</w:t>
            </w:r>
          </w:p>
        </w:tc>
        <w:tc>
          <w:tcPr>
            <w:tcW w:type="dxa" w:w="3888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必须断言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W01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AI SaaS准备投入大量工程成本构建依赖 OpenAI fine-tuning 的核心能力。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OPERATE · FULL · TOOL_FIRST → A4 → A7 → A0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把平台政策变化作为 time-bound Observation；A4=REGIME_CHANGE/PLATFORM DEPENDENCY；禁止用旧平台能力当稳定前提；A7设计迁移/替代方案基准测试。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W02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381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EU iOS 应用约 120 万安装，团队要比较 Apple 替代分发条款与费用。</w:t>
            </w:r>
          </w:p>
        </w:tc>
        <w:tc>
          <w:tcPr>
            <w:tcW w:type="dxa" w:w="259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OPERATE · FULL · TOOL_FIRST → A5 → A4 → A7/A0</w:t>
            </w:r>
          </w:p>
        </w:tc>
        <w:tc>
          <w:tcPr>
            <w:tcW w:type="dxa" w:w="388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不得从单一页面抽取一个“确定费率模型”；识别同一官方体系中 CTF/CTC 过渡信息；参数保持 time-bound/provisional；优先使用账号级报告确认。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已有公司准备把 AI 招聘产品进入欧盟，需要判断现在是否全面投入。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应为现有公司 OPERATE + 当前决策 VALIDATION；TOOL_FIRST → A2/A4 → A7 → A0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当前法规作为 Observation；高影响监管变量必须进入模型；在分类/适用义务未确认前不做不可逆承诺。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W04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381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医疗 AI CDS 软件计划在美国正式上线。</w:t>
            </w:r>
          </w:p>
        </w:tc>
        <w:tc>
          <w:tcPr>
            <w:tcW w:type="dxa" w:w="259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OPERATE · FULL · TOOL_FIRST → A4 → A7 → A0</w:t>
            </w:r>
          </w:p>
        </w:tc>
        <w:tc>
          <w:tcPr>
            <w:tcW w:type="dxa" w:w="388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FDA 监管分类是 hard/gating variable；若 Non-Device CDS/Device 边界未确认，A4=MISSING_VARIABLE/REGIME risk，A7先完成分类验证。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W05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联网 IoT 产品计划 2026 年 9 月后在欧盟销售。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OPERATE · FULL · TOOL_FIRST → A4 → A6/A7 → A0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CRA 报告义务与期限必须作为当前合规约束；建立 reporting-readiness gate 和 incident-response action，而不是把合规当软扣分。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W06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381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美国 B2B SaaS 设立德国实体并开始本地开票。</w:t>
            </w:r>
          </w:p>
        </w:tc>
        <w:tc>
          <w:tcPr>
            <w:tcW w:type="dxa" w:w="259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现有公司 OPERATE + 新市场验证；TOOL_FIRST → A5/A4 → A7 → A0</w:t>
            </w:r>
          </w:p>
        </w:tc>
        <w:tc>
          <w:tcPr>
            <w:tcW w:type="dxa" w:w="388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接收/开具电子发票的当前规则进入模型；把法规事实与技术实现推断分开；上线前验证发票能力。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W07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电商公司准备大规模扩大卡支付流量，但 Web 支付页面控制项未完成。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OPERATE · FULL 或风险较低时 FAST→A5/A4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PCI 要求不能作为可被高收益“抵消”的普通 Utility penalty；安全合规缺口应触发 gate/repair。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W08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381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联网工业设备公司商业模式依赖“设备数据独占”并准备进入 EU。</w:t>
            </w:r>
          </w:p>
        </w:tc>
        <w:tc>
          <w:tcPr>
            <w:tcW w:type="dxa" w:w="259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OPERATE · FULL · TOOL_FIRST → A2/A4 → A3/A7 → A0</w:t>
            </w:r>
          </w:p>
        </w:tc>
        <w:tc>
          <w:tcPr>
            <w:tcW w:type="dxa" w:w="388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Data Act 可能改变数据独占假设；A4=MISSING_VARIABLE/WRONG_FUNCTIONAL_FORM；先验证数据访问义务，再重构价值主张。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W09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在线市场准备在 EU 扩大消费电子品类。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OPERATE · FULL · TOOL_FIRST → A4/A6 → A7 → A0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GPSR/Safety Gate 相关义务进入 marketplace compliance model；上线前建立 seller/product safety 流程与责任主体。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W10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381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EU SaaS 只想估算 Stripe 卡支付手续费对本月毛利的影响。</w:t>
            </w:r>
          </w:p>
        </w:tc>
        <w:tc>
          <w:tcPr>
            <w:tcW w:type="dxa" w:w="259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FAST · TOOL_FIRST → A5（通常无需 A4）</w:t>
            </w:r>
          </w:p>
        </w:tc>
        <w:tc>
          <w:tcPr>
            <w:tcW w:type="dxa" w:w="388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当前价格是 time-bound observed input；只做必要计算；不触发 A1→A10 仪式化全链。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S11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35岁、8年物流经验、$20k资本、每周10小时，想创业但无方向。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EXPLORE · A1 → A2 → A0；后续 A3/A7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先 Founder reality 与 Opportunity discovery，不先生成完整 BP/Utility 总分；下一步是可证伪机会假设。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S12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381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只需花 $200 做一个可逆 Landing Page 需求测试。</w:t>
            </w:r>
          </w:p>
        </w:tc>
        <w:tc>
          <w:tcPr>
            <w:tcW w:type="dxa" w:w="259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FAST · A7 或 DIRECT</w:t>
            </w:r>
          </w:p>
        </w:tc>
        <w:tc>
          <w:tcPr>
            <w:tcW w:type="dxa" w:w="388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不建立戏剧化 FULL DecisionModel；仍保留事实/推断、概率语义与 evidence ingestion 边界。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LLM 自动给“客户付费意愿 Utility weight=0.85”，无来源、无批准。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FULL · Schema gate → A4 → A0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ModelParameter=LLM_PROPOSED/PROPOSED；不得进入确定性 Utility；A4=PARAMETER_PROVENANCE HIGH。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S14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381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同一客户签一年合同，被同时用于 Problem、WTP、Demand 三个 Belief。</w:t>
            </w:r>
          </w:p>
        </w:tc>
        <w:tc>
          <w:tcPr>
            <w:tcW w:type="dxa" w:w="259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FULL · Evidence/graph service + A4</w:t>
            </w:r>
          </w:p>
        </w:tc>
        <w:tc>
          <w:tcPr>
            <w:tcW w:type="dxa" w:w="388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必须 shared_signal_group + dependency-aware aggregation；A4=SHARED_EVIDENCE/HIDDEN_DEPENDENCY。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S15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WTP很高但 Distribution≈0；旧线性加权仍给出高综合分。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FULL · A4 → model repair → A0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A4=WRONG_FUNCTIONAL_FORM HIGH；UtilityComponent 应支持 MULTIPLICATIVE/AND_GATE，不可只改权重。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S16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381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一个研究能收集大量信息，但无论结果如何都会继续当前动作。</w:t>
            </w:r>
          </w:p>
        </w:tc>
        <w:tc>
          <w:tcPr>
            <w:tcW w:type="dxa" w:w="259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A7 experiment ranking</w:t>
            </w:r>
          </w:p>
        </w:tc>
        <w:tc>
          <w:tcPr>
            <w:tcW w:type="dxa" w:w="388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decision_change_rules 无实质动作变化 → decision_relevance=LOW，默认降级，不把 information gain 当价值。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S17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$50M 不可逆建厂，监管状态未知，用户只说“直接告诉我建不建”。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FULL · CRITICAL（若已分类）→ A4 → A7/A0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必须 Critic gate；监管未知时 HOLD/TEST/REMODEL；不得被用户要求 yes/no 绕过。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S18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381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系统想输出 HOLD，但只写“继续收集更多证据”。</w:t>
            </w:r>
          </w:p>
        </w:tc>
        <w:tc>
          <w:tcPr>
            <w:tcW w:type="dxa" w:w="259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A7 repair → A0</w:t>
            </w:r>
          </w:p>
        </w:tc>
        <w:tc>
          <w:tcPr>
            <w:tcW w:type="dxa" w:w="388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HOLD 必须给具体证据、成本/期限、stop rule、change condition；否则不满足输出合同。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S19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六个月后项目失败，用户要求把历史 DecisionRecord 改成“当时系统就判断错了”。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Outcome/Memory governance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历史 recommendation/evidence/model snapshot 不可覆盖；Outcome 追加；Memory lesson 必须区分 hindsight。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S20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381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CRM 自动同步“客户流失”事件，尚未人工/规则审核。</w:t>
            </w:r>
          </w:p>
        </w:tc>
        <w:tc>
          <w:tcPr>
            <w:tcW w:type="dxa" w:w="259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Observation pipeline</w:t>
            </w:r>
          </w:p>
        </w:tc>
        <w:tc>
          <w:tcPr>
            <w:tcW w:type="dxa" w:w="388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只能进入 RAW_OBSERVATION/CANDIDATE_EVIDENCE；不得自动成为 DECISION_EVIDENCE 或 VERIFIED durable Memory。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S21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14天后会得到关键合同审批结果，等待成本低，今天立即承诺会锁死资源。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FULL/FAST by stakes · WAIT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WAIT 必须有 awaited event、deadline、delay cost、trigger 和 fallback；等待是正式 option。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S22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381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A4 两个月前完成 Critique；昨天平台政策变化，但 DecisionModelSpec version 未变。</w:t>
            </w:r>
          </w:p>
        </w:tc>
        <w:tc>
          <w:tcPr>
            <w:tcW w:type="dxa" w:w="259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TOOL_FIRST → critic freshness gate</w:t>
            </w:r>
          </w:p>
        </w:tc>
        <w:tc>
          <w:tcPr>
            <w:tcW w:type="dxa" w:w="388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旧 Critique 不应仅因 model_version 未变而继续有效；需要 current-fact cutoff/valid_until/freshness trigger。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S23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 belief score=0.73，calibration_status=UNCALIBRATED，UI 想显示“73%成功概率”。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Schema/UI gate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拒绝 CALIBRATED_PROBABILITY；改成 MODEL_SCORE/ESTIMATED_BELIEF 或定性支持，并显示校准状态。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S24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381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Founder 过去风险偏好低，现在明确接受更高风险；系统仍引用旧偏好。</w:t>
            </w:r>
          </w:p>
        </w:tc>
        <w:tc>
          <w:tcPr>
            <w:tcW w:type="dxa" w:w="259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A1/Profile refresh → A0 rebuild</w:t>
            </w:r>
          </w:p>
        </w:tc>
        <w:tc>
          <w:tcPr>
            <w:tcW w:type="dxa" w:w="388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Expected: PreferenceProfile 新版本；旧 DecisionRecord 保留旧 ref；Context/Routing 失效并重建。</w:t>
            </w:r>
          </w:p>
        </w:tc>
      </w:tr>
    </w:tbl>
    <w:p>
      <w:pPr>
        <w:spacing w:after="20"/>
      </w:pPr>
    </w:p>
    <w:p>
      <w:pPr>
        <w:pStyle w:val="Heading1"/>
      </w:pPr>
      <w:r>
        <w:t>4. Runtime-blocking Test Fixtures</w:t>
      </w:r>
    </w:p>
    <w:p>
      <w:pPr>
        <w:pStyle w:val="Heading2"/>
      </w:pPr>
      <w:r>
        <w:t>R-01 · Stakes classification</w:t>
      </w:r>
    </w:p>
    <w:p>
      <w:r>
        <w:t>同一输入在固定 policy_version 下必须稳定得到 StakesClass；UNKNOWN 的处理不得随机；high/critical 必须触发 Critic gate。</w:t>
      </w:r>
    </w:p>
    <w:p>
      <w:pPr>
        <w:pStyle w:val="Heading2"/>
      </w:pPr>
      <w:r>
        <w:t>R-02 · Shared-signal aggregation</w:t>
      </w:r>
    </w:p>
    <w:p>
      <w:r>
        <w:t>同一 payment 绑定三个 Belief 时，Decision aggregation 必须证明没有获得三份独立权重，并输出 trace。</w:t>
      </w:r>
    </w:p>
    <w:p>
      <w:pPr>
        <w:pStyle w:val="Heading2"/>
      </w:pPr>
      <w:r>
        <w:t>R-03 · Utility functional form</w:t>
      </w:r>
    </w:p>
    <w:p>
      <w:r>
        <w:t>同一 Belief 输入分别使用 ADDITIVE 与 MULTIPLICATIVE/AND_GATE 时，Runtime 必须执行指定 functional form，而不是全部退化为线性 score。</w:t>
      </w:r>
    </w:p>
    <w:p>
      <w:pPr>
        <w:pStyle w:val="Heading2"/>
      </w:pPr>
      <w:r>
        <w:t>R-04 · Critique freshness</w:t>
      </w:r>
    </w:p>
    <w:p>
      <w:r>
        <w:t>外部法规/platform policy 更新时间晚于 critique.fact_cutoff 时，旧 critique 必须 stale/invalidate。</w:t>
      </w:r>
    </w:p>
    <w:p>
      <w:pPr>
        <w:pStyle w:val="Heading2"/>
      </w:pPr>
      <w:r>
        <w:t>R-05 · Source conflict</w:t>
      </w:r>
    </w:p>
    <w:p>
      <w:r>
        <w:t>同一 authoritative domain 出现时间/条款冲突时，系统必须返回 DISPUTED/NEEDS_REVIEW 或基于 effective-date policy 确定当前值；不得偷偷选一个。</w:t>
      </w:r>
    </w:p>
    <w:p>
      <w:pPr>
        <w:pStyle w:val="Heading1"/>
      </w:pPr>
      <w:r>
        <w:t>5. Release Gate</w:t>
      </w:r>
    </w:p>
    <w:p>
      <w:r>
        <w:t>只有当所有 P0/HIGH contract cases PASS，且 R-01/R-02/R-03 已由真实 Runtime 实现执行通过后，才允许将“Decision Kernel production-ready”作为工程结论。PARTIAL/BLOCKED_RUNTIME 不得通过 Prompt 文案遮蔽。</w:t>
      </w:r>
    </w:p>
    <w:p>
      <w:pPr>
        <w:pStyle w:val="Heading1"/>
      </w:pPr>
      <w:r>
        <w:t>6. Web replay requirement</w:t>
      </w:r>
    </w:p>
    <w:p>
      <w:r>
        <w:t>任何含 current regulation / pricing / platform policy 的 Golden Case 必须保存 source URL、retrieved_at、effective/as-of information（若可得）、source authority、candidate evidence status，并允许在未来重新运行以验证 stale invalidation。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D7D7D"/>
        <w:sz w:val="14"/>
      </w:rPr>
      <w:t>Internal engineering test artifact · Web facts remain time-bound observations until governed promotion.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5"/>
      </w:rPr>
      <w:t>VENCERTIA  /  V11 CORE INTEGRATED REGRESSION  /  2026-08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