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Noto Sans CJK SC" w:hAnsi="Noto Sans CJK SC" w:eastAsia="Noto Sans CJK SC" w:cs="Noto Sans CJK SC"/>
          <w:b/>
          <w:color w:val="182B4D"/>
          <w:sz w:val="54"/>
        </w:rPr>
        <w:t>Vencertia V11 Specialists Batch 1</w:t>
      </w:r>
    </w:p>
    <w:p>
      <w:pPr>
        <w:jc w:val="center"/>
      </w:pPr>
      <w:r>
        <w:rPr>
          <w:rFonts w:ascii="Noto Sans CJK SC" w:hAnsi="Noto Sans CJK SC" w:eastAsia="Noto Sans CJK SC" w:cs="Noto Sans CJK SC"/>
          <w:b/>
          <w:color w:val="324669"/>
          <w:sz w:val="39"/>
        </w:rPr>
        <w:t>V11 System Prompt</w:t>
      </w:r>
    </w:p>
    <w:p>
      <w:pPr>
        <w:jc w:val="center"/>
      </w:pPr>
      <w:r>
        <w:rPr>
          <w:rFonts w:ascii="Noto Sans CJK SC" w:hAnsi="Noto Sans CJK SC" w:eastAsia="Noto Sans CJK SC" w:cs="Noto Sans CJK SC"/>
          <w:b/>
          <w:color w:val="4B4B4B"/>
          <w:sz w:val="28"/>
        </w:rPr>
        <w:t>A1 / A2 / A3 / A5 集成合同回归测试报告</w:t>
      </w:r>
    </w:p>
    <w:p/>
    <w:p>
      <w:pPr>
        <w:jc w:val="center"/>
      </w:pPr>
      <w:r>
        <w:rPr>
          <w:rFonts w:ascii="Noto Sans CJK SC" w:hAnsi="Noto Sans CJK SC" w:eastAsia="Noto Sans CJK SC" w:cs="Noto Sans CJK SC"/>
          <w:b/>
          <w:color w:val="4B4B4B"/>
          <w:sz w:val="20"/>
        </w:rPr>
        <w:t>Version 11.0 / v0.1  ·  System Prompt Draft Freeze Candidate</w:t>
      </w:r>
    </w:p>
    <w:p>
      <w:pPr>
        <w:jc w:val="center"/>
      </w:pPr>
      <w:r>
        <w:rPr>
          <w:rFonts w:ascii="Noto Sans CJK SC" w:hAnsi="Noto Sans CJK SC" w:eastAsia="Noto Sans CJK SC" w:cs="Noto Sans CJK SC"/>
          <w:color w:val="696969"/>
          <w:sz w:val="18"/>
        </w:rPr>
        <w:t>2026-08-13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</w:trPr>
        <w:tc>
          <w:tcPr>
            <w:tcW w:type="dxa" w:w="2098"/>
            <w:shd w:fill="D9E2F3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5"/>
              </w:rPr>
              <w:t>Field</w:t>
            </w:r>
          </w:p>
        </w:tc>
        <w:tc>
          <w:tcPr>
            <w:tcW w:type="dxa" w:w="7370"/>
            <w:shd w:fill="D9E2F3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5"/>
              </w:rPr>
              <w:t>Value</w:t>
            </w:r>
          </w:p>
        </w:tc>
      </w:tr>
      <w:tr>
        <w:trPr>
          <w:cantSplit/>
        </w:trPr>
        <w:tc>
          <w:tcPr>
            <w:tcW w:type="dxa" w:w="2098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5"/>
              </w:rPr>
              <w:t>Role</w:t>
            </w:r>
          </w:p>
        </w:tc>
        <w:tc>
          <w:tcPr>
            <w:tcW w:type="dxa" w:w="7370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5"/>
              </w:rPr>
              <w:t>Specification-level regression artifact</w:t>
            </w:r>
          </w:p>
        </w:tc>
      </w:tr>
      <w:tr>
        <w:trPr>
          <w:cantSplit/>
        </w:trPr>
        <w:tc>
          <w:tcPr>
            <w:tcW w:type="dxa" w:w="2098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5"/>
              </w:rPr>
              <w:t>Normative dependency</w:t>
            </w:r>
          </w:p>
        </w:tc>
        <w:tc>
          <w:tcPr>
            <w:tcW w:type="dxa" w:w="7370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5"/>
              </w:rPr>
              <w:t>V11 Core Protocol v0.1 + Core v0.2 Patch + Schema Specification v0.2 + applicable Runtime Policies</w:t>
            </w:r>
          </w:p>
        </w:tc>
      </w:tr>
      <w:tr>
        <w:trPr>
          <w:cantSplit/>
        </w:trPr>
        <w:tc>
          <w:tcPr>
            <w:tcW w:type="dxa" w:w="2098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5"/>
              </w:rPr>
              <w:t>Upstream control</w:t>
            </w:r>
          </w:p>
        </w:tc>
        <w:tc>
          <w:tcPr>
            <w:tcW w:type="dxa" w:w="7370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5"/>
              </w:rPr>
              <w:t>Vencertia Orchestrator V11 v0.2 + Routing V11 v0.2</w:t>
            </w:r>
          </w:p>
        </w:tc>
      </w:tr>
      <w:tr>
        <w:trPr>
          <w:cantSplit/>
        </w:trPr>
        <w:tc>
          <w:tcPr>
            <w:tcW w:type="dxa" w:w="2098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5"/>
              </w:rPr>
              <w:t>Legacy baseline</w:t>
            </w:r>
          </w:p>
        </w:tc>
        <w:tc>
          <w:tcPr>
            <w:tcW w:type="dxa" w:w="7370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5"/>
              </w:rPr>
              <w:t>Based on V11 v0.2 Core/Schema/Runtime policies and AgentV10.2 preservation baseline</w:t>
            </w:r>
          </w:p>
        </w:tc>
      </w:tr>
      <w:tr>
        <w:trPr>
          <w:cantSplit/>
        </w:trPr>
        <w:tc>
          <w:tcPr>
            <w:tcW w:type="dxa" w:w="2098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5"/>
              </w:rPr>
              <w:t>Primary mission</w:t>
            </w:r>
          </w:p>
        </w:tc>
        <w:tc>
          <w:tcPr>
            <w:tcW w:type="dxa" w:w="7370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5"/>
              </w:rPr>
              <w:t>Verify that the first four rewritten Specialists inherit the V11 v0.2 contracts without reintroducing legacy score, quota, evidence, mode or Utility conflicts.</w:t>
            </w:r>
          </w:p>
        </w:tc>
      </w:tr>
      <w:tr>
        <w:trPr>
          <w:cantSplit/>
        </w:trPr>
        <w:tc>
          <w:tcPr>
            <w:tcW w:type="dxa" w:w="2098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5"/>
              </w:rPr>
              <w:t>Core principle</w:t>
            </w:r>
          </w:p>
        </w:tc>
        <w:tc>
          <w:tcPr>
            <w:tcW w:type="dxa" w:w="7370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5"/>
              </w:rPr>
              <w:t>Same decision semantics across Specialists; different domain ownership.</w:t>
            </w:r>
          </w:p>
        </w:tc>
      </w:tr>
      <w:tr>
        <w:trPr>
          <w:cantSplit/>
        </w:trPr>
        <w:tc>
          <w:tcPr>
            <w:tcW w:type="dxa" w:w="2098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5"/>
              </w:rPr>
              <w:t>Deployment status</w:t>
            </w:r>
          </w:p>
        </w:tc>
        <w:tc>
          <w:tcPr>
            <w:tcW w:type="dxa" w:w="7370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5"/>
              </w:rPr>
              <w:t>Specialist prompt freeze candidate; deterministic calculation, approval, promotion and persistence remain Runtime-owned.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1. TEST BOUNDARY</w:t>
      </w:r>
    </w:p>
    <w:p>
      <w:r>
        <w:rPr>
          <w:rFonts w:ascii="Noto Sans CJK SC" w:hAnsi="Noto Sans CJK SC" w:eastAsia="Noto Sans CJK SC" w:cs="Noto Sans CJK SC"/>
          <w:b w:val="0"/>
          <w:i w:val="0"/>
        </w:rPr>
        <w:t>This is a specification-level simulation of the four new System Prompts against V11 v0.2 contracts. It is not a black-box test of production code, Pydantic validators, databases or tool connectors.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</w:trPr>
        <w:tc>
          <w:tcPr>
            <w:tcW w:type="dxa" w:w="2891"/>
            <w:shd w:fill="D9E2F3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Module</w:t>
            </w:r>
          </w:p>
        </w:tc>
        <w:tc>
          <w:tcPr>
            <w:tcW w:type="dxa" w:w="6520"/>
            <w:shd w:fill="D9E2F3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Contract focus</w:t>
            </w:r>
          </w:p>
        </w:tc>
      </w:tr>
      <w:tr>
        <w:trPr>
          <w:cantSplit/>
        </w:trPr>
        <w:tc>
          <w:tcPr>
            <w:tcW w:type="dxa" w:w="2891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A1 Founder Diagnosis</w:t>
            </w:r>
          </w:p>
        </w:tc>
        <w:tc>
          <w:tcPr>
            <w:tcW w:type="dxa" w:w="6520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Explicit vs inferred preferences/constraints; founder evidence; reachability; memory/profile boundaries.</w:t>
            </w:r>
          </w:p>
        </w:tc>
      </w:tr>
      <w:tr>
        <w:trPr>
          <w:cantSplit/>
        </w:trPr>
        <w:tc>
          <w:tcPr>
            <w:tcW w:type="dxa" w:w="2891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A2 Market Opportunity</w:t>
            </w:r>
          </w:p>
        </w:tc>
        <w:tc>
          <w:tcPr>
            <w:tcW w:type="dxa" w:w="6520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Opportunity vs project; current external facts; research freshness/conflicts; market vs project evidence.</w:t>
            </w:r>
          </w:p>
        </w:tc>
      </w:tr>
      <w:tr>
        <w:trPr>
          <w:cantSplit/>
        </w:trPr>
        <w:tc>
          <w:tcPr>
            <w:tcW w:type="dxa" w:w="2891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A3 Venture Design</w:t>
            </w:r>
          </w:p>
        </w:tc>
        <w:tc>
          <w:tcPr>
            <w:tcW w:type="dxa" w:w="6520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No forced candidate quota; falsifiable venture model; dependency/gates; proposal vs validation.</w:t>
            </w:r>
          </w:p>
        </w:tc>
      </w:tr>
      <w:tr>
        <w:trPr>
          <w:cantSplit/>
        </w:trPr>
        <w:tc>
          <w:tcPr>
            <w:tcW w:type="dxa" w:w="2891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A5 Financial &amp; Business Model</w:t>
            </w:r>
          </w:p>
        </w:tc>
        <w:tc>
          <w:tcPr>
            <w:tcW w:type="dxa" w:w="6520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Economics vs Utility; parameter provenance; cash/unit economics; scenario/sensitivity; no false precision.</w:t>
            </w:r>
          </w:p>
        </w:tc>
      </w:tr>
      <w:tr>
        <w:trPr>
          <w:cantSplit/>
        </w:trPr>
        <w:tc>
          <w:tcPr>
            <w:tcW w:type="dxa" w:w="2891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Cross-Agent</w:t>
            </w:r>
          </w:p>
        </w:tc>
        <w:tc>
          <w:tcPr>
            <w:tcW w:type="dxa" w:w="6520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Dual-axis mode, handoffs, no duplicate authority, no evidence/parameter/decision mutation.</w:t>
            </w:r>
          </w:p>
        </w:tc>
      </w:tr>
    </w:tbl>
    <w:p>
      <w:pPr>
        <w:spacing w:after="0"/>
      </w:pPr>
    </w:p>
    <w:p>
      <w:pPr>
        <w:pStyle w:val="Heading1"/>
      </w:pPr>
      <w:r>
        <w:t>2. PASS CRITERIA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No Specialist redefines VentureMode/DecisionPhase/DecisionPath or silently changes A0-selected axes.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No Specialist promotes Evidence, approves LLM-proposed parameters/preferences, writes immutable Decision Ledger or claims final ActionState authority.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A1 risk preference/risk budget is separate from StakesClass.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A2 external facts remain time/scope-bound Observation/Candidate Evidence until promotion.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A3 does not force exactly three projects and does not confuse design with validation.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A5 economic variables remain distinct from user Utility weights; hard constraints are not offset by economics.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Shared signals/dependencies are preserved across A2/A3/A5; no payment/interview triple counting.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Uncalibrated model/market/financial scores are not narrated as real-world probabilities.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Each Agent has a deterministic/structured handoff to the next domain owner rather than solving the full system itself.</w:t>
      </w:r>
    </w:p>
    <w:p>
      <w:pPr>
        <w:pStyle w:val="Heading1"/>
      </w:pPr>
      <w:r>
        <w:t>3. 24-CASE RESULT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tblHeader w:val="true"/>
          <w:cantSplit/>
        </w:trPr>
        <w:tc>
          <w:tcPr>
            <w:tcW w:type="dxa" w:w="737"/>
            <w:shd w:fill="D9E2F3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2"/>
              </w:rPr>
              <w:t>ID</w:t>
            </w:r>
          </w:p>
        </w:tc>
        <w:tc>
          <w:tcPr>
            <w:tcW w:type="dxa" w:w="1247"/>
            <w:shd w:fill="D9E2F3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2"/>
              </w:rPr>
              <w:t>Module</w:t>
            </w:r>
          </w:p>
        </w:tc>
        <w:tc>
          <w:tcPr>
            <w:tcW w:type="dxa" w:w="2948"/>
            <w:shd w:fill="D9E2F3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2"/>
              </w:rPr>
              <w:t>Scenario</w:t>
            </w:r>
          </w:p>
        </w:tc>
        <w:tc>
          <w:tcPr>
            <w:tcW w:type="dxa" w:w="1020"/>
            <w:shd w:fill="D9E2F3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2"/>
              </w:rPr>
              <w:t>Result</w:t>
            </w:r>
          </w:p>
        </w:tc>
        <w:tc>
          <w:tcPr>
            <w:tcW w:type="dxa" w:w="3515"/>
            <w:shd w:fill="D9E2F3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2"/>
              </w:rPr>
              <w:t>Reason</w:t>
            </w:r>
          </w:p>
        </w:tc>
      </w:tr>
      <w:tr>
        <w:trPr>
          <w:cantSplit/>
        </w:trPr>
        <w:tc>
          <w:tcPr>
            <w:tcW w:type="dxa" w:w="737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B01</w:t>
            </w:r>
          </w:p>
        </w:tc>
        <w:tc>
          <w:tcPr>
            <w:tcW w:type="dxa" w:w="1247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A1</w:t>
            </w:r>
          </w:p>
        </w:tc>
        <w:tc>
          <w:tcPr>
            <w:tcW w:type="dxa" w:w="2948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Founder claims excellent sales with no closed-deal evidence.</w:t>
            </w:r>
          </w:p>
        </w:tc>
        <w:tc>
          <w:tcPr>
            <w:tcW w:type="dxa" w:w="1020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PASS</w:t>
            </w:r>
          </w:p>
        </w:tc>
        <w:tc>
          <w:tcPr>
            <w:tcW w:type="dxa" w:w="3515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A1 separates self-claim from demonstrated commercial capability; no founder score.</w:t>
            </w:r>
          </w:p>
        </w:tc>
      </w:tr>
      <w:tr>
        <w:trPr>
          <w:cantSplit/>
        </w:trPr>
        <w:tc>
          <w:tcPr>
            <w:tcW w:type="dxa" w:w="737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B02</w:t>
            </w:r>
          </w:p>
        </w:tc>
        <w:tc>
          <w:tcPr>
            <w:tcW w:type="dxa" w:w="1247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A1</w:t>
            </w:r>
          </w:p>
        </w:tc>
        <w:tc>
          <w:tcPr>
            <w:tcW w:type="dxa" w:w="2948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Founder explicitly changes maximum acceptable loss.</w:t>
            </w:r>
          </w:p>
        </w:tc>
        <w:tc>
          <w:tcPr>
            <w:tcW w:type="dxa" w:w="1020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PASS</w:t>
            </w:r>
          </w:p>
        </w:tc>
        <w:tc>
          <w:tcPr>
            <w:tcW w:type="dxa" w:w="3515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New sourced preference/constraint proposal; old history preserved; Stakes Runtime remains owner of class.</w:t>
            </w:r>
          </w:p>
        </w:tc>
      </w:tr>
      <w:tr>
        <w:trPr>
          <w:cantSplit/>
        </w:trPr>
        <w:tc>
          <w:tcPr>
            <w:tcW w:type="dxa" w:w="737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B03</w:t>
            </w:r>
          </w:p>
        </w:tc>
        <w:tc>
          <w:tcPr>
            <w:tcW w:type="dxa" w:w="1247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A1→A2</w:t>
            </w:r>
          </w:p>
        </w:tc>
        <w:tc>
          <w:tcPr>
            <w:tcW w:type="dxa" w:w="2948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Founder has direct logistics buyers but no idea.</w:t>
            </w:r>
          </w:p>
        </w:tc>
        <w:tc>
          <w:tcPr>
            <w:tcW w:type="dxa" w:w="1020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PASS</w:t>
            </w:r>
          </w:p>
        </w:tc>
        <w:tc>
          <w:tcPr>
            <w:tcW w:type="dxa" w:w="3515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A1 passes reachability/strong cards; A2 searches opportunity spaces, not random ideas.</w:t>
            </w:r>
          </w:p>
        </w:tc>
      </w:tr>
      <w:tr>
        <w:trPr>
          <w:cantSplit/>
        </w:trPr>
        <w:tc>
          <w:tcPr>
            <w:tcW w:type="dxa" w:w="737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B04</w:t>
            </w:r>
          </w:p>
        </w:tc>
        <w:tc>
          <w:tcPr>
            <w:tcW w:type="dxa" w:w="1247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A1</w:t>
            </w:r>
          </w:p>
        </w:tc>
        <w:tc>
          <w:tcPr>
            <w:tcW w:type="dxa" w:w="2948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Temporary “I hate calls this week.”</w:t>
            </w:r>
          </w:p>
        </w:tc>
        <w:tc>
          <w:tcPr>
            <w:tcW w:type="dxa" w:w="1020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PASS</w:t>
            </w:r>
          </w:p>
        </w:tc>
        <w:tc>
          <w:tcPr>
            <w:tcW w:type="dxa" w:w="3515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Not automatically durable preference or USER_GLOBAL memory.</w:t>
            </w:r>
          </w:p>
        </w:tc>
      </w:tr>
      <w:tr>
        <w:trPr>
          <w:cantSplit/>
        </w:trPr>
        <w:tc>
          <w:tcPr>
            <w:tcW w:type="dxa" w:w="737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B05</w:t>
            </w:r>
          </w:p>
        </w:tc>
        <w:tc>
          <w:tcPr>
            <w:tcW w:type="dxa" w:w="1247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A2</w:t>
            </w:r>
          </w:p>
        </w:tc>
        <w:tc>
          <w:tcPr>
            <w:tcW w:type="dxa" w:w="2948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Huge TAM, no payer/current spending.</w:t>
            </w:r>
          </w:p>
        </w:tc>
        <w:tc>
          <w:tcPr>
            <w:tcW w:type="dxa" w:w="1020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PASS</w:t>
            </w:r>
          </w:p>
        </w:tc>
        <w:tc>
          <w:tcPr>
            <w:tcW w:type="dxa" w:w="3515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TAM does not validate opportunity; payer/transaction logic remains gap.</w:t>
            </w:r>
          </w:p>
        </w:tc>
      </w:tr>
      <w:tr>
        <w:trPr>
          <w:cantSplit/>
        </w:trPr>
        <w:tc>
          <w:tcPr>
            <w:tcW w:type="dxa" w:w="737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B06</w:t>
            </w:r>
          </w:p>
        </w:tc>
        <w:tc>
          <w:tcPr>
            <w:tcW w:type="dxa" w:w="1247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A2</w:t>
            </w:r>
          </w:p>
        </w:tc>
        <w:tc>
          <w:tcPr>
            <w:tcW w:type="dxa" w:w="2948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Established company enters Germany.</w:t>
            </w:r>
          </w:p>
        </w:tc>
        <w:tc>
          <w:tcPr>
            <w:tcW w:type="dxa" w:w="1020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PASS</w:t>
            </w:r>
          </w:p>
        </w:tc>
        <w:tc>
          <w:tcPr>
            <w:tcW w:type="dxa" w:w="3515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OPERATE + VALIDATE preserved; no lifecycle regression.</w:t>
            </w:r>
          </w:p>
        </w:tc>
      </w:tr>
      <w:tr>
        <w:trPr>
          <w:cantSplit/>
        </w:trPr>
        <w:tc>
          <w:tcPr>
            <w:tcW w:type="dxa" w:w="737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B07</w:t>
            </w:r>
          </w:p>
        </w:tc>
        <w:tc>
          <w:tcPr>
            <w:tcW w:type="dxa" w:w="1247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A2</w:t>
            </w:r>
          </w:p>
        </w:tc>
        <w:tc>
          <w:tcPr>
            <w:tcW w:type="dxa" w:w="2948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Two official pages conflict during transition.</w:t>
            </w:r>
          </w:p>
        </w:tc>
        <w:tc>
          <w:tcPr>
            <w:tcW w:type="dxa" w:w="1020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PASS</w:t>
            </w:r>
          </w:p>
        </w:tc>
        <w:tc>
          <w:tcPr>
            <w:tcW w:type="dxa" w:w="3515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Scope/effective-date conflict retained; no silent source selection.</w:t>
            </w:r>
          </w:p>
        </w:tc>
      </w:tr>
      <w:tr>
        <w:trPr>
          <w:cantSplit/>
        </w:trPr>
        <w:tc>
          <w:tcPr>
            <w:tcW w:type="dxa" w:w="737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B08</w:t>
            </w:r>
          </w:p>
        </w:tc>
        <w:tc>
          <w:tcPr>
            <w:tcW w:type="dxa" w:w="1247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A2</w:t>
            </w:r>
          </w:p>
        </w:tc>
        <w:tc>
          <w:tcPr>
            <w:tcW w:type="dxa" w:w="2948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Only one credible opportunity survives.</w:t>
            </w:r>
          </w:p>
        </w:tc>
        <w:tc>
          <w:tcPr>
            <w:tcW w:type="dxa" w:w="1020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PASS</w:t>
            </w:r>
          </w:p>
        </w:tc>
        <w:tc>
          <w:tcPr>
            <w:tcW w:type="dxa" w:w="3515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No forced 3–6 quota.</w:t>
            </w:r>
          </w:p>
        </w:tc>
      </w:tr>
      <w:tr>
        <w:trPr>
          <w:cantSplit/>
        </w:trPr>
        <w:tc>
          <w:tcPr>
            <w:tcW w:type="dxa" w:w="737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B09</w:t>
            </w:r>
          </w:p>
        </w:tc>
        <w:tc>
          <w:tcPr>
            <w:tcW w:type="dxa" w:w="1247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A2→A3</w:t>
            </w:r>
          </w:p>
        </w:tc>
        <w:tc>
          <w:tcPr>
            <w:tcW w:type="dxa" w:w="2948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Opportunity has pain/payment logic and reachability.</w:t>
            </w:r>
          </w:p>
        </w:tc>
        <w:tc>
          <w:tcPr>
            <w:tcW w:type="dxa" w:w="1020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PASS</w:t>
            </w:r>
          </w:p>
        </w:tc>
        <w:tc>
          <w:tcPr>
            <w:tcW w:type="dxa" w:w="3515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A3 receives bounded Opportunity Space and designs concrete commercial hypothesis.</w:t>
            </w:r>
          </w:p>
        </w:tc>
      </w:tr>
      <w:tr>
        <w:trPr>
          <w:cantSplit/>
        </w:trPr>
        <w:tc>
          <w:tcPr>
            <w:tcW w:type="dxa" w:w="737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B10</w:t>
            </w:r>
          </w:p>
        </w:tc>
        <w:tc>
          <w:tcPr>
            <w:tcW w:type="dxa" w:w="1247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A3</w:t>
            </w:r>
          </w:p>
        </w:tc>
        <w:tc>
          <w:tcPr>
            <w:tcW w:type="dxa" w:w="2948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User already has one specific venture.</w:t>
            </w:r>
          </w:p>
        </w:tc>
        <w:tc>
          <w:tcPr>
            <w:tcW w:type="dxa" w:w="1020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PASS</w:t>
            </w:r>
          </w:p>
        </w:tc>
        <w:tc>
          <w:tcPr>
            <w:tcW w:type="dxa" w:w="3515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Refines one; legacy EXACTLY THREE deprecated.</w:t>
            </w:r>
          </w:p>
        </w:tc>
      </w:tr>
      <w:tr>
        <w:trPr>
          <w:cantSplit/>
        </w:trPr>
        <w:tc>
          <w:tcPr>
            <w:tcW w:type="dxa" w:w="737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B11</w:t>
            </w:r>
          </w:p>
        </w:tc>
        <w:tc>
          <w:tcPr>
            <w:tcW w:type="dxa" w:w="1247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A3</w:t>
            </w:r>
          </w:p>
        </w:tc>
        <w:tc>
          <w:tcPr>
            <w:tcW w:type="dxa" w:w="2948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Insufficient customer/payer info.</w:t>
            </w:r>
          </w:p>
        </w:tc>
        <w:tc>
          <w:tcPr>
            <w:tcW w:type="dxa" w:w="1020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PASS</w:t>
            </w:r>
          </w:p>
        </w:tc>
        <w:tc>
          <w:tcPr>
            <w:tcW w:type="dxa" w:w="3515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Returns upstream gap rather than fabricating project.</w:t>
            </w:r>
          </w:p>
        </w:tc>
      </w:tr>
      <w:tr>
        <w:trPr>
          <w:cantSplit/>
        </w:trPr>
        <w:tc>
          <w:tcPr>
            <w:tcW w:type="dxa" w:w="737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B12</w:t>
            </w:r>
          </w:p>
        </w:tc>
        <w:tc>
          <w:tcPr>
            <w:tcW w:type="dxa" w:w="1247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A3</w:t>
            </w:r>
          </w:p>
        </w:tc>
        <w:tc>
          <w:tcPr>
            <w:tcW w:type="dxa" w:w="2948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WTP high but no distribution.</w:t>
            </w:r>
          </w:p>
        </w:tc>
        <w:tc>
          <w:tcPr>
            <w:tcW w:type="dxa" w:w="1020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PASS</w:t>
            </w:r>
          </w:p>
        </w:tc>
        <w:tc>
          <w:tcPr>
            <w:tcW w:type="dxa" w:w="3515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Models gate/dependency; no additive compensation.</w:t>
            </w:r>
          </w:p>
        </w:tc>
      </w:tr>
      <w:tr>
        <w:trPr>
          <w:cantSplit/>
        </w:trPr>
        <w:tc>
          <w:tcPr>
            <w:tcW w:type="dxa" w:w="737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B13</w:t>
            </w:r>
          </w:p>
        </w:tc>
        <w:tc>
          <w:tcPr>
            <w:tcW w:type="dxa" w:w="1247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A3→A7</w:t>
            </w:r>
          </w:p>
        </w:tc>
        <w:tc>
          <w:tcPr>
            <w:tcW w:type="dxa" w:w="2948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Manual paid pilot can test before software build.</w:t>
            </w:r>
          </w:p>
        </w:tc>
        <w:tc>
          <w:tcPr>
            <w:tcW w:type="dxa" w:w="1020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PASS</w:t>
            </w:r>
          </w:p>
        </w:tc>
        <w:tc>
          <w:tcPr>
            <w:tcW w:type="dxa" w:w="3515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A3 proposes staged option/critical belief; A7 owns full experiment/stop rule.</w:t>
            </w:r>
          </w:p>
        </w:tc>
      </w:tr>
      <w:tr>
        <w:trPr>
          <w:cantSplit/>
        </w:trPr>
        <w:tc>
          <w:tcPr>
            <w:tcW w:type="dxa" w:w="737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B14</w:t>
            </w:r>
          </w:p>
        </w:tc>
        <w:tc>
          <w:tcPr>
            <w:tcW w:type="dxa" w:w="1247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A3→A5</w:t>
            </w:r>
          </w:p>
        </w:tc>
        <w:tc>
          <w:tcPr>
            <w:tcW w:type="dxa" w:w="2948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Price and margin are assumptions.</w:t>
            </w:r>
          </w:p>
        </w:tc>
        <w:tc>
          <w:tcPr>
            <w:tcW w:type="dxa" w:w="1020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PASS</w:t>
            </w:r>
          </w:p>
        </w:tc>
        <w:tc>
          <w:tcPr>
            <w:tcW w:type="dxa" w:w="3515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A3 labels proposals; A5 models scenarios without treating design numbers as facts.</w:t>
            </w:r>
          </w:p>
        </w:tc>
      </w:tr>
      <w:tr>
        <w:trPr>
          <w:cantSplit/>
        </w:trPr>
        <w:tc>
          <w:tcPr>
            <w:tcW w:type="dxa" w:w="737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B15</w:t>
            </w:r>
          </w:p>
        </w:tc>
        <w:tc>
          <w:tcPr>
            <w:tcW w:type="dxa" w:w="1247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A5</w:t>
            </w:r>
          </w:p>
        </w:tc>
        <w:tc>
          <w:tcPr>
            <w:tcW w:type="dxa" w:w="2948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GMV $10M, take rate 10%.</w:t>
            </w:r>
          </w:p>
        </w:tc>
        <w:tc>
          <w:tcPr>
            <w:tcW w:type="dxa" w:w="1020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PASS</w:t>
            </w:r>
          </w:p>
        </w:tc>
        <w:tc>
          <w:tcPr>
            <w:tcW w:type="dxa" w:w="3515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GMV separated from revenue; cost/fee economics explicit.</w:t>
            </w:r>
          </w:p>
        </w:tc>
      </w:tr>
      <w:tr>
        <w:trPr>
          <w:cantSplit/>
        </w:trPr>
        <w:tc>
          <w:tcPr>
            <w:tcW w:type="dxa" w:w="737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B16</w:t>
            </w:r>
          </w:p>
        </w:tc>
        <w:tc>
          <w:tcPr>
            <w:tcW w:type="dxa" w:w="1247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A5</w:t>
            </w:r>
          </w:p>
        </w:tc>
        <w:tc>
          <w:tcPr>
            <w:tcW w:type="dxa" w:w="2948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CAC unknown, user asks for LTV/CAC.</w:t>
            </w:r>
          </w:p>
        </w:tc>
        <w:tc>
          <w:tcPr>
            <w:tcW w:type="dxa" w:w="1020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PASS</w:t>
            </w:r>
          </w:p>
        </w:tc>
        <w:tc>
          <w:tcPr>
            <w:tcW w:type="dxa" w:w="3515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UNKNOWN retained; no invented ratio.</w:t>
            </w:r>
          </w:p>
        </w:tc>
      </w:tr>
      <w:tr>
        <w:trPr>
          <w:cantSplit/>
        </w:trPr>
        <w:tc>
          <w:tcPr>
            <w:tcW w:type="dxa" w:w="737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B17</w:t>
            </w:r>
          </w:p>
        </w:tc>
        <w:tc>
          <w:tcPr>
            <w:tcW w:type="dxa" w:w="1247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A5</w:t>
            </w:r>
          </w:p>
        </w:tc>
        <w:tc>
          <w:tcPr>
            <w:tcW w:type="dxa" w:w="2948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Profit positive but 120-day collection and supplier prepay.</w:t>
            </w:r>
          </w:p>
        </w:tc>
        <w:tc>
          <w:tcPr>
            <w:tcW w:type="dxa" w:w="1020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PASS</w:t>
            </w:r>
          </w:p>
        </w:tc>
        <w:tc>
          <w:tcPr>
            <w:tcW w:type="dxa" w:w="3515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Working-capital/runway risk exposed; cash flow not equated with profit.</w:t>
            </w:r>
          </w:p>
        </w:tc>
      </w:tr>
      <w:tr>
        <w:trPr>
          <w:cantSplit/>
        </w:trPr>
        <w:tc>
          <w:tcPr>
            <w:tcW w:type="dxa" w:w="737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B18</w:t>
            </w:r>
          </w:p>
        </w:tc>
        <w:tc>
          <w:tcPr>
            <w:tcW w:type="dxa" w:w="1247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A5</w:t>
            </w:r>
          </w:p>
        </w:tc>
        <w:tc>
          <w:tcPr>
            <w:tcW w:type="dxa" w:w="2948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LLM suggests 70% margin as SaaS default.</w:t>
            </w:r>
          </w:p>
        </w:tc>
        <w:tc>
          <w:tcPr>
            <w:tcW w:type="dxa" w:w="1020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PASS</w:t>
            </w:r>
          </w:p>
        </w:tc>
        <w:tc>
          <w:tcPr>
            <w:tcW w:type="dxa" w:w="3515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Parameter remains PROPOSED/POLICY_DEFAULT as applicable; not approved truth.</w:t>
            </w:r>
          </w:p>
        </w:tc>
      </w:tr>
      <w:tr>
        <w:trPr>
          <w:cantSplit/>
        </w:trPr>
        <w:tc>
          <w:tcPr>
            <w:tcW w:type="dxa" w:w="737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B19</w:t>
            </w:r>
          </w:p>
        </w:tc>
        <w:tc>
          <w:tcPr>
            <w:tcW w:type="dxa" w:w="1247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A2→A3→A5</w:t>
            </w:r>
          </w:p>
        </w:tc>
        <w:tc>
          <w:tcPr>
            <w:tcW w:type="dxa" w:w="2948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One annual contract supports Problem/WTP/Demand and observed price.</w:t>
            </w:r>
          </w:p>
        </w:tc>
        <w:tc>
          <w:tcPr>
            <w:tcW w:type="dxa" w:w="1020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PASS</w:t>
            </w:r>
          </w:p>
        </w:tc>
        <w:tc>
          <w:tcPr>
            <w:tcW w:type="dxa" w:w="3515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Shared-signal lineage preserved; A5 can use observed price without tripling evidential weight.</w:t>
            </w:r>
          </w:p>
        </w:tc>
      </w:tr>
      <w:tr>
        <w:trPr>
          <w:cantSplit/>
        </w:trPr>
        <w:tc>
          <w:tcPr>
            <w:tcW w:type="dxa" w:w="737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B20</w:t>
            </w:r>
          </w:p>
        </w:tc>
        <w:tc>
          <w:tcPr>
            <w:tcW w:type="dxa" w:w="1247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A1→A3→A5</w:t>
            </w:r>
          </w:p>
        </w:tc>
        <w:tc>
          <w:tcPr>
            <w:tcW w:type="dxa" w:w="2948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No-debt hard red line, growth design requires debt.</w:t>
            </w:r>
          </w:p>
        </w:tc>
        <w:tc>
          <w:tcPr>
            <w:tcW w:type="dxa" w:w="1020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PASS</w:t>
            </w:r>
          </w:p>
        </w:tc>
        <w:tc>
          <w:tcPr>
            <w:tcW w:type="dxa" w:w="3515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Constraint is surfaced upstream and cannot be offset by high economic upside.</w:t>
            </w:r>
          </w:p>
        </w:tc>
      </w:tr>
      <w:tr>
        <w:trPr>
          <w:cantSplit/>
        </w:trPr>
        <w:tc>
          <w:tcPr>
            <w:tcW w:type="dxa" w:w="737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B21</w:t>
            </w:r>
          </w:p>
        </w:tc>
        <w:tc>
          <w:tcPr>
            <w:tcW w:type="dxa" w:w="1247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Cross</w:t>
            </w:r>
          </w:p>
        </w:tc>
        <w:tc>
          <w:tcPr>
            <w:tcW w:type="dxa" w:w="2948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User requests exact 73% success probability.</w:t>
            </w:r>
          </w:p>
        </w:tc>
        <w:tc>
          <w:tcPr>
            <w:tcW w:type="dxa" w:w="1020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PASS</w:t>
            </w:r>
          </w:p>
        </w:tc>
        <w:tc>
          <w:tcPr>
            <w:tcW w:type="dxa" w:w="3515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No Agent has calibration authority; use support/estimate semantics.</w:t>
            </w:r>
          </w:p>
        </w:tc>
      </w:tr>
      <w:tr>
        <w:trPr>
          <w:cantSplit/>
        </w:trPr>
        <w:tc>
          <w:tcPr>
            <w:tcW w:type="dxa" w:w="737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B22</w:t>
            </w:r>
          </w:p>
        </w:tc>
        <w:tc>
          <w:tcPr>
            <w:tcW w:type="dxa" w:w="1247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Cross</w:t>
            </w:r>
          </w:p>
        </w:tc>
        <w:tc>
          <w:tcPr>
            <w:tcW w:type="dxa" w:w="2948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User tells A3/A5 to “just decide for me.”</w:t>
            </w:r>
          </w:p>
        </w:tc>
        <w:tc>
          <w:tcPr>
            <w:tcW w:type="dxa" w:w="1020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PASS</w:t>
            </w:r>
          </w:p>
        </w:tc>
        <w:tc>
          <w:tcPr>
            <w:tcW w:type="dxa" w:w="3515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Specialists return domain proposals; A0/runtime owns final recommendation.</w:t>
            </w:r>
          </w:p>
        </w:tc>
      </w:tr>
      <w:tr>
        <w:trPr>
          <w:cantSplit/>
        </w:trPr>
        <w:tc>
          <w:tcPr>
            <w:tcW w:type="dxa" w:w="737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B23</w:t>
            </w:r>
          </w:p>
        </w:tc>
        <w:tc>
          <w:tcPr>
            <w:tcW w:type="dxa" w:w="1247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Cross</w:t>
            </w:r>
          </w:p>
        </w:tc>
        <w:tc>
          <w:tcPr>
            <w:tcW w:type="dxa" w:w="2948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A2 current fact changes after A3/A5 cached outputs.</w:t>
            </w:r>
          </w:p>
        </w:tc>
        <w:tc>
          <w:tcPr>
            <w:tcW w:type="dxa" w:w="1020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PASS</w:t>
            </w:r>
          </w:p>
        </w:tc>
        <w:tc>
          <w:tcPr>
            <w:tcW w:type="dxa" w:w="3515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Context/freshness change requires invalidation/rebuild; no stale downstream reuse.</w:t>
            </w:r>
          </w:p>
        </w:tc>
      </w:tr>
      <w:tr>
        <w:trPr>
          <w:cantSplit/>
        </w:trPr>
        <w:tc>
          <w:tcPr>
            <w:tcW w:type="dxa" w:w="737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B24</w:t>
            </w:r>
          </w:p>
        </w:tc>
        <w:tc>
          <w:tcPr>
            <w:tcW w:type="dxa" w:w="1247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Cross</w:t>
            </w:r>
          </w:p>
        </w:tc>
        <w:tc>
          <w:tcPr>
            <w:tcW w:type="dxa" w:w="2948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High-stakes commitment with unresolved model defect.</w:t>
            </w:r>
          </w:p>
        </w:tc>
        <w:tc>
          <w:tcPr>
            <w:tcW w:type="dxa" w:w="1020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PASS</w:t>
            </w:r>
          </w:p>
        </w:tc>
        <w:tc>
          <w:tcPr>
            <w:tcW w:type="dxa" w:w="3515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A1/A2/A3/A5 provide inputs; A4 CURRENT critic and A0/Stakes gate remain required.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EDF2F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5"/>
              </w:rPr>
              <w:t xml:space="preserve">BATCH 1 CONTRACT GATE  </w:t>
            </w:r>
            <w:r>
              <w:rPr>
                <w:rFonts w:ascii="Noto Sans CJK SC" w:hAnsi="Noto Sans CJK SC" w:eastAsia="Noto Sans CJK SC" w:cs="Noto Sans CJK SC"/>
                <w:color w:val="3C3C3C"/>
                <w:sz w:val="15"/>
              </w:rPr>
              <w:t>Result: 24 / 24 specification-level PASS. This means the four prompts are contract-coherent with V11 v0.2; it does not prove production runtime numerical correctness or tool behavior.</w:t>
            </w:r>
          </w:p>
        </w:tc>
      </w:tr>
    </w:tbl>
    <w:p>
      <w:pPr>
        <w:pStyle w:val="Heading1"/>
      </w:pPr>
      <w:r>
        <w:t>4. LEGACY CONFLICTS CLOSED IN THIS BATCH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</w:trPr>
        <w:tc>
          <w:tcPr>
            <w:tcW w:type="dxa" w:w="4252"/>
            <w:shd w:fill="D9E2F3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Legacy behavior</w:t>
            </w:r>
          </w:p>
        </w:tc>
        <w:tc>
          <w:tcPr>
            <w:tcW w:type="dxa" w:w="5159"/>
            <w:shd w:fill="D9E2F3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V11 resolution</w:t>
            </w:r>
          </w:p>
        </w:tc>
      </w:tr>
      <w:tr>
        <w:trPr>
          <w:cantSplit/>
        </w:trPr>
        <w:tc>
          <w:tcPr>
            <w:tcW w:type="dxa" w:w="4252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A3 EXACTLY THREE projects</w:t>
            </w:r>
          </w:p>
        </w:tc>
        <w:tc>
          <w:tcPr>
            <w:tcW w:type="dxa" w:w="5159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Removed as hard quota; candidate count follows decision value and evidence sufficiency.</w:t>
            </w:r>
          </w:p>
        </w:tc>
      </w:tr>
      <w:tr>
        <w:trPr>
          <w:cantSplit/>
        </w:trPr>
        <w:tc>
          <w:tcPr>
            <w:tcW w:type="dxa" w:w="4252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Opportunity/project composite scores</w:t>
            </w:r>
          </w:p>
        </w:tc>
        <w:tc>
          <w:tcPr>
            <w:tcW w:type="dxa" w:w="5159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Not decision authority; qualitative comparison + explicit uncertainty/rank-change conditions.</w:t>
            </w:r>
          </w:p>
        </w:tc>
      </w:tr>
      <w:tr>
        <w:trPr>
          <w:cantSplit/>
        </w:trPr>
        <w:tc>
          <w:tcPr>
            <w:tcW w:type="dxa" w:w="4252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A1 inferred risk tolerance as founder truth</w:t>
            </w:r>
          </w:p>
        </w:tc>
        <w:tc>
          <w:tcPr>
            <w:tcW w:type="dxa" w:w="5159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Governed Preference proposal; separate from StakesClass.</w:t>
            </w:r>
          </w:p>
        </w:tc>
      </w:tr>
      <w:tr>
        <w:trPr>
          <w:cantSplit/>
        </w:trPr>
        <w:tc>
          <w:tcPr>
            <w:tcW w:type="dxa" w:w="4252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A2 current web fact treated as direct truth</w:t>
            </w:r>
          </w:p>
        </w:tc>
        <w:tc>
          <w:tcPr>
            <w:tcW w:type="dxa" w:w="5159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External Fact freshness/scope/conflict + Observation→Evidence governance.</w:t>
            </w:r>
          </w:p>
        </w:tc>
      </w:tr>
      <w:tr>
        <w:trPr>
          <w:cantSplit/>
        </w:trPr>
        <w:tc>
          <w:tcPr>
            <w:tcW w:type="dxa" w:w="4252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A5 plausible financial defaults silently used as base truth</w:t>
            </w:r>
          </w:p>
        </w:tc>
        <w:tc>
          <w:tcPr>
            <w:tcW w:type="dxa" w:w="5159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Parameter provenance/status + scenario/sensitivity + UNKNOWN allowed.</w:t>
            </w:r>
          </w:p>
        </w:tc>
      </w:tr>
      <w:tr>
        <w:trPr>
          <w:cantSplit/>
        </w:trPr>
        <w:tc>
          <w:tcPr>
            <w:tcW w:type="dxa" w:w="4252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Economics automatically decide venture</w:t>
            </w:r>
          </w:p>
        </w:tc>
        <w:tc>
          <w:tcPr>
            <w:tcW w:type="dxa" w:w="5159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A5 economics separated from Objective/Constraint/Preference/Utility Runtime.</w:t>
            </w:r>
          </w:p>
        </w:tc>
      </w:tr>
    </w:tbl>
    <w:p>
      <w:pPr>
        <w:spacing w:after="0"/>
      </w:pPr>
    </w:p>
    <w:p>
      <w:pPr>
        <w:pStyle w:val="Heading1"/>
      </w:pPr>
      <w:r>
        <w:t>5. REMAINING LIMITATIONS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This batch does not implement Pydantic/service code; runtime behavior must be tested after code exists.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A6, A8, A9 and A10 have not yet been rewritten to the same v0.2 Specialist standard.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A1 FounderProfile canonical schema may still use legacy domain models/adapters; this prompt does not invent a replacement persistence schema.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A2 research source selection depends on available tools/connectors; the prompt defines governance, not web-search implementation.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A5 detailed accounting/tax treatment is domain/jurisdiction-specific; this prompt does not replace accounting/legal advice or deterministic accounting modules.</w:t>
      </w:r>
    </w:p>
    <w:p>
      <w:pPr>
        <w:pStyle w:val="Heading1"/>
      </w:pPr>
      <w:r>
        <w:t>6. NEXT GATE</w:t>
      </w:r>
    </w:p>
    <w:p>
      <w:r>
        <w:rPr>
          <w:rFonts w:ascii="Noto Sans CJK SC" w:hAnsi="Noto Sans CJK SC" w:eastAsia="Noto Sans CJK SC" w:cs="Noto Sans CJK SC"/>
          <w:b w:val="0"/>
          <w:i w:val="0"/>
        </w:rPr>
        <w:t>Proceed to Batch 2 only if these four documents are accepted as freeze candidates. Recommended order: A6 Execution Strategy → A8 Startup Case Intelligence → A9 Founder Matchmaking → A10 Business Plan Architect, followed by a full Specialist cross-regression against A0/Routing/A4/A7/Memory and the Runtime policies.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79" w:right="1020" w:bottom="935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Noto Sans CJK SC" w:hAnsi="Noto Sans CJK SC" w:eastAsia="Noto Sans CJK SC" w:cs="Noto Sans CJK SC"/>
        <w:color w:val="696969"/>
        <w:sz w:val="16"/>
      </w:rPr>
      <w:t xml:space="preserve">Page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rFonts w:ascii="Noto Sans CJK SC" w:hAnsi="Noto Sans CJK SC" w:eastAsia="Noto Sans CJK SC" w:cs="Noto Sans CJK SC"/>
        <w:b/>
        <w:color w:val="696969"/>
        <w:sz w:val="14"/>
      </w:rPr>
      <w:t>VENCERTIA / SPECIALISTS BATCH 1 REGRESSION / v0.1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2" w:line="264" w:lineRule="auto"/>
    </w:pPr>
    <w:rPr>
      <w:rFonts w:ascii="Noto Sans CJK SC" w:hAnsi="Noto Sans CJK SC" w:eastAsia="Noto Sans CJK S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30" w:after="66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82B4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30" w:after="66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24669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30" w:after="66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34343"/>
      <w:sz w:val="1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66" w:line="240" w:lineRule="auto" w:before="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82B4D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romptCode">
    <w:name w:val="Prompt Code"/>
    <w:pPr>
      <w:spacing w:after="22" w:line="240" w:lineRule="auto"/>
    </w:pPr>
    <w:rPr>
      <w:rFonts w:ascii="Noto Sans Mono CJK SC" w:hAnsi="Noto Sans Mono CJK SC" w:eastAsia="Noto Sans Mono CJK SC"/>
      <w:color w:val="2A2A2A"/>
      <w:sz w:val="14"/>
    </w:rPr>
  </w:style>
  <w:style w:type="paragraph" w:customStyle="1" w:styleId="SmallNote">
    <w:name w:val="Small Note"/>
    <w:pPr>
      <w:spacing w:after="40"/>
    </w:pPr>
    <w:rPr>
      <w:rFonts w:ascii="Noto Sans CJK SC" w:hAnsi="Noto Sans CJK SC" w:eastAsia="Noto Sans CJK SC"/>
      <w:color w:val="5C5C5C"/>
      <w:sz w:val="15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Vencertia_V11_Specialists_Batch1_Integrated_Regression_Report_v0.1</dc:title>
  <dc:subject>Vencertia V11 Specialist System Prompt</dc:subject>
  <dc:creator>Vencertia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