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182B4D"/>
          <w:sz w:val="54"/>
        </w:rPr>
        <w:t>Vencertia V11 Specialists Batch 2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324669"/>
          <w:sz w:val="39"/>
        </w:rPr>
        <w:t>V11 System Prompt</w:t>
      </w:r>
    </w:p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8"/>
        </w:rPr>
        <w:t>A6 / A8 / A9 / A10 集成合同回归测试报告</w:t>
      </w:r>
    </w:p>
    <w:p/>
    <w:p>
      <w:pPr>
        <w:jc w:val="center"/>
      </w:pPr>
      <w:r>
        <w:rPr>
          <w:rFonts w:ascii="Noto Sans CJK SC" w:hAnsi="Noto Sans CJK SC" w:eastAsia="Noto Sans CJK SC" w:cs="Noto Sans CJK SC"/>
          <w:b/>
          <w:color w:val="4B4B4B"/>
          <w:sz w:val="20"/>
        </w:rPr>
        <w:t>Version 11.0 / v0.1  ·  System Prompt Draft Freeze Candidate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696969"/>
          <w:sz w:val="18"/>
        </w:rPr>
        <w:t>2026-08-13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09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Field</w:t>
            </w:r>
          </w:p>
        </w:tc>
        <w:tc>
          <w:tcPr>
            <w:tcW w:type="dxa" w:w="737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>Value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Role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Specification-level regression artifact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Normative dependency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V11 Core Protocol v0.1 + Core v0.2 Patch + Schema Specification v0.2 + applicable Runtime Policies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Upstream control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Vencertia Orchestrator V11 v0.2 + Routing V11 v0.2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Legacy baseline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Based on V11 v0.2 Core/Schema/Runtime policies + Batch 1 Specialist freeze candidates + AgentV10.2 preservation baseline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Primary mission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Verify that the second Specialist batch inherits V11 v0.2 governance and composes correctly with A0/A1–A5/A7/Memory without reintroducing legacy roadmap, case-analogy, privacy, match-score or business-plan inflation errors.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Core principle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Specialists may extend domain capability; they may not create parallel truth or decision authority.</w:t>
            </w:r>
          </w:p>
        </w:tc>
      </w:tr>
      <w:tr>
        <w:trPr>
          <w:cantSplit/>
        </w:trPr>
        <w:tc>
          <w:tcPr>
            <w:tcW w:type="dxa" w:w="209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Deployment status</w:t>
            </w:r>
          </w:p>
        </w:tc>
        <w:tc>
          <w:tcPr>
            <w:tcW w:type="dxa" w:w="737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5"/>
              </w:rPr>
              <w:t>Specialist prompt freeze candidate; deterministic calculation, approval, promotion and persistence remain Runtime-owned.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TEST BOUNDARY</w:t>
      </w:r>
    </w:p>
    <w:p>
      <w:r>
        <w:rPr>
          <w:rFonts w:ascii="Noto Sans CJK SC" w:hAnsi="Noto Sans CJK SC" w:eastAsia="Noto Sans CJK SC" w:cs="Noto Sans CJK SC"/>
          <w:b w:val="0"/>
          <w:i w:val="0"/>
        </w:rPr>
        <w:t>This is a specification-level simulation. It tests System Prompt contracts and cross-Agent handoffs. It does not execute production APIs, databases, Pydantic validators, Company Intelligence search, permission services or actual messaging/document persistence.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891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Module</w:t>
            </w:r>
          </w:p>
        </w:tc>
        <w:tc>
          <w:tcPr>
            <w:tcW w:type="dxa" w:w="652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Contract focus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 Execution Strategy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Strategy map vs A7 next action; phase gates; resource/stakes/critic constraints; versioning.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 Startup Case Intelligence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Case ≠ Project Evidence; source/freshness/conflict; transferability; failure/counterexample; Company DB authority.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A9 Founder Matchmaking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Bottleneck-driven matching; mutual value; privacy/permission; no fixed magic score; no auto-contact.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A10 Business Plan Architect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BP downstream of reality; Claim Ledger; maturity/audience; no fabricated traction/forecast; A4/A5/A8 boundaries.</w:t>
            </w:r>
          </w:p>
        </w:tc>
      </w:tr>
      <w:tr>
        <w:trPr>
          <w:cantSplit/>
        </w:trPr>
        <w:tc>
          <w:tcPr>
            <w:tcW w:type="dxa" w:w="2891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Cross-Agent</w:t>
            </w:r>
          </w:p>
        </w:tc>
        <w:tc>
          <w:tcPr>
            <w:tcW w:type="dxa" w:w="65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A6→A7, A8→domain owners, A9→A6/A7, A10 consumes all without becoming truth/decision owner.</w:t>
            </w:r>
          </w:p>
        </w:tc>
      </w:tr>
    </w:tbl>
    <w:p>
      <w:pPr>
        <w:spacing w:after="0"/>
      </w:pPr>
    </w:p>
    <w:p>
      <w:pPr>
        <w:pStyle w:val="Heading1"/>
      </w:pPr>
      <w:r>
        <w:t>2. PASS CRITERIA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A6 does not replace A0 final decision or A7 immediate action; every strategic phase has a decision purpose/gate.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A6 does not hide HIGH/CRITICAL Critic/Stakes blockers inside execution plans.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A8 never treats case similarity/benchmark as Project Evidence or calibrated project probability.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A8 handles source freshness/conflicts and preserves transferability/critical differences.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A9 uses permissioned minimal context, supports NO_MATCH/DEFER and never auto-contacts or exposes private Memory.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A9 legacy matching dimensions may inform ranking, but fixed coefficients are not universal truth.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A10 Business Plan claims remain downstream of canonical Evidence/Model/Financial/Decision stores and do not create maturity.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A10 preserves unresolved model/financial/current-fact risk and separates document readiness from venture success.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All four Agents use dual-axis VentureMode × DecisionPhase and proposal-not-mutation boundaries.</w:t>
      </w:r>
    </w:p>
    <w:p>
      <w:pPr>
        <w:pStyle w:val="Heading1"/>
      </w:pPr>
      <w:r>
        <w:t>3. 24-CASE RESULT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737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ID</w:t>
            </w:r>
          </w:p>
        </w:tc>
        <w:tc>
          <w:tcPr>
            <w:tcW w:type="dxa" w:w="1247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Module</w:t>
            </w:r>
          </w:p>
        </w:tc>
        <w:tc>
          <w:tcPr>
            <w:tcW w:type="dxa" w:w="3005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Scenario</w:t>
            </w:r>
          </w:p>
        </w:tc>
        <w:tc>
          <w:tcPr>
            <w:tcW w:type="dxa" w:w="1020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Result</w:t>
            </w:r>
          </w:p>
        </w:tc>
        <w:tc>
          <w:tcPr>
            <w:tcW w:type="dxa" w:w="345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2"/>
              </w:rPr>
              <w:t>Reason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C01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A6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Existing SaaS already has 30 paying customers; asks for 90-day plan.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Starts from current operating reality; no Day-0 reset.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C02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A6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Team wants sales hires before payment/sales motion is repeatable.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Hiring remains gated; payment/sales-motion phase first.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C03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A6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A4 finds CRITICAL regulatory issue before EU launch.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Launch phase blocked; compliance/remodel/test sequenced; no tactical bypass.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C04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A6→A7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Current phase requires a paid pilot to exit.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A6 defines phase gate/resource envelope; A7 owns exact experiment/stop rule.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C05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A6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One positive raw experiment result arrives.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Does not advance strategy until governed evidence/model update changes the gate.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C06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A6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Founder only has 5 hours/week.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Resource/horizon reduced; no idealized plan.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C07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A8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User asks for 20 famous comparable startups.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Retrieval objective/minimum useful set beats shallow volume/prestige.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C08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A8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Successful analog has different payer/channel/regime.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Similarity does not imply transferability; CONDITIONAL/DO_NOT_TRANSFER as appropriate.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C09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A8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Company failed; article attributes one cause weakly.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Observed event separated from causal attribution/alternatives.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C10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A8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Two official sources conflict on current fee.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Scope/effective date checked; unresolved conflict preserved.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C11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A8→A5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A5 requests margin benchmark.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Benchmark returned with definition/as-of/method/transferability; not project margin.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C12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A8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Project direct evidence conflicts with benchmark.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Project reality wins; benchmark discrepancy used diagnostically.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C13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A9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Founder needs first customers; requests networking suggestions.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DEFER generic networking unless match directly unlocks target customers.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C14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A9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Delivery blocked by certified local installer.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Specific permission-safe resource match can be prioritized.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C15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A9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Candidate is prestigious but lacks needed resource.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Prestige does not compensate for weak complementarity.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C16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A9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Private family/risk constraint would make match explanation clearer.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No outward disclosure without explicit permission; minimal profile.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C17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A9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No candidate meets quality/consent.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NO_MATCH valid; no quota filling.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C18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A9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User asks which single candidate should become cofounder.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Discovery/diligence proposal only; no fit probability/equity/automatic commitment.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C19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A10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Investor BP requested with zero paying customers.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Maturity-honest BP; no traction fabrication.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C20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A10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Uploaded BP says 10 customers; canonical records show 3 paid pilots.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Claim contradiction flagged; uploaded doc not truth.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C21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A10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Competitor margin benchmark copied as our gross margin.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Benchmark/assumption separated; A5 handoff; no project-fact promotion.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C22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A10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A4 HIGH risk omitted from draft.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Readiness downgraded; material finding restored/escalated.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C23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A10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User asks to make forecast “sound certain.”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Improves clarity but preserves forecast/assumption uncertainty.</w:t>
            </w:r>
          </w:p>
        </w:tc>
      </w:tr>
      <w:tr>
        <w:trPr>
          <w:cantSplit/>
        </w:trPr>
        <w:tc>
          <w:tcPr>
            <w:tcW w:type="dxa" w:w="73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C24</w:t>
            </w:r>
          </w:p>
        </w:tc>
        <w:tc>
          <w:tcPr>
            <w:tcW w:type="dxa" w:w="1247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Cross</w:t>
            </w:r>
          </w:p>
        </w:tc>
        <w:tc>
          <w:tcPr>
            <w:tcW w:type="dxa" w:w="3005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Operating company new market → case research → strategy → partner → BP.</w:t>
            </w:r>
          </w:p>
        </w:tc>
        <w:tc>
          <w:tcPr>
            <w:tcW w:type="dxa" w:w="1020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PASS</w:t>
            </w:r>
          </w:p>
        </w:tc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2"/>
              </w:rPr>
              <w:t>OPERATE+VALIDATE preserved; A8 supports A2/A4; A6 phases; A9 only if resource gap; A10 downstream.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BATCH 2 CONTRACT GATE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Result: 24 / 24 specification-level PASS. No P0/P1 contract conflict was found inside Batch 2. This does not prove production permission, Company Intelligence retrieval, persistence or messaging behavior.</w:t>
            </w:r>
          </w:p>
        </w:tc>
      </w:tr>
    </w:tbl>
    <w:p>
      <w:pPr>
        <w:pStyle w:val="Heading1"/>
      </w:pPr>
      <w:r>
        <w:t>4. LEGACY CONFLICTS CLOSED IN THIS BATCH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309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Legacy tendency</w:t>
            </w:r>
          </w:p>
        </w:tc>
        <w:tc>
          <w:tcPr>
            <w:tcW w:type="dxa" w:w="5102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V11 resolution</w:t>
            </w:r>
          </w:p>
        </w:tc>
      </w:tr>
      <w:tr>
        <w:trPr>
          <w:cantSplit/>
        </w:trPr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Every venture gets a standard 90-day arc</w:t>
            </w:r>
          </w:p>
        </w:tc>
        <w:tc>
          <w:tcPr>
            <w:tcW w:type="dxa" w:w="510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 keeps the arc as an early-stage default and adapts horizon to current reality/deadline/stakes.</w:t>
            </w:r>
          </w:p>
        </w:tc>
      </w:tr>
      <w:tr>
        <w:trPr>
          <w:cantSplit/>
        </w:trPr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Strategy can drift into daily task planner</w:t>
            </w:r>
          </w:p>
        </w:tc>
        <w:tc>
          <w:tcPr>
            <w:tcW w:type="dxa" w:w="510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 strategy map and A7 navigation formally separated.</w:t>
            </w:r>
          </w:p>
        </w:tc>
      </w:tr>
      <w:tr>
        <w:trPr>
          <w:cantSplit/>
        </w:trPr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Comparable company success validates project</w:t>
            </w:r>
          </w:p>
        </w:tc>
        <w:tc>
          <w:tcPr>
            <w:tcW w:type="dxa" w:w="510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 explicitly prohibits case→Project Evidence promotion and requires transferability.</w:t>
            </w:r>
          </w:p>
        </w:tc>
      </w:tr>
      <w:tr>
        <w:trPr>
          <w:cantSplit/>
        </w:trPr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Fixed match weights / default match count</w:t>
            </w:r>
          </w:p>
        </w:tc>
        <w:tc>
          <w:tcPr>
            <w:tcW w:type="dxa" w:w="510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A9 retains dimensions but removes universal coefficient/count authority.</w:t>
            </w:r>
          </w:p>
        </w:tc>
      </w:tr>
      <w:tr>
        <w:trPr>
          <w:cantSplit/>
        </w:trPr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Networking as product engagement</w:t>
            </w:r>
          </w:p>
        </w:tc>
        <w:tc>
          <w:tcPr>
            <w:tcW w:type="dxa" w:w="510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A9 requires bottleneck mechanism, mutual value and allows DEFER/NO_MATCH.</w:t>
            </w:r>
          </w:p>
        </w:tc>
      </w:tr>
      <w:tr>
        <w:trPr>
          <w:cantSplit/>
        </w:trPr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Business Plan quality implies business quality</w:t>
            </w:r>
          </w:p>
        </w:tc>
        <w:tc>
          <w:tcPr>
            <w:tcW w:type="dxa" w:w="510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A10 separates document readiness from project evidence/model/decision state.</w:t>
            </w:r>
          </w:p>
        </w:tc>
      </w:tr>
      <w:tr>
        <w:trPr>
          <w:cantSplit/>
        </w:trPr>
        <w:tc>
          <w:tcPr>
            <w:tcW w:type="dxa" w:w="4309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BP can smooth unsupported claims</w:t>
            </w:r>
          </w:p>
        </w:tc>
        <w:tc>
          <w:tcPr>
            <w:tcW w:type="dxa" w:w="5102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A10 Claim Ledger forces correction/qualification/removal.</w:t>
            </w:r>
          </w:p>
        </w:tc>
      </w:tr>
    </w:tbl>
    <w:p>
      <w:pPr>
        <w:spacing w:after="0"/>
      </w:pPr>
    </w:p>
    <w:p>
      <w:pPr>
        <w:pStyle w:val="Heading1"/>
      </w:pPr>
      <w:r>
        <w:t>5. CROSS-BATCH HANDOFF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77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Flow</w:t>
            </w:r>
          </w:p>
        </w:tc>
        <w:tc>
          <w:tcPr>
            <w:tcW w:type="dxa" w:w="6633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Result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 → A6</w:t>
            </w:r>
          </w:p>
        </w:tc>
        <w:tc>
          <w:tcPr>
            <w:tcW w:type="dxa" w:w="663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Founder capacity/constraints become resource envelope inputs, not hidden assumptions.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A2/A3/A5 → A6</w:t>
            </w:r>
          </w:p>
        </w:tc>
        <w:tc>
          <w:tcPr>
            <w:tcW w:type="dxa" w:w="663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Market/model/economics condition strategy; A6 does not recompute their truth.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 → A6/A7</w:t>
            </w:r>
          </w:p>
        </w:tc>
        <w:tc>
          <w:tcPr>
            <w:tcW w:type="dxa" w:w="663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Blocking model findings cannot be bypassed; strategic repair vs bounded test is separated.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 → A7</w:t>
            </w:r>
          </w:p>
        </w:tc>
        <w:tc>
          <w:tcPr>
            <w:tcW w:type="dxa" w:w="663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Phase gate becomes immediate action/experiment target.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A8 → A2/A3/A4/A5/A6</w:t>
            </w:r>
          </w:p>
        </w:tc>
        <w:tc>
          <w:tcPr>
            <w:tcW w:type="dxa" w:w="663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Cases supply hypotheses/benchmarks/counterexamples; domain owner keeps conclusion.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A6/A7 → A9</w:t>
            </w:r>
          </w:p>
        </w:tc>
        <w:tc>
          <w:tcPr>
            <w:tcW w:type="dxa" w:w="663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Match only when a resource/relationship is the actual bottleneck and user control permits.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A1–A9 → A10</w:t>
            </w:r>
          </w:p>
        </w:tc>
        <w:tc>
          <w:tcPr>
            <w:tcW w:type="dxa" w:w="663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A10 projects canonical truth into a document; never becomes a parallel store.</w:t>
            </w:r>
          </w:p>
        </w:tc>
      </w:tr>
      <w:tr>
        <w:trPr>
          <w:cantSplit/>
        </w:trPr>
        <w:tc>
          <w:tcPr>
            <w:tcW w:type="dxa" w:w="277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Outcome/Memory → A10 REVIEW</w:t>
            </w:r>
          </w:p>
        </w:tc>
        <w:tc>
          <w:tcPr>
            <w:tcW w:type="dxa" w:w="663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Later results may inform new version/review; historical BP/Decision snapshots are not hindsight-rewritten.</w:t>
            </w:r>
          </w:p>
        </w:tc>
      </w:tr>
    </w:tbl>
    <w:p>
      <w:pPr>
        <w:spacing w:after="0"/>
      </w:pPr>
    </w:p>
    <w:p>
      <w:pPr>
        <w:pStyle w:val="Heading1"/>
      </w:pPr>
      <w:r>
        <w:t>6. REMAINING IMPLEMENTATION RISKS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A8 relies on Company Intelligence Runtime eligibility, source/conflict and case-mutation permissions; prompt coherence does not prove the runtime enforces them.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A9 requires real consent/privacy filters and controlled action tools. A prompt alone cannot protect against an incorrectly permissioned database/API.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A6 phase/strategy objects are currently conceptual DTOs unless the code/schema implementation creates canonical equivalents/adapters.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A10 document artifacts and Claim Ledger need a persistence/versioning design if they are to become product features; this prompt does not designate BP text as canonical project truth.</w:t>
      </w:r>
    </w:p>
    <w:p>
      <w:pPr>
        <w:ind w:left="283" w:hanging="170"/>
      </w:pPr>
      <w:r>
        <w:rPr>
          <w:rFonts w:ascii="Noto Sans CJK SC" w:hAnsi="Noto Sans CJK SC" w:eastAsia="Noto Sans CJK SC" w:cs="Noto Sans CJK SC"/>
          <w:b/>
        </w:rPr>
        <w:t xml:space="preserve">• </w:t>
      </w:r>
      <w:r>
        <w:rPr>
          <w:rFonts w:ascii="Noto Sans CJK SC" w:hAnsi="Noto Sans CJK SC" w:eastAsia="Noto Sans CJK SC" w:cs="Noto Sans CJK SC"/>
        </w:rPr>
        <w:t>End-to-end production validation still requires executable schemas/services and black-box tests over all agents and mutation boundaries.</w:t>
      </w:r>
    </w:p>
    <w:p>
      <w:pPr>
        <w:pStyle w:val="Heading1"/>
      </w:pPr>
      <w:r>
        <w:t>7. FULL SPECIALIST SET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458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Group</w:t>
            </w:r>
          </w:p>
        </w:tc>
        <w:tc>
          <w:tcPr>
            <w:tcW w:type="dxa" w:w="5953"/>
            <w:shd w:fill="D9E2F3"/>
            <w:tcMar>
              <w:top w:w="85" w:type="dxa"/>
              <w:start w:w="105" w:type="dxa"/>
              <w:bottom w:w="85" w:type="dxa"/>
              <w:end w:w="105" w:type="dxa"/>
            </w:tcMar>
            <w:vAlign w:val="center"/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A0 / Routing</w:t>
            </w:r>
          </w:p>
        </w:tc>
        <w:tc>
          <w:tcPr>
            <w:tcW w:type="dxa" w:w="595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v0.2 complete.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A1 / A2 / A3 / A5</w:t>
            </w:r>
          </w:p>
        </w:tc>
        <w:tc>
          <w:tcPr>
            <w:tcW w:type="dxa" w:w="595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Batch 1 freeze candidates; 24/24 specification regression.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A4 Model Critic / A7 Next Action</w:t>
            </w:r>
          </w:p>
        </w:tc>
        <w:tc>
          <w:tcPr>
            <w:tcW w:type="dxa" w:w="595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v0.2 complete.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A6 / A8 / A9 / A10</w:t>
            </w:r>
          </w:p>
        </w:tc>
        <w:tc>
          <w:tcPr>
            <w:tcW w:type="dxa" w:w="595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Batch 2 freeze candidates; 24/24 specification regression.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Memory Write</w:t>
            </w:r>
          </w:p>
        </w:tc>
        <w:tc>
          <w:tcPr>
            <w:tcW w:type="dxa" w:w="595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V11 v0.2 complete.</w:t>
            </w:r>
          </w:p>
        </w:tc>
      </w:tr>
      <w:tr>
        <w:trPr>
          <w:cantSplit/>
        </w:trPr>
        <w:tc>
          <w:tcPr>
            <w:tcW w:type="dxa" w:w="3458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Remaining major prompt gap</w:t>
            </w:r>
          </w:p>
        </w:tc>
        <w:tc>
          <w:tcPr>
            <w:tcW w:type="dxa" w:w="5953"/>
            <w:tcMar>
              <w:top w:w="85" w:type="dxa"/>
              <w:start w:w="105" w:type="dxa"/>
              <w:bottom w:w="85" w:type="dxa"/>
              <w:end w:w="105" w:type="dxa"/>
            </w:tcMar>
            <w:vAlign w:val="top"/>
          </w:tcPr>
          <w:p>
            <w:r>
              <w:rPr>
                <w:rFonts w:ascii="Noto Sans CJK SC" w:hAnsi="Noto Sans CJK SC" w:eastAsia="Noto Sans CJK SC" w:cs="Noto Sans CJK SC"/>
                <w:sz w:val="14"/>
              </w:rPr>
              <w:t>State Transition V11 has not yet been rewritten in this Specialist batch sequence; production schema/runtime code still required.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  <w:tblHeader/>
        </w:trPr>
        <w:tc>
          <w:tcPr>
            <w:tcW w:type="dxa" w:w="9866"/>
            <w:shd w:fill="EDF2F8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Noto Sans CJK SC" w:hAnsi="Noto Sans CJK SC" w:eastAsia="Noto Sans CJK SC" w:cs="Noto Sans CJK SC"/>
                <w:b/>
                <w:color w:val="182B4D"/>
                <w:sz w:val="15"/>
              </w:rPr>
              <w:t xml:space="preserve">NEXT GATE  </w:t>
            </w:r>
            <w:r>
              <w:rPr>
                <w:rFonts w:ascii="Noto Sans CJK SC" w:hAnsi="Noto Sans CJK SC" w:eastAsia="Noto Sans CJK SC" w:cs="Noto Sans CJK SC"/>
                <w:color w:val="3C3C3C"/>
                <w:sz w:val="15"/>
              </w:rPr>
              <w:t>After Batch 2, the next prompt-level task should be a full-suite cross-regression and an explicit review of the legacy State Transition contract, because state mutation is a deterministic authority boundary rather than an ordinary Specialist.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79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 w:cs="Noto Sans CJK SC"/>
        <w:color w:val="696969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CJK SC" w:hAnsi="Noto Sans CJK SC" w:eastAsia="Noto Sans CJK SC" w:cs="Noto Sans CJK SC"/>
        <w:b/>
        <w:color w:val="696969"/>
        <w:sz w:val="14"/>
      </w:rPr>
      <w:t>VENCERTIA / SPECIALISTS BATCH 2 REGRESSION /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2" w:line="264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30" w:after="66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30" w:after="66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30" w:after="66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3434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6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Code">
    <w:name w:val="Prompt Code"/>
    <w:pPr>
      <w:spacing w:after="22" w:line="240" w:lineRule="auto"/>
    </w:pPr>
    <w:rPr>
      <w:rFonts w:ascii="Noto Sans Mono CJK SC" w:hAnsi="Noto Sans Mono CJK SC" w:eastAsia="Noto Sans Mono CJK SC"/>
      <w:color w:val="2A2A2A"/>
      <w:sz w:val="14"/>
    </w:rPr>
  </w:style>
  <w:style w:type="paragraph" w:customStyle="1" w:styleId="SmallNote">
    <w:name w:val="Small Note"/>
    <w:pPr>
      <w:spacing w:after="40"/>
    </w:pPr>
    <w:rPr>
      <w:rFonts w:ascii="Noto Sans CJK SC" w:hAnsi="Noto Sans CJK SC" w:eastAsia="Noto Sans CJK SC"/>
      <w:color w:val="5C5C5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Vencertia_V11_Specialists_Batch2_Integrated_Regression_Report_v0.1</dc:title>
  <dc:subject>Vencertia V11 Specialist System Prompt</dc:subject>
  <dc:creator>Vencertia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