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 w:val="28"/>
          <w:szCs w:val="28"/>
        </w:rPr>
      </w:pPr>
      <w:r>
        <w:rPr>
          <w:rFonts w:hint="eastAsia" w:ascii="宋体" w:hAnsi="宋体"/>
          <w:sz w:val="28"/>
          <w:szCs w:val="28"/>
        </w:rPr>
        <w:t>附件1：软件测试赛项设备采购清单</w:t>
      </w:r>
    </w:p>
    <w:p>
      <w:pPr>
        <w:jc w:val="left"/>
        <w:rPr>
          <w:rFonts w:hint="eastAsia"/>
          <w:b/>
          <w:sz w:val="28"/>
          <w:szCs w:val="28"/>
        </w:rPr>
      </w:pPr>
    </w:p>
    <w:tbl>
      <w:tblPr>
        <w:tblStyle w:val="3"/>
        <w:tblW w:w="8291" w:type="dxa"/>
        <w:tblInd w:w="93" w:type="dxa"/>
        <w:tblLayout w:type="fixed"/>
        <w:tblCellMar>
          <w:top w:w="0" w:type="dxa"/>
          <w:left w:w="108" w:type="dxa"/>
          <w:bottom w:w="0" w:type="dxa"/>
          <w:right w:w="108" w:type="dxa"/>
        </w:tblCellMar>
      </w:tblPr>
      <w:tblGrid>
        <w:gridCol w:w="724"/>
        <w:gridCol w:w="1843"/>
        <w:gridCol w:w="2977"/>
        <w:gridCol w:w="708"/>
        <w:gridCol w:w="1016"/>
        <w:gridCol w:w="1023"/>
      </w:tblGrid>
      <w:tr>
        <w:tblPrEx>
          <w:tblLayout w:type="fixed"/>
          <w:tblCellMar>
            <w:top w:w="0" w:type="dxa"/>
            <w:left w:w="108" w:type="dxa"/>
            <w:bottom w:w="0" w:type="dxa"/>
            <w:right w:w="108" w:type="dxa"/>
          </w:tblCellMar>
        </w:tblPrEx>
        <w:trPr>
          <w:trHeight w:val="675" w:hRule="atLeast"/>
        </w:trPr>
        <w:tc>
          <w:tcPr>
            <w:tcW w:w="8291" w:type="dxa"/>
            <w:gridSpan w:val="6"/>
            <w:tcBorders>
              <w:top w:val="nil"/>
              <w:left w:val="nil"/>
              <w:bottom w:val="single" w:color="auto" w:sz="8" w:space="0"/>
              <w:right w:val="nil"/>
            </w:tcBorders>
            <w:shd w:val="clear" w:color="auto" w:fill="auto"/>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2017年江苏省高职院校软件测试技能大赛配置清单</w:t>
            </w:r>
          </w:p>
        </w:tc>
      </w:tr>
      <w:tr>
        <w:tblPrEx>
          <w:tblLayout w:type="fixed"/>
          <w:tblCellMar>
            <w:top w:w="0" w:type="dxa"/>
            <w:left w:w="108" w:type="dxa"/>
            <w:bottom w:w="0" w:type="dxa"/>
            <w:right w:w="108" w:type="dxa"/>
          </w:tblCellMar>
        </w:tblPrEx>
        <w:trPr>
          <w:trHeight w:val="390" w:hRule="atLeast"/>
        </w:trPr>
        <w:tc>
          <w:tcPr>
            <w:tcW w:w="724"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序号</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名称</w:t>
            </w:r>
          </w:p>
        </w:tc>
        <w:tc>
          <w:tcPr>
            <w:tcW w:w="297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描述</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数量</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b/>
                <w:bCs/>
                <w:color w:val="000000"/>
                <w:kern w:val="0"/>
                <w:sz w:val="22"/>
                <w:szCs w:val="22"/>
              </w:rPr>
            </w:pPr>
            <w:r>
              <w:rPr>
                <w:rFonts w:hint="eastAsia" w:ascii="宋体" w:hAnsi="宋体" w:cs="宋体"/>
                <w:b/>
                <w:bCs/>
                <w:color w:val="000000"/>
                <w:kern w:val="0"/>
                <w:sz w:val="22"/>
                <w:szCs w:val="22"/>
              </w:rPr>
              <w:t>单价</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b/>
                <w:bCs/>
                <w:color w:val="000000"/>
                <w:kern w:val="0"/>
                <w:sz w:val="22"/>
                <w:szCs w:val="22"/>
              </w:rPr>
            </w:pPr>
            <w:r>
              <w:rPr>
                <w:rFonts w:hint="eastAsia" w:ascii="宋体" w:hAnsi="宋体" w:cs="宋体"/>
                <w:b/>
                <w:bCs/>
                <w:color w:val="000000"/>
                <w:kern w:val="0"/>
                <w:sz w:val="22"/>
                <w:szCs w:val="22"/>
              </w:rPr>
              <w:t>小计</w:t>
            </w:r>
          </w:p>
        </w:tc>
      </w:tr>
      <w:tr>
        <w:tblPrEx>
          <w:tblLayout w:type="fixed"/>
          <w:tblCellMar>
            <w:top w:w="0" w:type="dxa"/>
            <w:left w:w="108" w:type="dxa"/>
            <w:bottom w:w="0" w:type="dxa"/>
            <w:right w:w="108" w:type="dxa"/>
          </w:tblCellMar>
        </w:tblPrEx>
        <w:trPr>
          <w:trHeight w:val="270" w:hRule="atLeast"/>
        </w:trPr>
        <w:tc>
          <w:tcPr>
            <w:tcW w:w="724" w:type="dxa"/>
            <w:vMerge w:val="restart"/>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c>
          <w:tcPr>
            <w:tcW w:w="4820"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四合天地软件测试实训系统</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¥150,000</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¥150,000</w:t>
            </w:r>
          </w:p>
        </w:tc>
      </w:tr>
      <w:tr>
        <w:tblPrEx>
          <w:tblLayout w:type="fixed"/>
          <w:tblCellMar>
            <w:top w:w="0" w:type="dxa"/>
            <w:left w:w="108" w:type="dxa"/>
            <w:bottom w:w="0" w:type="dxa"/>
            <w:right w:w="108" w:type="dxa"/>
          </w:tblCellMar>
        </w:tblPrEx>
        <w:trPr>
          <w:trHeight w:val="420" w:hRule="atLeast"/>
        </w:trPr>
        <w:tc>
          <w:tcPr>
            <w:tcW w:w="724" w:type="dxa"/>
            <w:vMerge w:val="continue"/>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1.实训模块</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1.1.C/S结构功能测试实训模块</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724" w:type="dxa"/>
            <w:vMerge w:val="continue"/>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p>
        </w:tc>
        <w:tc>
          <w:tcPr>
            <w:tcW w:w="18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1.2.B/S结构功能测试实训模块</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724" w:type="dxa"/>
            <w:vMerge w:val="continue"/>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p>
        </w:tc>
        <w:tc>
          <w:tcPr>
            <w:tcW w:w="18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1.3.性能测试实训模块</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724" w:type="dxa"/>
            <w:vMerge w:val="continue"/>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p>
        </w:tc>
        <w:tc>
          <w:tcPr>
            <w:tcW w:w="18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1.4.安全测试实训模块</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724" w:type="dxa"/>
            <w:vMerge w:val="continue"/>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p>
        </w:tc>
        <w:tc>
          <w:tcPr>
            <w:tcW w:w="18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1.5.兼容性测试实训模块</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724" w:type="dxa"/>
            <w:vMerge w:val="continue"/>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p>
        </w:tc>
        <w:tc>
          <w:tcPr>
            <w:tcW w:w="18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1.6.安装实训测试</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724" w:type="dxa"/>
            <w:vMerge w:val="continue"/>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p>
        </w:tc>
        <w:tc>
          <w:tcPr>
            <w:tcW w:w="18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1.7.测试环境建立实训模块</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724" w:type="dxa"/>
            <w:vMerge w:val="continue"/>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2.实训任务管理</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2.1.实训任务管理模块</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724" w:type="dxa"/>
            <w:vMerge w:val="continue"/>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p>
        </w:tc>
        <w:tc>
          <w:tcPr>
            <w:tcW w:w="18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2.2.实训任务结果模块</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724" w:type="dxa"/>
            <w:vMerge w:val="continue"/>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p>
        </w:tc>
        <w:tc>
          <w:tcPr>
            <w:tcW w:w="184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3.实训功能模块管理</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3.1.实训功能模块管理</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724"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2</w:t>
            </w:r>
          </w:p>
        </w:tc>
        <w:tc>
          <w:tcPr>
            <w:tcW w:w="184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bCs/>
                <w:color w:val="000000"/>
                <w:kern w:val="0"/>
                <w:sz w:val="20"/>
                <w:szCs w:val="20"/>
              </w:rPr>
            </w:pPr>
            <w:r>
              <w:rPr>
                <w:rFonts w:hint="eastAsia" w:ascii="宋体" w:hAnsi="宋体" w:cs="宋体"/>
                <w:bCs/>
                <w:color w:val="000000"/>
                <w:kern w:val="0"/>
                <w:sz w:val="20"/>
                <w:szCs w:val="20"/>
              </w:rPr>
              <w:t>服务器</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cs="宋体"/>
                <w:kern w:val="0"/>
                <w:sz w:val="20"/>
                <w:szCs w:val="20"/>
              </w:rPr>
            </w:pPr>
            <w:r>
              <w:rPr>
                <w:rFonts w:hint="eastAsia" w:ascii="宋体" w:hAnsi="宋体" w:cs="宋体"/>
                <w:kern w:val="0"/>
                <w:sz w:val="20"/>
                <w:szCs w:val="20"/>
              </w:rPr>
              <w:t>至强13系列以上</w:t>
            </w:r>
          </w:p>
          <w:p>
            <w:pPr>
              <w:widowControl/>
              <w:jc w:val="left"/>
              <w:rPr>
                <w:rFonts w:ascii="宋体" w:hAnsi="宋体" w:cs="宋体"/>
                <w:kern w:val="0"/>
                <w:sz w:val="20"/>
                <w:szCs w:val="20"/>
              </w:rPr>
            </w:pPr>
            <w:r>
              <w:rPr>
                <w:rFonts w:hint="eastAsia" w:ascii="宋体" w:hAnsi="宋体" w:cs="宋体"/>
                <w:kern w:val="0"/>
                <w:sz w:val="20"/>
                <w:szCs w:val="20"/>
              </w:rPr>
              <w:t>8</w:t>
            </w:r>
            <w:r>
              <w:rPr>
                <w:rFonts w:ascii="宋体" w:hAnsi="宋体" w:cs="宋体"/>
                <w:kern w:val="0"/>
                <w:sz w:val="20"/>
                <w:szCs w:val="20"/>
              </w:rPr>
              <w:t>GB</w:t>
            </w:r>
            <w:r>
              <w:rPr>
                <w:rFonts w:hint="eastAsia" w:ascii="宋体" w:hAnsi="宋体" w:cs="宋体"/>
                <w:kern w:val="0"/>
                <w:sz w:val="20"/>
                <w:szCs w:val="20"/>
              </w:rPr>
              <w:t>以上</w:t>
            </w:r>
            <w:r>
              <w:rPr>
                <w:rFonts w:ascii="宋体" w:hAnsi="宋体" w:cs="宋体"/>
                <w:kern w:val="0"/>
                <w:sz w:val="20"/>
                <w:szCs w:val="20"/>
              </w:rPr>
              <w:t xml:space="preserve"> DDR3 * 4</w:t>
            </w:r>
          </w:p>
          <w:p>
            <w:pPr>
              <w:widowControl/>
              <w:jc w:val="left"/>
              <w:rPr>
                <w:rFonts w:ascii="宋体" w:hAnsi="宋体" w:cs="宋体"/>
                <w:color w:val="000000"/>
                <w:kern w:val="0"/>
                <w:sz w:val="22"/>
                <w:szCs w:val="22"/>
              </w:rPr>
            </w:pPr>
            <w:r>
              <w:rPr>
                <w:rFonts w:hint="eastAsia" w:ascii="宋体" w:hAnsi="宋体" w:cs="宋体"/>
                <w:kern w:val="0"/>
                <w:sz w:val="20"/>
                <w:szCs w:val="20"/>
              </w:rPr>
              <w:t>1</w:t>
            </w:r>
            <w:r>
              <w:rPr>
                <w:rFonts w:ascii="宋体" w:hAnsi="宋体" w:cs="宋体"/>
                <w:kern w:val="0"/>
                <w:sz w:val="20"/>
                <w:szCs w:val="20"/>
              </w:rPr>
              <w:t>T</w:t>
            </w:r>
            <w:r>
              <w:rPr>
                <w:rFonts w:hint="eastAsia" w:ascii="宋体" w:hAnsi="宋体" w:cs="宋体"/>
                <w:kern w:val="0"/>
                <w:sz w:val="20"/>
                <w:szCs w:val="20"/>
              </w:rPr>
              <w:t>B以上</w:t>
            </w:r>
            <w:r>
              <w:rPr>
                <w:rFonts w:ascii="宋体" w:hAnsi="宋体" w:cs="宋体"/>
                <w:kern w:val="0"/>
                <w:sz w:val="20"/>
                <w:szCs w:val="20"/>
              </w:rPr>
              <w:t xml:space="preserve"> SATA</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c>
          <w:tcPr>
            <w:tcW w:w="1016"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赠送</w:t>
            </w:r>
          </w:p>
        </w:tc>
        <w:tc>
          <w:tcPr>
            <w:tcW w:w="1023" w:type="dxa"/>
            <w:tcBorders>
              <w:top w:val="nil"/>
              <w:left w:val="nil"/>
              <w:bottom w:val="single" w:color="auto" w:sz="4" w:space="0"/>
              <w:right w:val="single" w:color="auto" w:sz="8"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¥0</w:t>
            </w:r>
          </w:p>
        </w:tc>
      </w:tr>
      <w:tr>
        <w:tblPrEx>
          <w:tblLayout w:type="fixed"/>
          <w:tblCellMar>
            <w:top w:w="0" w:type="dxa"/>
            <w:left w:w="108" w:type="dxa"/>
            <w:bottom w:w="0" w:type="dxa"/>
            <w:right w:w="108" w:type="dxa"/>
          </w:tblCellMar>
        </w:tblPrEx>
        <w:trPr>
          <w:trHeight w:val="285" w:hRule="atLeast"/>
        </w:trPr>
        <w:tc>
          <w:tcPr>
            <w:tcW w:w="7268" w:type="dxa"/>
            <w:gridSpan w:val="5"/>
            <w:tcBorders>
              <w:top w:val="nil"/>
              <w:left w:val="single" w:color="auto" w:sz="8" w:space="0"/>
              <w:bottom w:val="single" w:color="auto" w:sz="8" w:space="0"/>
              <w:right w:val="single" w:color="auto" w:sz="4" w:space="0"/>
            </w:tcBorders>
            <w:shd w:val="clear" w:color="auto" w:fill="auto"/>
            <w:vAlign w:val="center"/>
          </w:tcPr>
          <w:p>
            <w:pPr>
              <w:widowControl/>
              <w:jc w:val="center"/>
              <w:rPr>
                <w:rFonts w:hint="eastAsia" w:ascii="宋体" w:hAnsi="宋体" w:cs="宋体"/>
                <w:b/>
                <w:bCs/>
                <w:color w:val="000000"/>
                <w:kern w:val="0"/>
                <w:sz w:val="22"/>
                <w:szCs w:val="22"/>
              </w:rPr>
            </w:pPr>
            <w:r>
              <w:rPr>
                <w:rFonts w:hint="eastAsia" w:ascii="宋体" w:hAnsi="宋体" w:cs="宋体"/>
                <w:b/>
                <w:bCs/>
                <w:color w:val="000000"/>
                <w:kern w:val="0"/>
                <w:sz w:val="22"/>
                <w:szCs w:val="22"/>
              </w:rPr>
              <w:t>合计</w:t>
            </w:r>
          </w:p>
        </w:tc>
        <w:tc>
          <w:tcPr>
            <w:tcW w:w="1023" w:type="dxa"/>
            <w:tcBorders>
              <w:top w:val="nil"/>
              <w:left w:val="nil"/>
              <w:bottom w:val="single" w:color="auto" w:sz="8" w:space="0"/>
              <w:right w:val="single" w:color="auto" w:sz="8" w:space="0"/>
            </w:tcBorders>
            <w:shd w:val="clear" w:color="auto" w:fill="auto"/>
            <w:vAlign w:val="center"/>
          </w:tcPr>
          <w:p>
            <w:pPr>
              <w:widowControl/>
              <w:jc w:val="right"/>
              <w:rPr>
                <w:rFonts w:ascii="宋体" w:hAnsi="宋体" w:cs="宋体"/>
                <w:b/>
                <w:bCs/>
                <w:color w:val="000000"/>
                <w:kern w:val="0"/>
                <w:sz w:val="20"/>
                <w:szCs w:val="20"/>
              </w:rPr>
            </w:pPr>
            <w:r>
              <w:rPr>
                <w:rFonts w:hint="eastAsia" w:ascii="宋体" w:hAnsi="宋体" w:cs="宋体"/>
                <w:b/>
                <w:bCs/>
                <w:color w:val="000000"/>
                <w:kern w:val="0"/>
                <w:sz w:val="20"/>
                <w:szCs w:val="20"/>
              </w:rPr>
              <w:t>¥150,000</w:t>
            </w:r>
          </w:p>
        </w:tc>
      </w:tr>
    </w:tbl>
    <w:p>
      <w:pPr>
        <w:jc w:val="left"/>
        <w:rPr>
          <w:rFonts w:hint="eastAsia"/>
          <w:b/>
          <w:sz w:val="28"/>
          <w:szCs w:val="28"/>
        </w:rPr>
      </w:pPr>
    </w:p>
    <w:p>
      <w:pPr>
        <w:pStyle w:val="4"/>
        <w:spacing w:line="276" w:lineRule="auto"/>
        <w:ind w:firstLine="0" w:firstLineChars="0"/>
        <w:rPr>
          <w:rFonts w:hint="eastAsia" w:ascii="宋体" w:hAnsi="宋体"/>
          <w:b/>
          <w:sz w:val="24"/>
          <w:szCs w:val="24"/>
          <w:lang w:val="zh-CN"/>
        </w:rPr>
      </w:pPr>
      <w:r>
        <w:rPr>
          <w:rFonts w:hint="eastAsia" w:ascii="宋体" w:hAnsi="宋体"/>
          <w:b/>
          <w:sz w:val="24"/>
          <w:szCs w:val="24"/>
          <w:lang w:val="zh-CN"/>
        </w:rPr>
        <w:t>软件测试平台具体功能描述：</w:t>
      </w:r>
    </w:p>
    <w:p>
      <w:pPr>
        <w:spacing w:line="360" w:lineRule="auto"/>
        <w:rPr>
          <w:rFonts w:hint="eastAsia" w:ascii="宋体" w:hAnsi="宋体" w:cs="宋体"/>
          <w:b/>
          <w:color w:val="000000"/>
          <w:kern w:val="0"/>
          <w:sz w:val="20"/>
          <w:szCs w:val="20"/>
        </w:rPr>
      </w:pPr>
      <w:r>
        <w:rPr>
          <w:rFonts w:hint="eastAsia" w:ascii="宋体" w:hAnsi="宋体" w:cs="宋体"/>
          <w:b/>
          <w:color w:val="000000"/>
          <w:kern w:val="0"/>
          <w:sz w:val="20"/>
          <w:szCs w:val="20"/>
        </w:rPr>
        <w:t>1 实训</w:t>
      </w:r>
      <w:r>
        <w:rPr>
          <w:rFonts w:hint="eastAsia" w:ascii="MS Mincho" w:hAnsi="MS Mincho" w:cs="宋体"/>
          <w:b/>
          <w:color w:val="000000"/>
          <w:kern w:val="0"/>
          <w:sz w:val="20"/>
          <w:szCs w:val="20"/>
        </w:rPr>
        <w:t>模块</w:t>
      </w:r>
    </w:p>
    <w:p>
      <w:pPr>
        <w:spacing w:line="360" w:lineRule="auto"/>
        <w:ind w:firstLine="402" w:firstLineChars="200"/>
        <w:rPr>
          <w:rFonts w:hint="eastAsia" w:ascii="宋体" w:hAnsi="宋体" w:cs="宋体"/>
          <w:b/>
          <w:color w:val="000000"/>
          <w:kern w:val="0"/>
          <w:sz w:val="20"/>
          <w:szCs w:val="20"/>
        </w:rPr>
      </w:pPr>
      <w:r>
        <w:rPr>
          <w:rFonts w:hint="eastAsia" w:ascii="宋体" w:hAnsi="宋体" w:cs="宋体"/>
          <w:b/>
          <w:color w:val="000000"/>
          <w:kern w:val="0"/>
          <w:sz w:val="20"/>
          <w:szCs w:val="20"/>
        </w:rPr>
        <w:t>1.1 C/S结构功能测试实训模块</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提供针对C/S结构的实训模拟软件的功能测试。</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根据产品功能说明书，编写测试用例提交到任务管理平台，对模拟测试软件进行产品功能点测试。包含用户登录、退出、修改密码，对业务数据的增加、删除、修改、查询等功能。</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实训中，在模拟测试软件产品中发现的功能逻辑错误可在实训任务管理平台提交错误界面、类别、描述等附加信息到系统。</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预留输入边界、有效性、密码、功能逻辑等要点的错误。</w:t>
      </w:r>
    </w:p>
    <w:p>
      <w:pPr>
        <w:spacing w:line="360" w:lineRule="auto"/>
        <w:ind w:firstLine="402" w:firstLineChars="200"/>
        <w:rPr>
          <w:rFonts w:hint="eastAsia" w:ascii="宋体" w:hAnsi="宋体" w:cs="宋体"/>
          <w:b/>
          <w:color w:val="000000"/>
          <w:kern w:val="0"/>
          <w:sz w:val="20"/>
          <w:szCs w:val="20"/>
        </w:rPr>
      </w:pPr>
      <w:r>
        <w:rPr>
          <w:rFonts w:hint="eastAsia" w:ascii="宋体" w:hAnsi="宋体" w:cs="宋体"/>
          <w:b/>
          <w:color w:val="000000"/>
          <w:kern w:val="0"/>
          <w:sz w:val="20"/>
          <w:szCs w:val="20"/>
        </w:rPr>
        <w:t>1.2 B/S结构功能测试实训模块</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提供针对B/S结构的实训模拟软件的功能测试。</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根据产品功能说明书，编写测试用例提交到任务管理平台，对模拟测试软件进行产品功能点测试。包含用户登录、退出、修改密码，对业务数据的增加、删除、修改、查询等功能。</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实训中，在模拟测试软件产品中发现的功能逻辑错误可在实训任务管理平台提交错误界面、类别、描述等附加信息到系统。</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预留输入边界、有效性、密码、功能逻辑等要点的错误。</w:t>
      </w:r>
    </w:p>
    <w:p>
      <w:pPr>
        <w:spacing w:line="360" w:lineRule="auto"/>
        <w:ind w:firstLine="402" w:firstLineChars="200"/>
        <w:rPr>
          <w:rFonts w:hint="eastAsia" w:ascii="宋体" w:hAnsi="宋体" w:cs="宋体"/>
          <w:b/>
          <w:color w:val="000000"/>
          <w:kern w:val="0"/>
          <w:sz w:val="20"/>
          <w:szCs w:val="20"/>
        </w:rPr>
      </w:pPr>
      <w:r>
        <w:rPr>
          <w:rFonts w:hint="eastAsia" w:ascii="宋体" w:hAnsi="宋体" w:cs="宋体"/>
          <w:b/>
          <w:color w:val="000000"/>
          <w:kern w:val="0"/>
          <w:sz w:val="20"/>
          <w:szCs w:val="20"/>
        </w:rPr>
        <w:t>1.3 性能测试实训模块</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结合学校实际软件性能测试的教学内容，针对b/s的实训模拟软件提供系统性能测试功能。学生根据测试用例要求，使用测试工具进行压力和负载测试后，可把包括响应时间，并发数量等数据的测试报告提交到实训任务管理平台，教师批阅打分。</w:t>
      </w:r>
    </w:p>
    <w:p>
      <w:pPr>
        <w:spacing w:line="360" w:lineRule="auto"/>
        <w:ind w:firstLine="402" w:firstLineChars="200"/>
        <w:rPr>
          <w:rFonts w:hint="eastAsia" w:ascii="宋体" w:hAnsi="宋体" w:cs="宋体"/>
          <w:b/>
          <w:color w:val="000000"/>
          <w:kern w:val="0"/>
          <w:sz w:val="20"/>
          <w:szCs w:val="20"/>
        </w:rPr>
      </w:pPr>
      <w:r>
        <w:rPr>
          <w:rFonts w:hint="eastAsia" w:ascii="宋体" w:hAnsi="宋体" w:cs="宋体"/>
          <w:b/>
          <w:color w:val="000000"/>
          <w:kern w:val="0"/>
          <w:sz w:val="20"/>
          <w:szCs w:val="20"/>
        </w:rPr>
        <w:t>1.4 安全测试实训模块</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针对b/s结构的实训安全测试模拟软件，本模块提供对软件系统安全设置与配置的训练功能。如用户简单密码攻击、用户越权等常见安全漏洞与攻击类型。</w:t>
      </w:r>
    </w:p>
    <w:p>
      <w:pPr>
        <w:spacing w:line="360" w:lineRule="auto"/>
        <w:ind w:firstLine="402" w:firstLineChars="200"/>
        <w:rPr>
          <w:rFonts w:hint="eastAsia" w:ascii="宋体" w:hAnsi="宋体" w:cs="宋体"/>
          <w:b/>
          <w:color w:val="000000"/>
          <w:kern w:val="0"/>
          <w:sz w:val="20"/>
          <w:szCs w:val="20"/>
        </w:rPr>
      </w:pPr>
      <w:r>
        <w:rPr>
          <w:rFonts w:hint="eastAsia" w:ascii="宋体" w:hAnsi="宋体" w:cs="宋体"/>
          <w:b/>
          <w:color w:val="000000"/>
          <w:kern w:val="0"/>
          <w:sz w:val="20"/>
          <w:szCs w:val="20"/>
        </w:rPr>
        <w:t>1.5 兼容性测试实训模块</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b/s结构的实训软件模块，完成软件功能在不同浏览器下表现差异化测试。系统根据不同的浏览器给出不同的UI形式。预留主流浏览器IE7-10、Firefox、Chrome、360浏览器的不同UI形式和Javascript脚本的错误，允许用户截图提交错误到实训任务管理平台。</w:t>
      </w:r>
    </w:p>
    <w:p>
      <w:pPr>
        <w:spacing w:line="360" w:lineRule="auto"/>
        <w:ind w:firstLine="402" w:firstLineChars="200"/>
        <w:rPr>
          <w:rFonts w:hint="eastAsia" w:ascii="宋体" w:hAnsi="宋体" w:cs="宋体"/>
          <w:b/>
          <w:color w:val="000000"/>
          <w:kern w:val="0"/>
          <w:sz w:val="20"/>
          <w:szCs w:val="20"/>
        </w:rPr>
      </w:pPr>
      <w:r>
        <w:rPr>
          <w:rFonts w:hint="eastAsia" w:ascii="宋体" w:hAnsi="宋体" w:cs="宋体"/>
          <w:b/>
          <w:color w:val="000000"/>
          <w:kern w:val="0"/>
          <w:sz w:val="20"/>
          <w:szCs w:val="20"/>
        </w:rPr>
        <w:t>1.6 安装实训测试</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提供c/s结构实训软件的安装介质，用户根据软件安装说明书要求的安装条件，在不同操作系统安装实训软件。验证安装过程是否正常，安装后是否能正常运行，安装后文件是否写到指定目录，安装过程中碰到的UI、顺序、文件权限等错误，可在实训任务管理平台，提交错误界面、类别、描述等附加信息。</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安装介质可在实训任务管理平台下载。</w:t>
      </w:r>
    </w:p>
    <w:p>
      <w:pPr>
        <w:spacing w:line="360" w:lineRule="auto"/>
        <w:ind w:firstLine="402" w:firstLineChars="200"/>
        <w:rPr>
          <w:rFonts w:hint="eastAsia" w:ascii="宋体" w:hAnsi="宋体" w:cs="宋体"/>
          <w:b/>
          <w:color w:val="000000"/>
          <w:kern w:val="0"/>
          <w:sz w:val="20"/>
          <w:szCs w:val="20"/>
        </w:rPr>
      </w:pPr>
      <w:r>
        <w:rPr>
          <w:rFonts w:hint="eastAsia" w:ascii="宋体" w:hAnsi="宋体" w:cs="宋体"/>
          <w:b/>
          <w:color w:val="000000"/>
          <w:kern w:val="0"/>
          <w:sz w:val="20"/>
          <w:szCs w:val="20"/>
        </w:rPr>
        <w:t>1.7 测试环境建立实训模块</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b/s结构的实训软件，提供运行环境搭建手册，手册清晰写明所需的软硬件极其网络环境等，如开发包、数据库、浏览器、Webserver等软件环境和参数配置说明。学生按照手册，自行搭建构造测试环境。测试环境的搭建结果，可以通过实训任务管理平台上传，允许教师批阅打分。</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搭建环境所需的各种介质和手册文档，可在实训任务管理平台下载。</w:t>
      </w:r>
    </w:p>
    <w:p>
      <w:pPr>
        <w:spacing w:line="360" w:lineRule="auto"/>
        <w:rPr>
          <w:rFonts w:hint="eastAsia" w:ascii="宋体" w:hAnsi="宋体" w:cs="宋体"/>
          <w:b/>
          <w:color w:val="000000"/>
          <w:kern w:val="0"/>
          <w:sz w:val="20"/>
          <w:szCs w:val="20"/>
        </w:rPr>
      </w:pPr>
      <w:r>
        <w:rPr>
          <w:rFonts w:hint="eastAsia" w:ascii="宋体" w:hAnsi="宋体" w:cs="宋体"/>
          <w:b/>
          <w:color w:val="000000"/>
          <w:kern w:val="0"/>
          <w:sz w:val="20"/>
          <w:szCs w:val="20"/>
        </w:rPr>
        <w:t>2 实训任务管理</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本模块主要完成学生实训任务的下达，任务完成结果收集的功能，包括以下两个模块：</w:t>
      </w:r>
    </w:p>
    <w:p>
      <w:pPr>
        <w:spacing w:line="360" w:lineRule="auto"/>
        <w:ind w:firstLine="402" w:firstLineChars="200"/>
        <w:rPr>
          <w:rFonts w:hint="eastAsia" w:ascii="宋体" w:hAnsi="宋体" w:cs="宋体"/>
          <w:b/>
          <w:color w:val="000000"/>
          <w:kern w:val="0"/>
          <w:sz w:val="20"/>
          <w:szCs w:val="20"/>
        </w:rPr>
      </w:pPr>
      <w:r>
        <w:rPr>
          <w:rFonts w:hint="eastAsia" w:ascii="宋体" w:hAnsi="宋体" w:cs="宋体"/>
          <w:b/>
          <w:color w:val="000000"/>
          <w:kern w:val="0"/>
          <w:sz w:val="20"/>
          <w:szCs w:val="20"/>
        </w:rPr>
        <w:t>2.1 实训任务管理模块</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教师添加、修改、删除、查询测试任务，指定测试任务的开放时间段、参加任务的学生范围等。</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学生可查看测试任务,执行测试任务。</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教师可统计参加本次测试任务的学生情况，辅助学生修改信息重置密码等。</w:t>
      </w:r>
    </w:p>
    <w:p>
      <w:pPr>
        <w:spacing w:line="360" w:lineRule="auto"/>
        <w:ind w:firstLine="402" w:firstLineChars="200"/>
        <w:rPr>
          <w:rFonts w:hint="eastAsia" w:ascii="宋体" w:hAnsi="宋体" w:cs="宋体"/>
          <w:b/>
          <w:color w:val="000000"/>
          <w:kern w:val="0"/>
          <w:sz w:val="20"/>
          <w:szCs w:val="20"/>
        </w:rPr>
      </w:pPr>
      <w:r>
        <w:rPr>
          <w:rFonts w:hint="eastAsia" w:ascii="宋体" w:hAnsi="宋体" w:cs="宋体"/>
          <w:b/>
          <w:color w:val="000000"/>
          <w:kern w:val="0"/>
          <w:sz w:val="20"/>
          <w:szCs w:val="20"/>
        </w:rPr>
        <w:t>2.2 实训任务结果模块</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学生可提交测试过程中的测试用例，测试报告等文档，bug的类别、描述、建议等信息，可提交性能测试、环境搭建等测试环节的报告和数据。</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教师可浏览详细测试数据，下载测试报告，对相关学生的测试活动打分，对测试数据的统计汇总，对学生成绩的统计汇总。</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教师可查询历次测试任务的bug报告和学生成绩。</w:t>
      </w:r>
    </w:p>
    <w:p>
      <w:pPr>
        <w:spacing w:line="360" w:lineRule="auto"/>
        <w:rPr>
          <w:rFonts w:hint="eastAsia" w:ascii="宋体" w:hAnsi="宋体" w:cs="宋体"/>
          <w:b/>
          <w:color w:val="000000"/>
          <w:kern w:val="0"/>
          <w:sz w:val="20"/>
          <w:szCs w:val="20"/>
        </w:rPr>
      </w:pPr>
      <w:r>
        <w:rPr>
          <w:rFonts w:hint="eastAsia" w:ascii="宋体" w:hAnsi="宋体" w:cs="宋体"/>
          <w:b/>
          <w:color w:val="000000"/>
          <w:kern w:val="0"/>
          <w:sz w:val="20"/>
          <w:szCs w:val="20"/>
        </w:rPr>
        <w:t>3 实训功能模块管理</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本模块主要完成实训模块的配置管理，包括实训模块的增加，开放，关闭，修改等功能。</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提供实训模块的安装介质、搭建测试环境所需文件、各种测试相关的需求、手册、用例模板等文件的维护。</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对实训模块数据库数据的清理和初始化工作，方便学生自己构造测试数据。</w:t>
      </w:r>
    </w:p>
    <w:p>
      <w:pPr>
        <w:spacing w:line="360" w:lineRule="auto"/>
        <w:ind w:firstLine="400" w:firstLineChars="200"/>
        <w:rPr>
          <w:rFonts w:hint="eastAsia" w:ascii="宋体" w:hAnsi="宋体" w:cs="宋体"/>
          <w:color w:val="000000"/>
          <w:kern w:val="0"/>
          <w:sz w:val="20"/>
          <w:szCs w:val="20"/>
        </w:rPr>
      </w:pPr>
      <w:r>
        <w:rPr>
          <w:rFonts w:hint="eastAsia" w:ascii="宋体" w:hAnsi="宋体" w:cs="宋体"/>
          <w:color w:val="000000"/>
          <w:kern w:val="0"/>
          <w:sz w:val="20"/>
          <w:szCs w:val="20"/>
        </w:rPr>
        <w:t>教师帐号维护，教师信息的增加、删除、修改、密码重置功能，系统操作日志查询。</w:t>
      </w:r>
    </w:p>
    <w:p>
      <w:pPr>
        <w:jc w:val="left"/>
        <w:rPr>
          <w:rFonts w:hint="eastAsia"/>
          <w:b/>
          <w:sz w:val="28"/>
          <w:szCs w:val="28"/>
        </w:rPr>
      </w:pPr>
    </w:p>
    <w:p>
      <w:pPr>
        <w:jc w:val="left"/>
        <w:rPr>
          <w:rFonts w:hint="eastAsia"/>
          <w:sz w:val="28"/>
          <w:szCs w:val="28"/>
        </w:rPr>
      </w:pPr>
      <w:r>
        <w:rPr>
          <w:rFonts w:hint="eastAsia"/>
          <w:b/>
          <w:sz w:val="28"/>
          <w:szCs w:val="28"/>
        </w:rPr>
        <w:t>说明</w:t>
      </w:r>
      <w:r>
        <w:rPr>
          <w:rFonts w:hint="eastAsia"/>
          <w:sz w:val="28"/>
          <w:szCs w:val="28"/>
        </w:rPr>
        <w:t>：</w:t>
      </w:r>
    </w:p>
    <w:p>
      <w:pPr>
        <w:rPr>
          <w:rFonts w:hint="eastAsia"/>
          <w:sz w:val="28"/>
          <w:szCs w:val="28"/>
        </w:rPr>
      </w:pPr>
      <w:r>
        <w:rPr>
          <w:rFonts w:hint="eastAsia"/>
          <w:sz w:val="28"/>
          <w:szCs w:val="28"/>
        </w:rPr>
        <w:t>（1）</w:t>
      </w:r>
      <w:r>
        <w:rPr>
          <w:rFonts w:hint="eastAsia" w:ascii="宋体" w:hAnsi="宋体"/>
          <w:sz w:val="28"/>
          <w:szCs w:val="28"/>
        </w:rPr>
        <w:t>以上设备由</w:t>
      </w:r>
      <w:r>
        <w:rPr>
          <w:rFonts w:ascii="宋体" w:hAnsi="宋体"/>
          <w:sz w:val="28"/>
          <w:szCs w:val="28"/>
        </w:rPr>
        <w:t>北京四合天地科技有限公司提供</w:t>
      </w:r>
      <w:r>
        <w:rPr>
          <w:rFonts w:hint="eastAsia" w:ascii="宋体" w:hAnsi="宋体"/>
          <w:sz w:val="28"/>
          <w:szCs w:val="28"/>
        </w:rPr>
        <w:t>，江苏总代理信息如下：</w:t>
      </w:r>
    </w:p>
    <w:p>
      <w:pPr>
        <w:ind w:firstLine="560" w:firstLineChars="200"/>
        <w:rPr>
          <w:rFonts w:hint="eastAsia"/>
          <w:sz w:val="28"/>
          <w:szCs w:val="28"/>
        </w:rPr>
      </w:pPr>
      <w:r>
        <w:rPr>
          <w:rFonts w:hint="eastAsia"/>
          <w:sz w:val="28"/>
          <w:szCs w:val="28"/>
        </w:rPr>
        <w:t>公司名称：南京巨尊网络科技有限公司</w:t>
      </w:r>
    </w:p>
    <w:p>
      <w:pPr>
        <w:ind w:firstLine="560" w:firstLineChars="200"/>
        <w:rPr>
          <w:rFonts w:hint="eastAsia"/>
          <w:sz w:val="28"/>
          <w:szCs w:val="28"/>
        </w:rPr>
      </w:pPr>
      <w:r>
        <w:rPr>
          <w:rFonts w:hint="eastAsia"/>
          <w:sz w:val="28"/>
          <w:szCs w:val="28"/>
        </w:rPr>
        <w:t>公司联系人：王栋 18100618123</w:t>
      </w:r>
    </w:p>
    <w:p>
      <w:pPr>
        <w:ind w:firstLine="560" w:firstLineChars="200"/>
        <w:rPr>
          <w:rFonts w:hint="eastAsia"/>
          <w:sz w:val="28"/>
          <w:szCs w:val="28"/>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modern"/>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1606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_Style 2"/>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Cynthia</dc:creator>
  <cp:lastModifiedBy>Cynthia</cp:lastModifiedBy>
  <dcterms:modified xsi:type="dcterms:W3CDTF">2017-01-12T07:05:17Z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