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重庆市小学教师近3年学分及培训类型信息表（100条）</w:t>
      </w:r>
    </w:p>
    <w:p>
      <w:pPr>
        <w:pStyle w:val="Heading3"/>
      </w:pPr>
      <w:r>
        <w:t xml:space="preserve">一、新增培训类型说明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分类依据</w:t>
      </w:r>
      <w:r>
        <w:t xml:space="preserve">：参照重庆《中小学教师继续教育实施办法》，培训类型分为 6 类，且与学分挂钩（公需科目≥30 学时 / 年，专业科目≥60 学时 / 年）：</w:t>
      </w:r>
    </w:p>
    <w:p>
      <w:pPr>
        <w:pStyle w:val="text"/>
        <w:numPr>
          <w:ilvl w:val="1"/>
          <w:numId w:val="3"/>
        </w:numPr>
      </w:pPr>
      <w:r>
        <w:t xml:space="preserve">公需科目培训（必选，含政策法规、信息技术等）</w:t>
      </w:r>
    </w:p>
    <w:p>
      <w:pPr>
        <w:pStyle w:val="text"/>
        <w:numPr>
          <w:ilvl w:val="1"/>
          <w:numId w:val="3"/>
        </w:numPr>
      </w:pPr>
      <w:r>
        <w:t xml:space="preserve">专业科目培训（核心，含学科教学、课程改革等）</w:t>
      </w:r>
    </w:p>
    <w:p>
      <w:pPr>
        <w:pStyle w:val="text"/>
        <w:numPr>
          <w:ilvl w:val="1"/>
          <w:numId w:val="3"/>
        </w:numPr>
      </w:pPr>
      <w:r>
        <w:t xml:space="preserve">校本研修（学校组织，含集体备课、听课评课等）</w:t>
      </w:r>
    </w:p>
    <w:p>
      <w:pPr>
        <w:pStyle w:val="text"/>
        <w:numPr>
          <w:ilvl w:val="1"/>
          <w:numId w:val="3"/>
        </w:numPr>
      </w:pPr>
      <w:r>
        <w:t xml:space="preserve">市级集中培训（高端，含骨干教师、名师工作室等）</w:t>
      </w:r>
    </w:p>
    <w:p>
      <w:pPr>
        <w:pStyle w:val="text"/>
        <w:numPr>
          <w:ilvl w:val="1"/>
          <w:numId w:val="3"/>
        </w:numPr>
      </w:pPr>
      <w:r>
        <w:t xml:space="preserve">新任教师专项培训（教龄≤3 年教师必选）</w:t>
      </w:r>
    </w:p>
    <w:p>
      <w:pPr>
        <w:pStyle w:val="text"/>
        <w:numPr>
          <w:ilvl w:val="1"/>
          <w:numId w:val="3"/>
        </w:numPr>
      </w:pPr>
      <w:r>
        <w:t xml:space="preserve">应急 / 专项培训（如防疫、心理健康等，随机分配）</w:t>
      </w:r>
    </w:p>
    <w:p>
      <w:pPr>
        <w:pStyle w:val="text"/>
        <w:numPr>
          <w:ilvl w:val="0"/>
          <w:numId w:val="4"/>
        </w:numPr>
      </w:pPr>
      <w:r>
        <w:rPr>
          <w:b/>
          <w:bCs/>
        </w:rPr>
        <w:t xml:space="preserve">匹配规则</w:t>
      </w:r>
      <w:r>
        <w:t xml:space="preserve">：</w:t>
      </w:r>
    </w:p>
    <w:p>
      <w:pPr>
        <w:pStyle w:val="text"/>
        <w:numPr>
          <w:ilvl w:val="1"/>
          <w:numId w:val="3"/>
        </w:numPr>
      </w:pPr>
      <w:r>
        <w:t xml:space="preserve">教龄≤3 年：以 “公需科目培训 + 专业科目培训 + 新任教师专项培训” 为主</w:t>
      </w:r>
    </w:p>
    <w:p>
      <w:pPr>
        <w:pStyle w:val="text"/>
        <w:numPr>
          <w:ilvl w:val="1"/>
          <w:numId w:val="3"/>
        </w:numPr>
      </w:pPr>
      <w:r>
        <w:t xml:space="preserve">3＜教龄≤15 年：以 “公需科目培训 + 专业科目培训 + 校本研修” 为主，部分含 “市级集中培训”</w:t>
      </w:r>
    </w:p>
    <w:p>
      <w:pPr>
        <w:pStyle w:val="text"/>
        <w:numPr>
          <w:ilvl w:val="1"/>
          <w:numId w:val="3"/>
        </w:numPr>
      </w:pPr>
      <w:r>
        <w:t xml:space="preserve">教龄＞15 年：以 “公需科目培训 + 市级集中培训 + 专项培训” 为主，体现资深教师发展需求</w:t>
      </w:r>
    </w:p>
    <w:p>
      <w:pPr>
        <w:pStyle w:val="Heading3"/>
      </w:pPr>
      <w:r>
        <w:t xml:space="preserve">二、数据预览（前 15 条，含近 3 年培训类型）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教师 ID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教师姓名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教龄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所在地区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学校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任教学段学科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教师类型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2023 年培训类型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2023 年学分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2024 年培训类型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2024 年学分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2025 年培训类型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2025 年学分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1001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刘娟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18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渝中区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渝中区解放西路小学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小学三年级语文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中级教师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公需科目 + 市级集中培训 + 专项培训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98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公需科目 + 专业科目 + 校本研修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102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公需科目 + 市级集中培训 + 专业科目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95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1002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何瑶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13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江北区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江北区观音桥小学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小学二年级语文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初级教师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公需科目 + 专业科目 + 校本研修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92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公需科目 + 专业科目 + 市级集中培训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97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公需科目 + 专业科目 + 专项培训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105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1003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郭磊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20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南岸区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南岸区珊瑚实验小学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小学道德与法治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高级教师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公需科目 + 市级集中培训 + 专项培训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101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公需科目 + 专业科目 + 市级集中培训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94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公需科目 + 市级集中培训 + 校本研修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99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1004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胡伟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27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九龙坡区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九龙坡区谢家湾小学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小学六年级语文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特级教师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公需科目 + 市级集中培训 + 专项培训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96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公需科目 + 市级集中培训 + 专业科目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103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公需科目 + 市级集中培训 + 专项培训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100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1005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陈颖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13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沙坪坝区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沙坪坝区树人小学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小学五年级英语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初级教师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公需科目 + 专业科目 + 校本研修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93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公需科目 + 专业科目 + 校本研修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98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公需科目 + 专业科目 + 市级集中培训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102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1006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孙强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13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巴南区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巴南区鱼洞第二小学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小学二年级数学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中级教师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公需科目 + 专业科目 + 市级集中培训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104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公需科目 + 专业科目 + 校本研修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91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公需科目 + 专业科目 + 校本研修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96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1007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何燕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27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渝北区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渝北区龙山小学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小学三年级英语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高级教师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公需科目 + 市级集中培训 + 校本研修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95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公需科目 + 市级集中培训 + 专业科目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100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公需科目 + 市级集中培训 + 专项培训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105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1008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赵军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21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北碚区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北碚区朝阳小学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小学二年级数学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高级教师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公需科目 + 市级集中培训 + 专业科目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99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公需科目 + 市级集中培训 + 校本研修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96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公需科目 + 专业科目 + 校本研修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92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1009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胡斌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11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大渡口区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大渡口区实验小学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小学五年级数学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初级教师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公需科目 + 专业科目 + 市级集中培训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102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公需科目 + 专业科目 + 校本研修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95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公需科目 + 专业科目 + 校本研修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98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1010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吴军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19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江津区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江津区四牌坊小学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小学三年级数学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中级教师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公需科目 + 专业科目 + 市级集中培训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97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公需科目 + 市级集中培训 + 专项培训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101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公需科目 + 专业科目 + 校本研修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94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1011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郑敏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7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合川区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合川区久长街小学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小学一年级语文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初级教师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公需科目 + 专业科目 + 校本研修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94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公需科目 + 专业科目 + 市级集中培训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103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公需科目 + 专业科目 + 校本研修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99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1012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杨林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23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永川区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永川区红旗小学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小学科学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高级教师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公需科目 + 市级集中培训 + 专项培训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100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公需科目 + 专业科目 + 校本研修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92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公需科目 + 市级集中培训 + 专项培训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104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1013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黄丽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5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长寿区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长寿区实验一小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小学美术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初级教师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公需科目 + 专业科目 + 校本研修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98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公需科目 + 专业科目 + 校本研修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95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公需科目 + 专业科目 + 市级集中培训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101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1014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周杰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2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綦江区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綦江区中山路小学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小学音乐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初级教师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未入职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未入职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公需科目 + 专业科目 + 新任教师专项培训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96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公需科目 + 专业科目 + 新任教师专项培训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102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1015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吴芳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大足区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大足区龙岗一小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小学体育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初级教师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未入职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未入职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未入职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未入职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公需科目 + 专业科目 + 新任教师专项培训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97</w:t>
            </w:r>
          </w:p>
        </w:tc>
      </w:tr>
    </w:tbl>
    <w:p>
      <w:pPr>
        <w:pStyle w:val="Heading3"/>
      </w:pPr>
      <w:r>
        <w:t xml:space="preserve">三、培训类型与学分匹配验证（示例）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教师 ID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2025 年培训类型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2025 年学分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匹配逻辑（符合重庆政策）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1014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公需科目 + 专业科目 + 新任教师专项培训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102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教龄 2 年（新任教师）必含专项培训，学分≥90（政策底线）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1003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公需科目 + 市级集中培训 + 校本研修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99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高级教师（教龄 20 年）侧重高端培训，学分符合年均要求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1015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公需科目 + 专业科目 + 新任教师专项培训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97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教龄 1 年（首次入职）含专项培训，学分达标</w:t>
            </w:r>
          </w:p>
        </w:tc>
      </w:tr>
    </w:tbl>
    <w:p>
      <w:pPr>
        <w:pStyle w:val="blockquote"/>
        <w:pBdr>
          <w:left w:val="single" w:color="BBBFC4" w:sz="18" w:space="0"/>
        </w:pBdr>
      </w:pPr>
      <w:r>
        <w:t xml:space="preserve">（注：文档部分内容可能由 AI 生成）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lowerLetter"/>
      <w:lvlText w:val="%2.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lowerRoman"/>
      <w:lvlText w:val="%3.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decimal"/>
      <w:lvlText w:val="%4.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lowerLetter"/>
      <w:lvlText w:val="%5.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lowerRoman"/>
      <w:lvlText w:val="%6.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decimal"/>
      <w:lvlText w:val="%7.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lowerLetter"/>
      <w:lvlText w:val="%8.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lowerRoman"/>
      <w:lvlText w:val="%9.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decimal"/>
      <w:lvlText w:val="%10.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bullet"/>
      <w:lvlText w:val="◦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bullet"/>
      <w:lvlText w:val="▪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bullet"/>
      <w:lvlText w:val="•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bullet"/>
      <w:lvlText w:val="◦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bullet"/>
      <w:lvlText w:val="▪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bullet"/>
      <w:lvlText w:val="•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bullet"/>
      <w:lvlText w:val="◦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bullet"/>
      <w:lvlText w:val="▪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bullet"/>
      <w:lvlText w:val="•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custom"/>
      <w:lvlText w:val="☐"/>
      <w:lvlJc w:val="start"/>
      <w:pPr>
        <w:ind w:left="288" w:hanging="288"/>
      </w:pPr>
    </w:lvl>
    <w:lvl w:ilvl="1" w15:tentative="1">
      <w:start w:val="1"/>
      <w:numFmt w:val="custom"/>
      <w:lvlText w:val="☐"/>
      <w:lvlJc w:val="start"/>
      <w:pPr>
        <w:ind w:left="720" w:hanging="288"/>
      </w:pPr>
    </w:lvl>
    <w:lvl w:ilvl="2" w15:tentative="1">
      <w:start w:val="1"/>
      <w:numFmt w:val="custom"/>
      <w:lvlText w:val="☐"/>
      <w:lvlJc w:val="start"/>
      <w:pPr>
        <w:ind w:left="1152" w:hanging="288"/>
      </w:pPr>
    </w:lvl>
    <w:lvl w:ilvl="3" w15:tentative="1">
      <w:start w:val="1"/>
      <w:numFmt w:val="custom"/>
      <w:lvlText w:val="☐"/>
      <w:lvlJc w:val="start"/>
      <w:pPr>
        <w:ind w:left="1583" w:hanging="288"/>
      </w:pPr>
    </w:lvl>
    <w:lvl w:ilvl="4" w15:tentative="1">
      <w:start w:val="1"/>
      <w:numFmt w:val="custom"/>
      <w:lvlText w:val="☐"/>
      <w:lvlJc w:val="start"/>
      <w:pPr>
        <w:ind w:left="2015" w:hanging="288"/>
      </w:pPr>
    </w:lvl>
    <w:lvl w:ilvl="5" w15:tentative="1">
      <w:start w:val="1"/>
      <w:numFmt w:val="custom"/>
      <w:lvlText w:val="☐"/>
      <w:lvlJc w:val="start"/>
      <w:pPr>
        <w:ind w:left="2448" w:hanging="288"/>
      </w:pPr>
    </w:lvl>
    <w:lvl w:ilvl="6" w15:tentative="1">
      <w:start w:val="1"/>
      <w:numFmt w:val="custom"/>
      <w:lvlText w:val="☐"/>
      <w:lvlJc w:val="start"/>
      <w:pPr>
        <w:ind w:left="2879" w:hanging="288"/>
      </w:pPr>
    </w:lvl>
    <w:lvl w:ilvl="7" w15:tentative="1">
      <w:start w:val="1"/>
      <w:numFmt w:val="custom"/>
      <w:lvlText w:val="☐"/>
      <w:lvlJc w:val="start"/>
      <w:pPr>
        <w:ind w:left="3312" w:hanging="288"/>
      </w:pPr>
    </w:lvl>
    <w:lvl w:ilvl="8" w15:tentative="1">
      <w:start w:val="1"/>
      <w:numFmt w:val="custom"/>
      <w:lvlText w:val="☐"/>
      <w:lvlJc w:val="start"/>
      <w:pPr>
        <w:ind w:left="3744" w:hanging="288"/>
      </w:pPr>
    </w:lvl>
    <w:lvl w:ilvl="9" w15:tentative="1">
      <w:start w:val="1"/>
      <w:numFmt w:val="custom"/>
      <w:lvlText w:val="☐"/>
      <w:lvlJc w:val="start"/>
      <w:pPr>
        <w:ind w:left="4176" w:hanging="288"/>
      </w:pPr>
    </w:lvl>
  </w:abstractNum>
  <w:abstractNum w:abstractNumId="5" w15:restartNumberingAfterBreak="0">
    <w:multiLevelType w:val="hybridMultilevel"/>
    <w:lvl w:ilvl="0" w15:tentative="1">
      <w:start w:val="1"/>
      <w:numFmt w:val="custom"/>
      <w:lvlText w:val="☑"/>
      <w:lvlJc w:val="start"/>
      <w:pPr>
        <w:ind w:left="288" w:hanging="288"/>
      </w:pPr>
    </w:lvl>
    <w:lvl w:ilvl="1" w15:tentative="1">
      <w:start w:val="1"/>
      <w:numFmt w:val="custom"/>
      <w:lvlText w:val="☑"/>
      <w:lvlJc w:val="start"/>
      <w:pPr>
        <w:ind w:left="720" w:hanging="288"/>
      </w:pPr>
    </w:lvl>
    <w:lvl w:ilvl="2" w15:tentative="1">
      <w:start w:val="1"/>
      <w:numFmt w:val="custom"/>
      <w:lvlText w:val="☑"/>
      <w:lvlJc w:val="start"/>
      <w:pPr>
        <w:ind w:left="1152" w:hanging="288"/>
      </w:pPr>
    </w:lvl>
    <w:lvl w:ilvl="3" w15:tentative="1">
      <w:start w:val="1"/>
      <w:numFmt w:val="custom"/>
      <w:lvlText w:val="☑"/>
      <w:lvlJc w:val="start"/>
      <w:pPr>
        <w:ind w:left="1583" w:hanging="288"/>
      </w:pPr>
    </w:lvl>
    <w:lvl w:ilvl="4" w15:tentative="1">
      <w:start w:val="1"/>
      <w:numFmt w:val="custom"/>
      <w:lvlText w:val="☑"/>
      <w:lvlJc w:val="start"/>
      <w:pPr>
        <w:ind w:left="2015" w:hanging="288"/>
      </w:pPr>
    </w:lvl>
    <w:lvl w:ilvl="5" w15:tentative="1">
      <w:start w:val="1"/>
      <w:numFmt w:val="custom"/>
      <w:lvlText w:val="☑"/>
      <w:lvlJc w:val="start"/>
      <w:pPr>
        <w:ind w:left="2448" w:hanging="288"/>
      </w:pPr>
    </w:lvl>
    <w:lvl w:ilvl="6" w15:tentative="1">
      <w:start w:val="1"/>
      <w:numFmt w:val="custom"/>
      <w:lvlText w:val="☑"/>
      <w:lvlJc w:val="start"/>
      <w:pPr>
        <w:ind w:left="2879" w:hanging="288"/>
      </w:pPr>
    </w:lvl>
    <w:lvl w:ilvl="7" w15:tentative="1">
      <w:start w:val="1"/>
      <w:numFmt w:val="custom"/>
      <w:lvlText w:val="☑"/>
      <w:lvlJc w:val="start"/>
      <w:pPr>
        <w:ind w:left="3312" w:hanging="288"/>
      </w:pPr>
    </w:lvl>
    <w:lvl w:ilvl="8" w15:tentative="1">
      <w:start w:val="1"/>
      <w:numFmt w:val="custom"/>
      <w:lvlText w:val="☑"/>
      <w:lvlJc w:val="start"/>
      <w:pPr>
        <w:ind w:left="3744" w:hanging="288"/>
      </w:pPr>
    </w:lvl>
    <w:lvl w:ilvl="9" w15:tentative="1">
      <w:start w:val="1"/>
      <w:numFmt w:val="custom"/>
      <w:lvlText w:val="☑"/>
      <w:lvlJc w:val="start"/>
      <w:pPr>
        <w:ind w:left="4176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pPr>
      <w:spacing w:before="480" w:after="480" w:line="288" w:lineRule="auto"/>
      <w:ind w:left="0"/>
    </w:pPr>
    <w:rPr>
      <w:b/>
      <w:bCs/>
      <w:sz w:val="52"/>
      <w:szCs w:val="52"/>
      <w:rFonts w:ascii="Arial" w:hAnsi="Arial" w:eastAsia="等线" w:cs="Arial"/>
    </w:rPr>
  </w:style>
  <w:style w:type="paragraph" w:styleId="Heading1">
    <w:name w:val="Heading 1"/>
    <w:basedOn w:val="Normal"/>
    <w:next w:val="Normal"/>
    <w:qFormat/>
    <w:pPr>
      <w:spacing w:before="380" w:after="140" w:line="288" w:lineRule="auto"/>
      <w:ind w:left="0"/>
      <w:jc w:val="left"/>
      <w:outlineLvl w:val="0"/>
    </w:pPr>
    <w:rPr>
      <w:b/>
      <w:bCs/>
      <w:sz w:val="36"/>
      <w:szCs w:val="36"/>
      <w:rFonts w:ascii="Arial" w:hAnsi="Arial" w:eastAsia="等线" w:cs="Arial"/>
    </w:rPr>
  </w:style>
  <w:style w:type="paragraph" w:styleId="Heading2">
    <w:name w:val="Heading 2"/>
    <w:basedOn w:val="Normal"/>
    <w:next w:val="Normal"/>
    <w:qFormat/>
    <w:pPr>
      <w:spacing w:before="320" w:after="120" w:line="288" w:lineRule="auto"/>
      <w:ind w:left="0"/>
      <w:jc w:val="left"/>
      <w:outlineLvl w:val="1"/>
    </w:pPr>
    <w:rPr>
      <w:b/>
      <w:bCs/>
      <w:sz w:val="32"/>
      <w:szCs w:val="32"/>
      <w:rFonts w:ascii="Arial" w:hAnsi="Arial" w:eastAsia="等线" w:cs="Arial"/>
    </w:rPr>
  </w:style>
  <w:style w:type="paragraph" w:styleId="Heading3">
    <w:name w:val="Heading 3"/>
    <w:basedOn w:val="Normal"/>
    <w:next w:val="Normal"/>
    <w:qFormat/>
    <w:pPr>
      <w:spacing w:before="300" w:after="120" w:line="288" w:lineRule="auto"/>
      <w:ind w:left="0"/>
      <w:jc w:val="left"/>
      <w:outlineLvl w:val="2"/>
    </w:pPr>
    <w:rPr>
      <w:b/>
      <w:bCs/>
      <w:sz w:val="30"/>
      <w:szCs w:val="30"/>
      <w:rFonts w:ascii="Arial" w:hAnsi="Arial" w:eastAsia="等线" w:cs="Arial"/>
    </w:rPr>
  </w:style>
  <w:style w:type="paragraph" w:styleId="Heading4">
    <w:name w:val="Heading 4"/>
    <w:basedOn w:val="Normal"/>
    <w:next w:val="Normal"/>
    <w:qFormat/>
    <w:pPr>
      <w:spacing w:before="260" w:after="120" w:line="288" w:lineRule="auto"/>
      <w:ind w:left="0"/>
      <w:jc w:val="left"/>
      <w:outlineLvl w:val="3"/>
    </w:pPr>
    <w:rPr>
      <w:b/>
      <w:bCs/>
      <w:sz w:val="28"/>
      <w:szCs w:val="28"/>
      <w:rFonts w:ascii="Arial" w:hAnsi="Arial" w:eastAsia="等线" w:cs="Arial"/>
    </w:rPr>
  </w:style>
  <w:style w:type="paragraph" w:styleId="Heading5">
    <w:name w:val="Heading 5"/>
    <w:basedOn w:val="Normal"/>
    <w:next w:val="Normal"/>
    <w:qFormat/>
    <w:pPr>
      <w:spacing w:before="240" w:after="120" w:line="288" w:lineRule="auto"/>
      <w:ind w:left="0"/>
      <w:jc w:val="left"/>
      <w:outlineLvl w:val="4"/>
    </w:pPr>
    <w:rPr>
      <w:b/>
      <w:bCs/>
      <w:sz w:val="24"/>
      <w:szCs w:val="24"/>
      <w:rFonts w:ascii="Arial" w:hAnsi="Arial" w:eastAsia="等线" w:cs="Arial"/>
    </w:rPr>
  </w:style>
  <w:style w:type="paragraph" w:styleId="Heading6">
    <w:name w:val="Heading 6"/>
    <w:basedOn w:val="Normal"/>
    <w:next w:val="Normal"/>
    <w:qFormat/>
    <w:pPr>
      <w:spacing w:before="240" w:after="120" w:line="288" w:lineRule="auto"/>
      <w:ind w:left="0"/>
      <w:jc w:val="left"/>
      <w:outlineLvl w:val="5"/>
    </w:pPr>
    <w:rPr>
      <w:b/>
      <w:bCs/>
      <w:sz w:val="24"/>
      <w:szCs w:val="24"/>
      <w:rFonts w:ascii="Arial" w:hAnsi="Arial" w:eastAsia="等线" w:cs="Arial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ext">
    <w:pPr>
      <w:spacing w:before="120" w:after="120" w:line="288" w:lineRule="auto"/>
      <w:ind w:left="0"/>
      <w:jc w:val="left"/>
    </w:pPr>
    <w:rPr>
      <w:sz w:val="22"/>
      <w:szCs w:val="22"/>
      <w:rFonts w:ascii="Arial" w:hAnsi="Arial" w:eastAsia="等线" w:cs="Arial"/>
    </w:rPr>
  </w:style>
  <w:style w:type="paragraph" w:styleId="blockquote">
    <w:pPr>
      <w:spacing w:before="120" w:after="120" w:line="288" w:lineRule="auto"/>
      <w:ind w:left="0"/>
      <w:jc w:val="left"/>
    </w:pPr>
    <w:rPr>
      <w:color w:val="8F959E"/>
      <w:sz w:val="22"/>
      <w:szCs w:val="22"/>
      <w:rFonts w:ascii="Arial" w:hAnsi="Arial" w:eastAsia="等线" w:cs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2025-11-17T02:58:15.793Z</dcterms:created>
  <dcterms:modified xsi:type="dcterms:W3CDTF">2025-11-17T02:58:15.793Z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