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大宗商品交易供应链平台建设项目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投标技术方案</w:t>
      </w:r>
    </w:p>
    <w:p>
      <w:pPr>
        <w:jc w:val="center"/>
      </w:pPr>
      <w:r>
        <w:rPr>
          <w:rFonts w:ascii="黑体" w:hAnsi="黑体" w:eastAsia="黑体"/>
          <w:b w:val="0"/>
          <w:sz w:val="20"/>
        </w:rPr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投标单位：XX科技有限公司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项目名称：XX（招标方）大宗商品交易供应链平台建设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文档版本：V1.0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编制日期：2026 年 XX 月 XX 日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密级：投标机密 · 未经授权不得扩散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/>
    <w:p>
      <w:r>
        <w:fldChar w:fldCharType="begin"/>
        <w:instrText xml:space="preserve">TOC \o "1-3" \h \z \u</w:instrText>
        <w:fldChar w:fldCharType="separate"/>
        <w:t>右键更新目录</w:t>
        <w:fldChar w:fldCharType="end"/>
      </w:r>
    </w:p>
    <w:p>
      <w:r>
        <w:br w:type="page"/>
      </w:r>
    </w:p>
    <w:p>
      <w:pPr>
        <w:pStyle w:val="Title"/>
      </w:pPr>
      <w:r>
        <w:rPr>
          <w:rFonts w:ascii="黑体" w:hAnsi="黑体" w:eastAsia="黑体"/>
          <w:b/>
          <w:sz w:val="36"/>
        </w:rPr>
        <w:t>大宗商品交易供应链平台建设项目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投标技术方案</w:t>
      </w:r>
    </w:p>
    <w:p>
      <w:r>
        <w:rPr>
          <w:b/>
        </w:rPr>
        <w:t>投标单位：</w:t>
      </w:r>
      <w:r>
        <w:t xml:space="preserve"> XX科技有限公司</w:t>
      </w:r>
    </w:p>
    <w:p>
      <w:r>
        <w:rPr>
          <w:b/>
        </w:rPr>
        <w:t>项目名称：</w:t>
      </w:r>
      <w:r>
        <w:t xml:space="preserve"> XX（招标方）大宗商品交易供应链平台建设</w:t>
      </w:r>
    </w:p>
    <w:p>
      <w:r>
        <w:rPr>
          <w:b/>
        </w:rPr>
        <w:t>文档版本：</w:t>
      </w:r>
      <w:r>
        <w:t xml:space="preserve"> V1.0</w:t>
      </w:r>
    </w:p>
    <w:p>
      <w:r>
        <w:rPr>
          <w:b/>
        </w:rPr>
        <w:t>编制日期：</w:t>
      </w:r>
      <w:r>
        <w:t xml:space="preserve"> 2026 年 XX 月 XX 日</w:t>
      </w:r>
    </w:p>
    <w:p>
      <w:r>
        <w:rPr>
          <w:b/>
        </w:rPr>
        <w:t>密级：</w:t>
      </w:r>
      <w:r>
        <w:t xml:space="preserve"> 投标机密 · 未经授权不得扩散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第一章 项目理解与总体需求分析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项目背景</w:t>
      </w:r>
    </w:p>
    <w:p>
      <w:r>
        <w:t>在国资委推动国有企业数字化转型、加快建设世界一流企业的战略背景下，大宗商品的交易模式正从线下分散、信息不透明，向线上化、平台化、生态化加速演进。招标方作为行业重要的国资平台主体，建设一套集交易撮合、供应链协同、风控结算、数据服务、生态对接于一体的大宗商品交易供应链平台，既是落实数字中国战略的具体举措，也是提升要素资源配置效率、强化国有资产监管能力的必然要求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对招标需求的理解</w:t>
      </w:r>
    </w:p>
    <w:p>
      <w:r>
        <w:t>结合招标文件的建设目标，我司认为本项目的核心诉求可概括为"三化、两控、一贯通"：</w:t>
      </w:r>
    </w:p>
    <w:p>
      <w:pPr>
        <w:pStyle w:val="ListBullet"/>
      </w:pPr>
      <w:r>
        <w:t>交易线上化：将挂牌、竞价、撮合等交易模式迁移至线上，提升成交效率与透明度；</w:t>
      </w:r>
    </w:p>
    <w:p>
      <w:pPr>
        <w:pStyle w:val="ListBullet"/>
      </w:pPr>
      <w:r>
        <w:t>履约协同化：合同、物流、仓储、结算一体化闭环，打通交易与履约的"最后一公里"；</w:t>
      </w:r>
    </w:p>
    <w:p>
      <w:pPr>
        <w:pStyle w:val="ListBullet"/>
      </w:pPr>
      <w:r>
        <w:t>数据资产化：沉淀交易与行情数据，形成可分析、可监管的数据资产；</w:t>
      </w:r>
    </w:p>
    <w:p>
      <w:pPr>
        <w:pStyle w:val="ListBullet"/>
      </w:pPr>
      <w:r>
        <w:t>风险可控：对交易对手、资金、履约全过程进行风险监控与预警；</w:t>
      </w:r>
    </w:p>
    <w:p>
      <w:pPr>
        <w:pStyle w:val="ListBullet"/>
      </w:pPr>
      <w:r>
        <w:t>资金可控：规范保证金、清算、对账流程，确保资金安全；</w:t>
      </w:r>
    </w:p>
    <w:p>
      <w:pPr>
        <w:pStyle w:val="ListBullet"/>
      </w:pPr>
      <w:r>
        <w:t>生态贯通：与银行、税务、物流、监管系统安全对接，形成产业互联网生态。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1.3 建设目标与原则</w:t>
      </w:r>
    </w:p>
    <w:p>
      <w:pPr>
        <w:pStyle w:val="ListBullet"/>
      </w:pPr>
      <w:r>
        <w:t>建设目标：建成"合规、安全、高效、可扩展"的大宗商品交易基础设施，支撑多品种、多模式、多角色的业务开展。</w:t>
      </w:r>
    </w:p>
    <w:p>
      <w:pPr>
        <w:pStyle w:val="ListBullet"/>
      </w:pPr>
      <w:r>
        <w:t>建设原则：统一规划、标准先行；自主可控、安全合规；业务驱动、循序渐进；开放集成、生态共赢。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1.4 招标需求逐条响应表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招标要求条款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响应说明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是否满足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支持挂牌、竞价、撮合等交易模式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提供交易撮合中心，三大模式全覆盖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合同、物流、仓储、结算协同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提供供应链协同中心，一体化闭环管理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资金清算与风险控制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提供风控结算中心，保证金+清算+监控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等保三级及信创适配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提供等保三级方案与信创兼容矩阵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与银行/税务/物流对接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提供开放平台与标准接口规范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满足</w:t>
            </w:r>
          </w:p>
        </w:tc>
      </w:tr>
    </w:tbl>
    <w:p>
      <w:r>
        <w:rPr>
          <w:i/>
        </w:rPr>
        <w:t>注：本表应在拿到正式招标文件后，按需求条款编号逐条补全并核对。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第二章 总体建设方案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总体设计思路</w:t>
      </w:r>
    </w:p>
    <w:p>
      <w:r>
        <w:t>遵循"一个平台、N 个业务中心"的设计理念，以微服务架构解耦业务能力，以统一技术中台支撑共性能力，以数据底座贯通全域数据，最终形成"交易—履约—风控—数据—生态"五位一体的数字平台。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总体架构（五视图）</w:t>
      </w:r>
    </w:p>
    <w:p>
      <w:pPr>
        <w:pStyle w:val="ListBullet"/>
      </w:pPr>
      <w:r>
        <w:t>业务架构：面向交易商、平台运营方、监管方三类角色，覆盖交易、履约、监管全链路；</w:t>
      </w:r>
    </w:p>
    <w:p>
      <w:pPr>
        <w:pStyle w:val="ListBullet"/>
      </w:pPr>
      <w:r>
        <w:t>应用架构：门户层、业务中心层、能力中台层、数据层、基础设施层；</w:t>
      </w:r>
    </w:p>
    <w:p>
      <w:pPr>
        <w:pStyle w:val="ListBullet"/>
      </w:pPr>
      <w:r>
        <w:t>技术架构：前端微前端 + 后端微服务 + 云原生基础设施；</w:t>
      </w:r>
    </w:p>
    <w:p>
      <w:pPr>
        <w:pStyle w:val="ListBullet"/>
      </w:pPr>
      <w:r>
        <w:t>数据架构：主数据+交易数据+行情数据，经数据湖仓形成指标体系；</w:t>
      </w:r>
    </w:p>
    <w:p>
      <w:pPr>
        <w:pStyle w:val="ListBullet"/>
      </w:pPr>
      <w:r>
        <w:t>部署架构：支持私有化/专有云集中部署，兼容信创环境。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 业务架构</w:t>
      </w:r>
    </w:p>
    <w:p>
      <w:r>
        <w:t>平台业务划分为五大中心：交易撮合中心、供应链协同中心、风控结算中心、数据服务中心、生态对接中心，各中心通过统一门户与工作台对外服务。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2.4 数据架构</w:t>
      </w:r>
    </w:p>
    <w:p>
      <w:r>
        <w:t>建立统一主数据管理（MDM），规范交易商、商品、合约、仓单等核心主数据；交易流水、行情 tick、履约单据等进入数据中台，构建经营分析、监管报送、风险预警三类数据应用。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2.5 部署架构</w:t>
      </w:r>
    </w:p>
    <w:p>
      <w:r>
        <w:t>采用容器化部署，生产环境建议为"2 中心（双活）+ 1 灾备"结构；支持在国产化软硬件底座上整体平移，满足信创要求。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第三章 平台功能建设方案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交易撮合中心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3.1.1 挂牌交易</w:t>
      </w:r>
    </w:p>
    <w:p>
      <w:r>
        <w:t>支持协商挂牌、挂摘牌、要约应约等模式；提供挂牌审核、价格区间、数量拆分、自动摘牌等配置。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3.1.2 竞价交易</w:t>
      </w:r>
    </w:p>
    <w:p>
      <w:r>
        <w:t>支持竞买/竞卖方向、公开/密封方式、阶梯报价与限时竞价。以"竞价交易室"为载体，提供实时报价面板、价格走势、倒计时、自动延时（熔断）、成交结果公示等交互能力，保障竞价过程公开、公平、可追溯。</w:t>
      </w:r>
    </w:p>
    <w:p>
      <w:pPr>
        <w:pStyle w:val="Heading3"/>
      </w:pPr>
      <w:r>
        <w:rPr>
          <w:rFonts w:ascii="黑体" w:hAnsi="黑体" w:eastAsia="黑体"/>
          <w:b/>
          <w:sz w:val="23"/>
        </w:rPr>
        <w:t>3.1.3 撮合引擎</w:t>
      </w:r>
    </w:p>
    <w:p>
      <w:r>
        <w:t>基于内存撮合与异步落库，支持多品种并行撮合、价格优先/时间优先撮合规则、涨跌幅限制、异常熔断与人工干预，保障高并发下的撮合正确性与低时延。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供应链协同中心</w:t>
      </w:r>
    </w:p>
    <w:p>
      <w:r>
        <w:t>实现合同电子化签署、物流轨迹跟踪、仓储交收管理、结算对账一体化：交易达成自动生成合同草案，关联仓单与物流单，驱动结算指令，形成履约闭环。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风控结算中心</w:t>
      </w:r>
    </w:p>
    <w:p>
      <w:pPr>
        <w:pStyle w:val="ListBullet"/>
      </w:pPr>
      <w:r>
        <w:t>准入管理：交易商资质审核、黑白名单、信用额度；</w:t>
      </w:r>
    </w:p>
    <w:p>
      <w:pPr>
        <w:pStyle w:val="ListBullet"/>
      </w:pPr>
      <w:r>
        <w:t>履约保证：保证金冻结/释放、履约担保；</w:t>
      </w:r>
    </w:p>
    <w:p>
      <w:pPr>
        <w:pStyle w:val="ListBullet"/>
      </w:pPr>
      <w:r>
        <w:t>资金清算：T+N 清算、多方分账、自动对账；</w:t>
      </w:r>
    </w:p>
    <w:p>
      <w:pPr>
        <w:pStyle w:val="ListBullet"/>
      </w:pPr>
      <w:r>
        <w:t>风险监控：价格异动、异常交易、集中度预警，支持阈值配置与多级告警。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3.4 数据服务中心</w:t>
      </w:r>
    </w:p>
    <w:p>
      <w:r>
        <w:t>提供行情发布、价格指数编制、领导驾驶舱与大屏可视化。大屏支持交易概览、品种分布、实时成交、风险态势等多维度动态展示。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3.5 生态对接中心</w:t>
      </w:r>
    </w:p>
    <w:p>
      <w:r>
        <w:t>通过统一开放平台对接银行（资金存管/清算）、税务（发票）、物流（运踪）、监管（报送）系统，采用 OAuth2.0 + 报文加密 + 签名验签保障对接安全。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3.6 门户与统一工作台</w:t>
      </w:r>
    </w:p>
    <w:p>
      <w:pPr>
        <w:pStyle w:val="ListBullet"/>
      </w:pPr>
      <w:r>
        <w:t>会员门户：开户、交易、履约、对账一站式服务；</w:t>
      </w:r>
    </w:p>
    <w:p>
      <w:pPr>
        <w:pStyle w:val="ListBullet"/>
      </w:pPr>
      <w:r>
        <w:t>管理后台：运营、风控、结算、系统管理；</w:t>
      </w:r>
    </w:p>
    <w:p>
      <w:pPr>
        <w:pStyle w:val="ListBullet"/>
      </w:pPr>
      <w:r>
        <w:t>移动端：uni-app 发布 H5/小程序/App，支持行情查看与业务审批。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3.7 系统管理与权限体系</w:t>
      </w:r>
    </w:p>
    <w:p>
      <w:r>
        <w:t>提供组织、角色、用户、菜单、审批流管理，全量操作审计日志，满足分级授权与责任可追溯。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第四章 技术路线与关键技术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技术选型总览</w:t>
      </w:r>
    </w:p>
    <w:p>
      <w:pPr>
        <w:pStyle w:val="ListBullet"/>
      </w:pPr>
      <w:r>
        <w:t>前端：Vue 3 + TypeScript + Vite + Element Plus；微前端 qiankun；可视化 ECharts + DataV；移动端 uni-app；</w:t>
      </w:r>
    </w:p>
    <w:p>
      <w:pPr>
        <w:pStyle w:val="ListBullet"/>
      </w:pPr>
      <w:r>
        <w:t>后端：Java 17 + Spring Boot 3 + Spring Cloud Alibaba（Nacos/Sentinel/Gateway/Seata）；</w:t>
      </w:r>
    </w:p>
    <w:p>
      <w:pPr>
        <w:pStyle w:val="ListBullet"/>
      </w:pPr>
      <w:r>
        <w:t>撮合：Netty 长连接 + 内存撮合 + 异步落库；</w:t>
      </w:r>
    </w:p>
    <w:p>
      <w:pPr>
        <w:pStyle w:val="ListBullet"/>
      </w:pPr>
      <w:r>
        <w:t>存储：MySQL 8（信创替代达梦/金仓）、Redis Cluster、Elasticsearch、MongoDB、TDengine、StarRocks；</w:t>
      </w:r>
    </w:p>
    <w:p>
      <w:pPr>
        <w:pStyle w:val="ListBullet"/>
      </w:pPr>
      <w:r>
        <w:t>中间件：RocketMQ + Kafka；</w:t>
      </w:r>
    </w:p>
    <w:p>
      <w:pPr>
        <w:pStyle w:val="ListBullet"/>
      </w:pPr>
      <w:r>
        <w:t>DevOps：Docker + Kubernetes + GitLab CI + Prometheus/SkyWalking/ELK。</w:t>
      </w:r>
    </w:p>
    <w:p>
      <w:r>
        <w:t>详见大纲第四章 4.1.1–4.1.6，含信创国产化适配矩阵。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高并发交易关键技术</w:t>
      </w:r>
    </w:p>
    <w:p>
      <w:r>
        <w:t>采用"长连接推送 + 内存撮合 + 消息削峰 + 分布式锁"的组合方案：Netty 维持万级并发连接，撮合核心在内存完成并异步批量落库，报价洪峰通过 RocketMQ 削峰，Redisson 分布式锁保障关键资源一致性，确保撮合时延毫秒级、撮合正确率 100%。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信创国产化适配</w:t>
      </w:r>
    </w:p>
    <w:p>
      <w:r>
        <w:t>对 CPU（鲲鹏/飞腾/海光）、操作系统（麒麟/统信 UOS）、数据库（达梦/金仓）、中间件（东方通/宝兰德）提供多架构镜像与配置级切换，前端完成主流国密浏览器兼容测试。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4.4 性能指标承诺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承诺值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并发在线用户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≥ 10,000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撮合时延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≤ 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关键交易响应时间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≤ 1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系统可用性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99.9%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数据备份 RPO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≤ 5 min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4.5 与现有系统对接</w:t>
      </w:r>
    </w:p>
    <w:p>
      <w:r>
        <w:t>通过标准 API 网关与集团统一认证（如 CAS/OAuth）、ERP、OA 等系统对接，提供字段映射与报文转换，保障数据一致。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第五章 安全与合规体系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等级保护三级</w:t>
      </w:r>
    </w:p>
    <w:p>
      <w:r>
        <w:t>依据 GB/T 22239-2019 第三级要求，从物理、网络、主机、应用、数据五层建设安全防护，配合测评机构完成定级备案与整改。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数据安全合规</w:t>
      </w:r>
    </w:p>
    <w:p>
      <w:r>
        <w:t>落实《数据安全法》《个人信息保护法》，对数据分类分级，敏感字段加密存储与动态脱敏，建立数据全生命周期管理。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应用与账户安全</w:t>
      </w:r>
    </w:p>
    <w:p>
      <w:r>
        <w:t>统一身份认证、多因子登录、CA 电子签章与防抵赖；关键操作二次确认与全程审计。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密码应用（国密）</w:t>
      </w:r>
    </w:p>
    <w:p>
      <w:r>
        <w:t>采用 SM2/SM3/SM4 国密算法实现签名、摘要、传输加密，满足商用密码应用安全性评估要求。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5.5 容灾备份</w:t>
      </w:r>
    </w:p>
    <w:p>
      <w:r>
        <w:t>提供本地双活 + 异地灾备，明确 RTO ≤ 2 h、RPO ≤ 5 min 的容灾指标与演练机制。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第六章 项目实施方案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项目组织</w:t>
      </w:r>
    </w:p>
    <w:p>
      <w:r>
        <w:t>成立专项项目组，设项目经理 1 名（驻场），下设架构组、开发组、测试组、实施组、运维组，与招标方联合设立项目办公室（PMO）。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实施方法论</w:t>
      </w:r>
    </w:p>
    <w:p>
      <w:r>
        <w:t>采用"调研—设计—开发—测试—试运行—验收"六阶段法，每阶段设定里程碑与交付物，严格评审准入。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6.3 进度计划（示例）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周期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关键交付物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需求调研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1–3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需求规格说明书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概要/详细设计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4–6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设计说明书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开发实现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7–16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可运行系统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17–20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测试报告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试运行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21–24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试运行报告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验收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 25–26 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验收报告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6.4 进度保障</w:t>
      </w:r>
    </w:p>
    <w:p>
      <w:r>
        <w:t>通过周例会、里程碑评审、风险周报、资源冗余池等机制保障按期交付。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第七章 测试与质量保障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质量管理体系</w:t>
      </w:r>
    </w:p>
    <w:p>
      <w:r>
        <w:t>遵循 ISO 9001 与 CMMI 规范，建立需求—开发—测试可追溯的质量闭环。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7.2 测试方案</w:t>
      </w:r>
    </w:p>
    <w:p>
      <w:pPr>
        <w:pStyle w:val="ListBullet"/>
      </w:pPr>
      <w:r>
        <w:t>功能测试：覆盖全部业务场景与边界；</w:t>
      </w:r>
    </w:p>
    <w:p>
      <w:pPr>
        <w:pStyle w:val="ListBullet"/>
      </w:pPr>
      <w:r>
        <w:t>性能压力测试：模拟万级并发报价，验证撮合时延与稳定性；</w:t>
      </w:r>
    </w:p>
    <w:p>
      <w:pPr>
        <w:pStyle w:val="ListBullet"/>
      </w:pPr>
      <w:r>
        <w:t>安全测试：渗透测试、漏洞扫描；</w:t>
      </w:r>
    </w:p>
    <w:p>
      <w:pPr>
        <w:pStyle w:val="ListBullet"/>
      </w:pPr>
      <w:r>
        <w:t>兼容性测试：信创浏览器与操作系统。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7.3 缺陷与版本管理</w:t>
      </w:r>
    </w:p>
    <w:p>
      <w:r>
        <w:t>使用 GitLab 进行版本管理，缺陷分级闭环，回归测试通过方可上线。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第八章 运维保障与售后服务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8.1 运维服务体系</w:t>
      </w:r>
    </w:p>
    <w:p>
      <w:r>
        <w:t>提供 7×24 小时运维支持，建立一级（电话/工单）、二级（远程）、三级（现场）分级响应机制，关键故障 30 分钟内响应。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8.2 培训与知识转移</w:t>
      </w:r>
    </w:p>
    <w:p>
      <w:r>
        <w:t>提供管理员、业务操作员、开发人员三类培训，交付操作手册、运维手册、源代码与开发文档，确保招标方自主可控。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8.3 质保服务承诺</w:t>
      </w:r>
    </w:p>
    <w:p>
      <w:r>
        <w:t>自验收合格起提供 XX 个月免费质保，期间缺陷修复、版本升级、运行保障不另收费。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第九章 项目风险分析与应对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风险类别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风险描述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应对措施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进度风险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需求变更频繁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变更控制委员会 + 敏捷迭代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技术风险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高并发撮合性能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压测前置 + 架构冗余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数据风险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历史数据迁移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迁移方案+校验回滚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对接风险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第三方系统不稳定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接口契约+降级预案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第十章 类似项目业绩与案例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10.1 平台整体介绍</w:t>
      </w:r>
    </w:p>
    <w:p>
      <w:r>
        <w:t>我司 B2B 大宗商品交易供应链平台已服务能源、煤炭、金属、农产品、港务等多个行业，累计支撑 XX 家正式生产环境客户，覆盖交易撮合、供应链协同、风控结算、数据服务、生态对接全链路能力。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10.2 典型客户案例（示意）</w:t>
      </w:r>
    </w:p>
    <w:p>
      <w:pPr>
        <w:pStyle w:val="ListBullet"/>
      </w:pPr>
      <w:r>
        <w:t>上海石油天然气交易中心：石化能源现货挂牌与竞价交易；</w:t>
      </w:r>
    </w:p>
    <w:p>
      <w:pPr>
        <w:pStyle w:val="ListBullet"/>
      </w:pPr>
      <w:r>
        <w:t>陕西煤炭交易中心：煤炭产运需在线交易与供应链；</w:t>
      </w:r>
    </w:p>
    <w:p>
      <w:pPr>
        <w:pStyle w:val="ListBullet"/>
      </w:pPr>
      <w:r>
        <w:t>广州商品交易所：工业金属与化工品现货交易；</w:t>
      </w:r>
    </w:p>
    <w:p>
      <w:pPr>
        <w:pStyle w:val="ListBullet"/>
      </w:pPr>
      <w:r>
        <w:t>郑州商品交易所·场外业务：场外衍生品与仓单交易；</w:t>
      </w:r>
    </w:p>
    <w:p>
      <w:pPr>
        <w:pStyle w:val="ListBullet"/>
      </w:pPr>
      <w:r>
        <w:t>广西北部湾大宗商品交易中心：北部湾港口大宗现货与数据大屏。</w:t>
      </w:r>
    </w:p>
    <w:p>
      <w:r>
        <w:rPr>
          <w:i/>
        </w:rPr>
        <w:t>注：正式投标时填入真实客户名称、合同金额、上线时间，并附中标通知书/合同关键页佐证。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10.3 与本项目对应性</w:t>
      </w:r>
    </w:p>
    <w:p>
      <w:r>
        <w:t>上述案例在交易模式、合规要求、信创环境、高并发场景上与本项目高度一致，可平滑复用成熟组件与实施经验，降低交付风险。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第十一章 项目团队与人员配置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11.1 团队组织</w:t>
      </w:r>
    </w:p>
    <w:p>
      <w:r>
        <w:t>拟投入专职人员不少于 XX 人，其中项目经理 1、系统架构师 2、高级开发 XX、测试 XX、实施 XX，关键岗位具备同类项目经验。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11.2 关键人员简历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资质/经验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在本项目职责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项目经理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PMP，X 个项目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总体协调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架构师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XXX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高级工程师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技术架构</w:t>
            </w:r>
          </w:p>
        </w:tc>
      </w:tr>
    </w:tbl>
    <w:p>
      <w:r>
        <w:rPr>
          <w:i/>
        </w:rPr>
        <w:t>注：人员简历待填，附身份证号脱敏的证书复印件。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11.3 服务承诺</w:t>
      </w:r>
    </w:p>
    <w:p>
      <w:r>
        <w:t>我司郑重承诺：严格按招标文件履约，保障系统质量、进度与安全；如违约愿承担相应责任。</w:t>
      </w:r>
    </w:p>
    <w:p>
      <w:r>
        <w:rPr>
          <w:b/>
        </w:rPr>
        <w:t>附件目录（待补）</w:t>
      </w:r>
    </w:p>
    <w:p>
      <w:pPr>
        <w:pStyle w:val="ListNumber"/>
      </w:pPr>
      <w:r>
        <w:t>1. 公司营业执照及资质证书</w:t>
      </w:r>
    </w:p>
    <w:p>
      <w:pPr>
        <w:pStyle w:val="ListNumber"/>
      </w:pPr>
      <w:r>
        <w:t>2. 同类项目合同/验收证明</w:t>
      </w:r>
    </w:p>
    <w:p>
      <w:pPr>
        <w:pStyle w:val="ListNumber"/>
      </w:pPr>
      <w:r>
        <w:t>3. 技术团队证书</w:t>
      </w:r>
    </w:p>
    <w:p>
      <w:pPr>
        <w:pStyle w:val="ListNumber"/>
      </w:pPr>
      <w:r>
        <w:t>4. 知识产权与软著清单</w:t>
      </w:r>
    </w:p>
    <w:p>
      <w:pPr>
        <w:pStyle w:val="ListNumber"/>
      </w:pPr>
      <w:r>
        <w:t>5. 承诺函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右键更新目录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