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Fonts w:ascii="Calibri" w:hAnsi="Calibri" w:eastAsia="宋体" w:cs="黑体"/>
          <w:kern w:val="2"/>
          <w:sz w:val="21"/>
          <w:szCs w:val="22"/>
          <w:lang w:val="en-US" w:eastAsia="zh-CN" w:bidi="ar-SA"/>
        </w:rPr>
        <w:pict>
          <v:shape id="Inline Text Wrapping Picture" o:spid="_x0000_s1027" type="#_x0000_t75" style="height:28.35pt;width:141.8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
      <w:pPr>
        <w:jc w:val="center"/>
        <w:rPr>
          <w:rFonts w:ascii="楷体" w:hAnsi="楷体" w:eastAsia="楷体"/>
          <w:sz w:val="36"/>
          <w:szCs w:val="36"/>
        </w:rPr>
      </w:pPr>
      <w:r>
        <w:rPr>
          <w:rFonts w:hint="eastAsia" w:ascii="楷体" w:hAnsi="楷体" w:eastAsia="楷体"/>
          <w:sz w:val="36"/>
          <w:szCs w:val="36"/>
        </w:rPr>
        <w:t>北京邮电大学</w:t>
      </w:r>
    </w:p>
    <w:p/>
    <w:p/>
    <w:p>
      <w:pPr>
        <w:jc w:val="center"/>
        <w:rPr>
          <w:sz w:val="48"/>
          <w:szCs w:val="48"/>
        </w:rPr>
      </w:pPr>
      <w:r>
        <w:rPr>
          <w:rFonts w:hint="eastAsia" w:ascii="黑体" w:hAnsi="黑体" w:eastAsia="黑体"/>
          <w:sz w:val="48"/>
          <w:szCs w:val="48"/>
        </w:rPr>
        <w:t>硕士研究生学位论文开题报告</w:t>
      </w:r>
    </w:p>
    <w:p>
      <w:pPr>
        <w:jc w:val="left"/>
      </w:pPr>
    </w:p>
    <w:p>
      <w:pPr>
        <w:jc w:val="left"/>
      </w:pPr>
    </w:p>
    <w:p>
      <w:pPr>
        <w:jc w:val="left"/>
      </w:pPr>
    </w:p>
    <w:p>
      <w:pPr>
        <w:jc w:val="left"/>
      </w:pPr>
    </w:p>
    <w:p>
      <w:pPr>
        <w:spacing w:beforeLines="50"/>
        <w:jc w:val="left"/>
      </w:pPr>
    </w:p>
    <w:p>
      <w:pPr>
        <w:spacing w:beforeLines="50"/>
        <w:ind w:left="1995" w:leftChars="950"/>
        <w:rPr>
          <w:sz w:val="28"/>
          <w:szCs w:val="28"/>
        </w:rPr>
      </w:pPr>
      <w:r>
        <w:rPr>
          <w:rFonts w:hint="eastAsia" w:ascii="宋体" w:hAnsi="宋体" w:eastAsia="宋体"/>
          <w:sz w:val="28"/>
          <w:szCs w:val="28"/>
        </w:rPr>
        <w:t>学</w:t>
      </w:r>
      <w:r>
        <w:rPr>
          <w:rFonts w:ascii="宋体" w:hAnsi="宋体" w:eastAsia="宋体" w:cs="黑体"/>
          <w:kern w:val="2"/>
          <w:sz w:val="28"/>
          <w:szCs w:val="28"/>
          <w:lang w:val="en-US" w:eastAsia="zh-CN" w:bidi="ar-SA"/>
        </w:rPr>
        <w:pict>
          <v:shape id="WordArt: Circle 2" o:spid="_x0000_s1028" type="#_x0000_t32" style="position:absolute;left:0;margin-left:185.8pt;margin-top:33.3pt;height:0.05pt;width:147pt;rotation:0f;z-index:25165824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hint="eastAsia" w:ascii="宋体" w:hAnsi="宋体" w:eastAsia="宋体"/>
          <w:sz w:val="28"/>
          <w:szCs w:val="28"/>
        </w:rPr>
        <w:t xml:space="preserve">    号:    2012111499</w:t>
      </w:r>
    </w:p>
    <w:p>
      <w:pPr>
        <w:spacing w:beforeLines="50"/>
        <w:ind w:left="1995" w:leftChars="950"/>
        <w:jc w:val="left"/>
        <w:rPr>
          <w:sz w:val="28"/>
          <w:szCs w:val="28"/>
        </w:rPr>
      </w:pPr>
      <w:r>
        <w:rPr>
          <w:rFonts w:hint="eastAsia" w:ascii="宋体" w:hAnsi="宋体" w:eastAsia="宋体"/>
          <w:sz w:val="28"/>
          <w:szCs w:val="28"/>
        </w:rPr>
        <w:t>姓    名</w:t>
      </w:r>
      <w:r>
        <w:rPr>
          <w:rFonts w:ascii="宋体" w:hAnsi="宋体" w:eastAsia="宋体" w:cs="黑体"/>
          <w:kern w:val="2"/>
          <w:sz w:val="28"/>
          <w:szCs w:val="28"/>
          <w:lang w:val="en-US" w:eastAsia="zh-CN" w:bidi="ar-SA"/>
        </w:rPr>
        <w:pict>
          <v:shape id="WordArt: Circle 3" o:spid="_x0000_s1029" type="#_x0000_t32" style="position:absolute;left:0;margin-left:186.15pt;margin-top:33.25pt;height:0.05pt;width:147pt;rotation:0f;z-index:251659264;"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hint="eastAsia" w:ascii="宋体" w:hAnsi="宋体" w:eastAsia="宋体"/>
          <w:sz w:val="28"/>
          <w:szCs w:val="28"/>
        </w:rPr>
        <w:t>:    赵晓森</w:t>
      </w:r>
    </w:p>
    <w:p>
      <w:pPr>
        <w:spacing w:beforeLines="50"/>
        <w:ind w:left="1995" w:leftChars="950"/>
        <w:jc w:val="left"/>
        <w:rPr>
          <w:sz w:val="28"/>
          <w:szCs w:val="28"/>
        </w:rPr>
      </w:pPr>
      <w:r>
        <w:rPr>
          <w:rFonts w:hint="eastAsia" w:ascii="宋体" w:hAnsi="宋体" w:eastAsia="宋体"/>
          <w:sz w:val="28"/>
          <w:szCs w:val="28"/>
        </w:rPr>
        <w:t>学    院</w:t>
      </w:r>
      <w:r>
        <w:rPr>
          <w:rFonts w:ascii="宋体" w:hAnsi="宋体" w:eastAsia="宋体" w:cs="黑体"/>
          <w:kern w:val="2"/>
          <w:sz w:val="28"/>
          <w:szCs w:val="28"/>
          <w:lang w:val="en-US" w:eastAsia="zh-CN" w:bidi="ar-SA"/>
        </w:rPr>
        <w:pict>
          <v:shape id="WordArt: Circle 7" o:spid="_x0000_s1030" type="#_x0000_t32" style="position:absolute;left:0;margin-left:186pt;margin-top:33.25pt;height:0.05pt;width:147pt;rotation:0f;z-index:25166336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hint="eastAsia" w:ascii="宋体" w:hAnsi="宋体" w:eastAsia="宋体"/>
          <w:sz w:val="28"/>
          <w:szCs w:val="28"/>
        </w:rPr>
        <w:t>:    网络技术研究院</w:t>
      </w:r>
    </w:p>
    <w:p>
      <w:pPr>
        <w:spacing w:beforeLines="50"/>
        <w:ind w:left="1995" w:leftChars="950"/>
        <w:jc w:val="left"/>
        <w:rPr>
          <w:rFonts w:ascii="宋体" w:hAnsi="宋体" w:eastAsia="宋体"/>
          <w:sz w:val="28"/>
          <w:szCs w:val="28"/>
        </w:rPr>
      </w:pPr>
      <w:r>
        <w:rPr>
          <w:rFonts w:hint="eastAsia" w:ascii="宋体" w:hAnsi="宋体" w:eastAsia="宋体"/>
          <w:sz w:val="28"/>
          <w:szCs w:val="28"/>
        </w:rPr>
        <w:t>专业(领域)</w:t>
      </w:r>
      <w:r>
        <w:rPr>
          <w:rFonts w:ascii="宋体" w:hAnsi="宋体" w:eastAsia="宋体" w:cs="黑体"/>
          <w:kern w:val="2"/>
          <w:sz w:val="28"/>
          <w:szCs w:val="28"/>
          <w:lang w:val="en-US" w:eastAsia="zh-CN" w:bidi="ar-SA"/>
        </w:rPr>
        <w:pict>
          <v:shape id="WordArt: Circle 4" o:spid="_x0000_s1031" type="#_x0000_t32" style="position:absolute;left:0;margin-left:186.25pt;margin-top:33.3pt;height:0.05pt;width:147pt;rotation:0f;z-index:251660288;"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hint="eastAsia" w:ascii="宋体" w:hAnsi="宋体" w:eastAsia="宋体"/>
          <w:sz w:val="28"/>
          <w:szCs w:val="28"/>
        </w:rPr>
        <w:t>:  计算机科学与技术</w:t>
      </w:r>
    </w:p>
    <w:p>
      <w:pPr>
        <w:spacing w:beforeLines="50"/>
        <w:ind w:left="1995" w:leftChars="950"/>
        <w:jc w:val="left"/>
        <w:rPr>
          <w:sz w:val="28"/>
          <w:szCs w:val="28"/>
        </w:rPr>
      </w:pPr>
      <w:r>
        <w:rPr>
          <w:rFonts w:ascii="宋体" w:hAnsi="宋体" w:eastAsia="宋体" w:cs="黑体"/>
          <w:kern w:val="2"/>
          <w:sz w:val="28"/>
          <w:szCs w:val="28"/>
          <w:lang w:val="en-US" w:eastAsia="zh-CN" w:bidi="ar-SA"/>
        </w:rPr>
        <w:pict>
          <v:shape id="WordArt: Circle 5" o:spid="_x0000_s1032" type="#_x0000_t32" style="position:absolute;left:0;margin-left:186.6pt;margin-top:33.15pt;height:0.05pt;width:147pt;rotation:0f;z-index:251661312;"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hint="eastAsia" w:ascii="宋体" w:hAnsi="宋体" w:eastAsia="宋体"/>
          <w:sz w:val="28"/>
          <w:szCs w:val="28"/>
        </w:rPr>
        <w:t>研究方向:    网络技术与应用</w:t>
      </w:r>
    </w:p>
    <w:p>
      <w:pPr>
        <w:tabs>
          <w:tab w:val="left" w:pos="3450"/>
        </w:tabs>
        <w:spacing w:beforeLines="50"/>
        <w:ind w:left="1995" w:leftChars="950"/>
        <w:jc w:val="left"/>
        <w:rPr>
          <w:szCs w:val="21"/>
        </w:rPr>
      </w:pPr>
      <w:r>
        <w:rPr>
          <w:rFonts w:hint="eastAsia" w:ascii="宋体" w:hAnsi="宋体" w:eastAsia="宋体"/>
          <w:sz w:val="28"/>
          <w:szCs w:val="28"/>
        </w:rPr>
        <w:t>导师姓名</w:t>
      </w:r>
      <w:r>
        <w:rPr>
          <w:rFonts w:ascii="宋体" w:hAnsi="宋体" w:eastAsia="宋体" w:cs="黑体"/>
          <w:kern w:val="2"/>
          <w:sz w:val="28"/>
          <w:szCs w:val="28"/>
          <w:lang w:val="en-US" w:eastAsia="zh-CN" w:bidi="ar-SA"/>
        </w:rPr>
        <w:pict>
          <v:shape id="WordArt: Circle 6" o:spid="_x0000_s1033" type="#_x0000_t32" style="position:absolute;left:0;margin-left:185.75pt;margin-top:34pt;height:0.05pt;width:147.75pt;rotation:0f;z-index:251662336;"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hint="eastAsia" w:ascii="宋体" w:hAnsi="宋体" w:eastAsia="宋体"/>
          <w:sz w:val="28"/>
          <w:szCs w:val="28"/>
        </w:rPr>
        <w:t>:    王志谦</w:t>
      </w:r>
    </w:p>
    <w:p>
      <w:pPr>
        <w:tabs>
          <w:tab w:val="left" w:pos="3450"/>
        </w:tabs>
        <w:spacing w:beforeLines="50"/>
        <w:ind w:left="1995" w:leftChars="950"/>
        <w:jc w:val="left"/>
        <w:rPr>
          <w:szCs w:val="21"/>
        </w:rPr>
      </w:pPr>
      <w:r>
        <w:rPr>
          <w:rFonts w:hint="eastAsia" w:ascii="宋体" w:hAnsi="宋体" w:eastAsia="宋体"/>
          <w:sz w:val="28"/>
          <w:szCs w:val="28"/>
        </w:rPr>
        <w:t>攻 读 学 位</w:t>
      </w:r>
      <w:r>
        <w:rPr>
          <w:rFonts w:ascii="宋体" w:hAnsi="宋体" w:eastAsia="宋体" w:cs="黑体"/>
          <w:kern w:val="2"/>
          <w:sz w:val="28"/>
          <w:szCs w:val="28"/>
          <w:lang w:val="en-US" w:eastAsia="zh-CN" w:bidi="ar-SA"/>
        </w:rPr>
        <w:pict>
          <v:shape id="WordArt: Circle 8" o:spid="_x0000_s1034" type="#_x0000_t32" style="position:absolute;left:0;margin-left:185.75pt;margin-top:34pt;height:0.05pt;width:147.75pt;rotation:0f;z-index:251664384;"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hint="eastAsia" w:ascii="宋体" w:hAnsi="宋体" w:eastAsia="宋体"/>
          <w:sz w:val="28"/>
          <w:szCs w:val="28"/>
        </w:rPr>
        <w:t>: 工学硕士</w:t>
      </w:r>
    </w:p>
    <w:p>
      <w:pPr>
        <w:jc w:val="center"/>
        <w:rPr>
          <w:rFonts w:ascii="楷体" w:eastAsia="楷体"/>
          <w:sz w:val="32"/>
        </w:rPr>
      </w:pPr>
    </w:p>
    <w:p>
      <w:pPr>
        <w:jc w:val="center"/>
        <w:rPr>
          <w:rFonts w:ascii="楷体" w:eastAsia="楷体"/>
          <w:sz w:val="32"/>
        </w:rPr>
      </w:pPr>
    </w:p>
    <w:p>
      <w:pPr>
        <w:jc w:val="center"/>
        <w:rPr>
          <w:rFonts w:ascii="楷体" w:eastAsia="楷体"/>
          <w:sz w:val="32"/>
        </w:rPr>
      </w:pPr>
      <w:r>
        <w:rPr>
          <w:rFonts w:hint="eastAsia" w:ascii="宋体" w:hAnsi="宋体" w:eastAsia="宋体"/>
          <w:sz w:val="28"/>
          <w:szCs w:val="28"/>
        </w:rPr>
        <w:t>2013年12月9日</w:t>
      </w: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tbl>
      <w:tblPr>
        <w:tblStyle w:val="6"/>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left w:w="1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PrEx>
        <w:trPr>
          <w:trHeight w:val="465" w:hRule="atLeast"/>
          <w:jc w:val="center"/>
        </w:trPr>
        <w:tc>
          <w:tcPr>
            <w:tcW w:w="1728" w:type="dxa"/>
            <w:tcBorders>
              <w:top w:val="single" w:color="auto" w:sz="12" w:space="0"/>
              <w:left w:val="single" w:color="auto" w:sz="12"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left w:val="single" w:color="auto" w:sz="4" w:space="0"/>
              <w:bottom w:val="single" w:color="auto" w:sz="4" w:space="0"/>
              <w:right w:val="single" w:color="auto" w:sz="12" w:space="0"/>
            </w:tcBorders>
            <w:tcMar>
              <w:left w:w="113" w:type="dxa"/>
              <w:right w:w="113" w:type="dxa"/>
            </w:tcMar>
            <w:vAlign w:val="center"/>
          </w:tcPr>
          <w:p>
            <w:pPr>
              <w:jc w:val="left"/>
              <w:rPr>
                <w:szCs w:val="21"/>
              </w:rPr>
            </w:pPr>
            <w:r>
              <w:rPr>
                <w:rFonts w:hint="eastAsia" w:ascii="宋体" w:hAnsi="宋体"/>
                <w:szCs w:val="21"/>
              </w:rPr>
              <w:t>一种适用于广电网的云应用服务管理方案的研究与实现</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PrEx>
        <w:trPr>
          <w:trHeight w:val="465" w:hRule="atLeast"/>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Borders>
              <w:left w:val="single" w:color="auto" w:sz="4" w:space="0"/>
              <w:bottom w:val="single" w:color="auto" w:sz="4" w:space="0"/>
              <w:right w:val="single" w:color="auto" w:sz="4" w:space="0"/>
            </w:tcBorders>
            <w:tcMar>
              <w:left w:w="113" w:type="dxa"/>
              <w:right w:w="113" w:type="dxa"/>
            </w:tcMar>
            <w:vAlign w:val="center"/>
          </w:tcPr>
          <w:p>
            <w:pPr>
              <w:jc w:val="left"/>
              <w:rPr>
                <w:szCs w:val="21"/>
              </w:rPr>
            </w:pPr>
            <w:r>
              <w:rPr>
                <w:rFonts w:hint="eastAsia" w:ascii="宋体" w:hAnsi="宋体"/>
                <w:szCs w:val="21"/>
              </w:rPr>
              <w:t>企、事业单位委托项目</w:t>
            </w:r>
          </w:p>
        </w:tc>
        <w:tc>
          <w:tcPr>
            <w:tcW w:w="2407" w:type="dxa"/>
            <w:tcBorders>
              <w:left w:val="single" w:color="auto" w:sz="4"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论文类型</w:t>
            </w:r>
          </w:p>
        </w:tc>
        <w:tc>
          <w:tcPr>
            <w:tcW w:w="2390" w:type="dxa"/>
            <w:tcBorders>
              <w:left w:val="single" w:color="auto" w:sz="4" w:space="0"/>
              <w:bottom w:val="single" w:color="auto" w:sz="4" w:space="0"/>
              <w:right w:val="single" w:color="auto" w:sz="12" w:space="0"/>
            </w:tcBorders>
            <w:tcMar>
              <w:left w:w="113" w:type="dxa"/>
              <w:right w:w="113" w:type="dxa"/>
            </w:tcMar>
            <w:vAlign w:val="center"/>
          </w:tcPr>
          <w:p>
            <w:pPr>
              <w:jc w:val="left"/>
              <w:rPr>
                <w:szCs w:val="21"/>
              </w:rPr>
            </w:pPr>
            <w:r>
              <w:rPr>
                <w:rFonts w:hint="eastAsia" w:ascii="宋体" w:hAnsi="宋体"/>
                <w:szCs w:val="21"/>
              </w:rPr>
              <w:t>应用研究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PrEx>
        <w:trPr>
          <w:trHeight w:val="465" w:hRule="atLeast"/>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Borders>
              <w:left w:val="single" w:color="auto" w:sz="4" w:space="0"/>
              <w:bottom w:val="single" w:color="auto" w:sz="4" w:space="0"/>
              <w:right w:val="single" w:color="auto" w:sz="4" w:space="0"/>
            </w:tcBorders>
            <w:tcMar>
              <w:left w:w="113" w:type="dxa"/>
              <w:right w:w="113" w:type="dxa"/>
            </w:tcMar>
            <w:vAlign w:val="center"/>
          </w:tcPr>
          <w:p>
            <w:pPr>
              <w:jc w:val="left"/>
              <w:rPr>
                <w:szCs w:val="21"/>
              </w:rPr>
            </w:pPr>
            <w:r>
              <w:rPr>
                <w:rFonts w:hint="eastAsia" w:ascii="宋体" w:hAnsi="宋体"/>
                <w:szCs w:val="21"/>
              </w:rPr>
              <w:t>2013-12-02</w:t>
            </w:r>
          </w:p>
        </w:tc>
        <w:tc>
          <w:tcPr>
            <w:tcW w:w="2407" w:type="dxa"/>
            <w:tcBorders>
              <w:left w:val="single" w:color="auto" w:sz="4"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开题地点</w:t>
            </w:r>
          </w:p>
        </w:tc>
        <w:tc>
          <w:tcPr>
            <w:tcW w:w="2390" w:type="dxa"/>
            <w:tcBorders>
              <w:left w:val="single" w:color="auto" w:sz="4" w:space="0"/>
              <w:bottom w:val="single" w:color="auto" w:sz="4" w:space="0"/>
              <w:right w:val="single" w:color="auto" w:sz="12" w:space="0"/>
            </w:tcBorders>
            <w:tcMar>
              <w:left w:w="113" w:type="dxa"/>
              <w:right w:w="113"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北京邮电大学信息网络中心 </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PrEx>
        <w:trPr>
          <w:trHeight w:val="11799" w:hRule="atLeast"/>
          <w:jc w:val="center"/>
        </w:trPr>
        <w:tc>
          <w:tcPr>
            <w:tcW w:w="9671" w:type="dxa"/>
            <w:gridSpan w:val="4"/>
            <w:tcBorders>
              <w:top w:val="single" w:color="auto" w:sz="4" w:space="0"/>
              <w:left w:val="single" w:color="auto" w:sz="12" w:space="0"/>
              <w:bottom w:val="single" w:color="auto" w:sz="12" w:space="0"/>
              <w:right w:val="single" w:color="auto" w:sz="12" w:space="0"/>
            </w:tcBorders>
            <w:tcMar>
              <w:left w:w="113" w:type="dxa"/>
              <w:right w:w="113" w:type="dxa"/>
            </w:tcMar>
            <w:vAlign w:val="top"/>
          </w:tcPr>
          <w:p>
            <w:pPr>
              <w:spacing w:beforeLines="50"/>
              <w:ind w:left="420" w:leftChars="200" w:right="420" w:rightChars="200"/>
              <w:rPr>
                <w:rFonts w:ascii="宋体" w:cs="宋体"/>
                <w:b/>
                <w:color w:val="FF0000"/>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pPr>
              <w:spacing w:beforeLines="50"/>
              <w:ind w:left="420" w:leftChars="200" w:right="420" w:rightChars="200" w:firstLine="420" w:firstLineChars="200"/>
              <w:jc w:val="left"/>
              <w:rPr>
                <w:rFonts w:ascii="宋体" w:hAnsi="宋体"/>
              </w:rPr>
            </w:pPr>
            <w:r>
              <w:rPr>
                <w:rFonts w:ascii="宋体" w:hAnsi="宋体"/>
              </w:rPr>
              <w:t>　1.研究意义
</w:t>
            </w:r>
          </w:p>
          <w:p>
            <w:pPr>
              <w:spacing w:beforeLines="50"/>
              <w:ind w:left="420" w:leftChars="200" w:right="420" w:rightChars="200" w:firstLine="420" w:firstLineChars="200"/>
              <w:jc w:val="left"/>
              <w:rPr>
                <w:rFonts w:ascii="宋体" w:hAnsi="宋体"/>
              </w:rPr>
            </w:pPr>
            <w:r>
              <w:rPr>
                <w:rFonts w:ascii="宋体" w:hAnsi="宋体"/>
              </w:rPr>
              <w:t>伴随着国内三网融合的不断推进，越来越多的用户家庭拥有具有双向交互能力的数字电视。同时由于电脑和手机、平板电脑等智能终端的发展，用户可以接触到的应用和内容越来越丰富，用户也越来越多的向互联网方向靠拢，国内电视机的开机率也不断降低。在这样一个内容与体验为王的时代，如何利用现有平台基础，通过技术的改进创新，为用户提供更多的应用、内容，重新获得用户的关注，成为广电运营商亟待解决的问题。
</w:t>
            </w:r>
          </w:p>
          <w:p>
            <w:pPr>
              <w:spacing w:beforeLines="50"/>
              <w:ind w:left="420" w:leftChars="200" w:right="420" w:rightChars="200" w:firstLine="420" w:firstLineChars="200"/>
              <w:jc w:val="left"/>
              <w:rPr>
                <w:rFonts w:ascii="宋体" w:hAnsi="宋体"/>
              </w:rPr>
            </w:pPr>
            <w:r>
              <w:rPr>
                <w:rFonts w:ascii="宋体" w:hAnsi="宋体"/>
              </w:rPr>
              <w:t>国际上对此的解决方案主要有两种：一种是欧洲主流的HBBTV（Hybrid Broadcast Broadband TV）标准。该标准将广电网与互联网标准混合在一起，规定终端提供基于网络下载和执行应用程序的能力，对终端要求较高。另一种是美国主导的全部IP化的方案。
</w:t>
            </w:r>
          </w:p>
          <w:p>
            <w:pPr>
              <w:spacing w:beforeLines="50"/>
              <w:ind w:left="420" w:leftChars="200" w:right="420" w:rightChars="200" w:firstLine="420" w:firstLineChars="200"/>
              <w:jc w:val="left"/>
              <w:rPr>
                <w:rFonts w:ascii="宋体" w:hAnsi="宋体"/>
              </w:rPr>
            </w:pPr>
            <w:r>
              <w:rPr>
                <w:rFonts w:ascii="宋体" w:hAnsi="宋体"/>
              </w:rPr>
              <w:t>我国国内广电运营现状比较复杂，地区与地区之间差距大，呈现“军阀割据”的现状。国内用户机顶盒平台多种多样，并且普遍配置低、运算能力差。而且国内用户的机顶盒是由运营商投放的，如果采用HBBTV标准，需要运营商对终端进行整体升级，这对广电运营商来说太长、投入太大，是无法接受的。如果采用全部IP化的方案，就要抛弃现有的硬件基础，这对广电运营商来说也是不可取的。
</w:t>
            </w:r>
          </w:p>
          <w:p>
            <w:pPr>
              <w:spacing w:beforeLines="50"/>
              <w:ind w:left="420" w:leftChars="200" w:right="420" w:rightChars="200" w:firstLine="420" w:firstLineChars="200"/>
              <w:jc w:val="left"/>
              <w:rPr>
                <w:rFonts w:ascii="宋体" w:hAnsi="宋体"/>
              </w:rPr>
            </w:pPr>
            <w:r>
              <w:rPr>
                <w:rFonts w:ascii="宋体" w:hAnsi="宋体"/>
              </w:rPr>
              <w:t>近两年北京视博云等公司提出了一种新的解决方案，即采用云技术，将终端的运算能力剥离到云端，终端只需要具备基本的网络接入、视频解码和交互处理能力。把应用部署到云端，应用程序的处理、显示图像的渲染等在云端完成，运行结果以音视频流的方式通过网络传送到终端，终端完成音视频的解码并将结果呈现。用户的操作指令通过网络传送到云端运行的应用，应用处理后将响应结果再次以音视频的形式下发。该解决方案对终端能力要求低，现存的多数终端设备都能满足要求，避免了对终端的升级维护。而且在云端部署应用，可以实现应用的快速部署、内容的可管可控、对应用软件的版权保护，以及实现对资源统一有效利用。 
</w:t>
            </w:r>
          </w:p>
          <w:p>
            <w:pPr>
              <w:spacing w:beforeLines="50"/>
              <w:ind w:left="420" w:leftChars="200" w:right="420" w:rightChars="200" w:firstLine="420" w:firstLineChars="200"/>
              <w:jc w:val="left"/>
              <w:rPr>
                <w:rFonts w:ascii="宋体" w:hAnsi="宋体"/>
              </w:rPr>
            </w:pPr>
            <w:r>
              <w:rPr>
                <w:rFonts w:ascii="宋体" w:hAnsi="宋体"/>
              </w:rPr>
              <w:t>2.研究目的
</w:t>
            </w:r>
          </w:p>
          <w:p>
            <w:pPr>
              <w:spacing w:beforeLines="50"/>
              <w:ind w:left="420" w:leftChars="200" w:right="420" w:rightChars="200" w:firstLine="420" w:firstLineChars="200"/>
              <w:jc w:val="left"/>
              <w:rPr>
                <w:rFonts w:ascii="宋体" w:hAnsi="宋体"/>
              </w:rPr>
            </w:pPr>
            <w:r>
              <w:rPr>
                <w:rFonts w:ascii="宋体" w:hAnsi="宋体"/>
              </w:rPr>
              <w:t>（1）研究一种适用于广电网的云应用服务管理方案，使得PC、智能终端上运行的单机应用、互联网上的应用可以移植到广电网上进行部署，为用户提供服务；
</w:t>
            </w:r>
          </w:p>
          <w:p>
            <w:pPr>
              <w:spacing w:beforeLines="50"/>
              <w:ind w:left="420" w:leftChars="200" w:right="420" w:rightChars="200" w:firstLine="420" w:firstLineChars="200"/>
              <w:jc w:val="left"/>
              <w:rPr>
                <w:rFonts w:ascii="宋体" w:hAnsi="宋体"/>
              </w:rPr>
            </w:pPr>
            <w:r>
              <w:rPr>
                <w:rFonts w:ascii="宋体" w:hAnsi="宋体"/>
              </w:rPr>
              <w:t>（2）研究一种云端应用服务器群的调度管理方法，能够针对用户不同的请求，选择合适的应用服务器部署应用，并确保应用服务器间负载均衡；
</w:t>
            </w:r>
          </w:p>
          <w:p>
            <w:pPr>
              <w:spacing w:beforeLines="50"/>
              <w:ind w:left="420" w:leftChars="200" w:right="420" w:rightChars="200" w:firstLine="420" w:firstLineChars="200"/>
              <w:jc w:val="left"/>
              <w:rPr>
                <w:rFonts w:ascii="宋体" w:hAnsi="宋体"/>
              </w:rPr>
            </w:pPr>
            <w:r>
              <w:rPr>
                <w:rFonts w:ascii="宋体" w:hAnsi="宋体"/>
              </w:rPr>
              <w:t>（3）对广电网NGOD架构进行扩展，使之适应新的业务需求。
</w:t>
            </w:r>
          </w:p>
          <w:p>
            <w:pPr>
              <w:spacing w:beforeLines="50"/>
              <w:ind w:left="420" w:leftChars="200" w:right="420" w:rightChars="200" w:firstLine="420" w:firstLineChars="200"/>
              <w:jc w:val="left"/>
              <w:rPr>
                <w:rFonts w:ascii="宋体" w:hAnsi="宋体"/>
              </w:rPr>
            </w:pPr>
            <w:r>
              <w:rPr>
                <w:rFonts w:ascii="宋体" w:hAnsi="宋体"/>
              </w:rPr>
              <w:t>
</w:t>
            </w:r>
          </w:p>
          <w:p>
            <w:pPr>
              <w:spacing w:beforeLines="50"/>
              <w:ind w:left="420" w:leftChars="200" w:right="420" w:rightChars="200" w:firstLine="420" w:firstLineChars="200"/>
              <w:jc w:val="left"/>
              <w:rPr>
                <w:rFonts w:ascii="宋体" w:hAnsi="宋体"/>
              </w:rPr>
            </w:pPr>
            <w:r>
              <w:rPr>
                <w:rFonts w:ascii="宋体" w:hAnsi="宋体"/>
              </w:rPr>
              <w:t>3.研究现状和发展趋势
</w:t>
            </w:r>
          </w:p>
          <w:p>
            <w:pPr>
              <w:spacing w:beforeLines="50"/>
              <w:ind w:left="420" w:leftChars="200" w:right="420" w:rightChars="200" w:firstLine="420" w:firstLineChars="200"/>
              <w:jc w:val="left"/>
              <w:rPr>
                <w:rFonts w:ascii="宋体" w:hAnsi="宋体"/>
              </w:rPr>
            </w:pPr>
            <w:r>
              <w:rPr>
                <w:rFonts w:ascii="宋体" w:hAnsi="宋体"/>
              </w:rPr>
              <w:t>当前适用于广电网、采用云技术为用户提供应用服务的，只有国内的视博云、云联科技，国外的OnLive、Playcast等少数几家公司。由于商业原因，各家公司都没有对技术细节进行公开。
</w:t>
            </w:r>
          </w:p>
          <w:p>
            <w:pPr>
              <w:spacing w:beforeLines="50"/>
              <w:ind w:left="420" w:leftChars="200" w:right="420" w:rightChars="200" w:firstLine="420" w:firstLineChars="200"/>
              <w:jc w:val="left"/>
              <w:rPr>
                <w:rFonts w:ascii="宋体" w:hAnsi="宋体"/>
              </w:rPr>
            </w:pPr>
            <w:r>
              <w:rPr>
                <w:rFonts w:ascii="宋体" w:hAnsi="宋体"/>
              </w:rPr>
              <w:t>OnLive公司是最早提供云游戏服务的公司。然而，由于技术不成熟，该公司在云端只能实现一个服务器对应一个用户。过高的投入导致2012年经营不善，被收购。
</w:t>
            </w:r>
          </w:p>
          <w:p>
            <w:pPr>
              <w:spacing w:beforeLines="50"/>
              <w:ind w:left="420" w:leftChars="200" w:right="420" w:rightChars="200" w:firstLine="420" w:firstLineChars="200"/>
              <w:jc w:val="left"/>
              <w:rPr>
                <w:rFonts w:ascii="宋体" w:hAnsi="宋体"/>
              </w:rPr>
            </w:pPr>
            <w:r>
              <w:rPr>
                <w:rFonts w:ascii="宋体" w:hAnsi="宋体"/>
              </w:rPr>
              <w:t>目前的发展趋势仍是对云端的虚拟化，合理充分利用服务器资源以及云应用服务在广电网上的合理部署。
</w:t>
            </w:r>
          </w:p>
          <w:p>
            <w:pPr>
              <w:spacing w:beforeLines="50"/>
              <w:ind w:left="420" w:leftChars="200" w:right="420" w:rightChars="200" w:firstLine="420" w:firstLineChars="200"/>
              <w:jc w:val="left"/>
              <w:rPr>
                <w:rFonts w:ascii="宋体" w:hAnsi="宋体"/>
              </w:rPr>
            </w:pPr>
            <w:r>
              <w:rPr>
                <w:rFonts w:ascii="宋体" w:hAnsi="宋体"/>
              </w:rPr>
              <w:t>
</w:t>
            </w:r>
          </w:p>
          <w:p>
            <w:pPr>
              <w:spacing w:beforeLines="50"/>
              <w:ind w:left="420" w:leftChars="200" w:right="420" w:rightChars="200" w:firstLine="420" w:firstLineChars="200"/>
              <w:jc w:val="left"/>
              <w:rPr>
                <w:rFonts w:ascii="宋体" w:hAnsi="宋体"/>
              </w:rPr>
            </w:pPr>
            <w:r>
              <w:rPr>
                <w:rFonts w:ascii="宋体" w:hAnsi="宋体"/>
              </w:rPr>
              <w:t>参考文献：
</w:t>
            </w:r>
          </w:p>
          <w:p>
            <w:pPr>
              <w:spacing w:beforeLines="50"/>
              <w:ind w:left="420" w:leftChars="200" w:right="420" w:rightChars="200" w:firstLine="420" w:firstLineChars="200"/>
              <w:jc w:val="left"/>
              <w:rPr>
                <w:rFonts w:ascii="宋体" w:hAnsi="宋体"/>
              </w:rPr>
            </w:pPr>
            <w:r>
              <w:rPr>
                <w:rFonts w:ascii="宋体" w:hAnsi="宋体"/>
              </w:rPr>
              <w:t>[1] Joeng Kim,Ricardo A.Baratto and Jason Nieh. An Application Streaming Service for Mobile Handheld Devices. IEEE International Conference on Services Computing(SCC'06),2006.
</w:t>
            </w:r>
          </w:p>
          <w:p>
            <w:pPr>
              <w:spacing w:beforeLines="50"/>
              <w:ind w:left="420" w:leftChars="200" w:right="420" w:rightChars="200" w:firstLine="420" w:firstLineChars="200"/>
              <w:jc w:val="left"/>
              <w:rPr>
                <w:rFonts w:ascii="宋体" w:hAnsi="宋体"/>
              </w:rPr>
            </w:pPr>
            <w:r>
              <w:rPr>
                <w:rFonts w:ascii="宋体" w:hAnsi="宋体"/>
              </w:rPr>
              <w:t>[2] 李华宇. 运营商拓展增值业务利器——视频云计算系统. 广播电视信息,2013年7月总第255期.
</w:t>
            </w:r>
          </w:p>
          <w:p>
            <w:pPr>
              <w:spacing w:beforeLines="50"/>
              <w:ind w:left="420" w:leftChars="200" w:right="420" w:rightChars="200" w:firstLine="420" w:firstLineChars="200"/>
              <w:jc w:val="left"/>
              <w:rPr>
                <w:rFonts w:ascii="宋体" w:hAnsi="宋体"/>
              </w:rPr>
            </w:pPr>
            <w:r>
              <w:rPr>
                <w:rFonts w:ascii="宋体" w:hAnsi="宋体"/>
              </w:rPr>
              <w:t>[3] 付平武.  应用虚拟化技术应用与研究. 电脑知识与技术,Vol.9,No.20,July 2013.
</w:t>
            </w:r>
          </w:p>
          <w:p>
            <w:pPr>
              <w:spacing w:beforeLines="50"/>
              <w:ind w:left="420" w:leftChars="200" w:right="420" w:rightChars="200" w:firstLine="420" w:firstLineChars="200"/>
              <w:jc w:val="left"/>
              <w:rPr>
                <w:rFonts w:ascii="宋体" w:hAnsi="宋体"/>
              </w:rPr>
            </w:pPr>
            <w:r>
              <w:rPr>
                <w:rFonts w:ascii="宋体" w:hAnsi="宋体"/>
              </w:rPr>
              <w:t>[4] 李永涛. 基于 NGOD 的 VOD 系统的会话管理和边缘资源管理的设计与实现. 北京邮电大学. 2012.
</w:t>
            </w:r>
          </w:p>
          <w:p>
            <w:pPr>
              <w:spacing w:beforeLines="50"/>
              <w:ind w:left="420" w:leftChars="200" w:right="420" w:rightChars="200" w:firstLine="420" w:firstLineChars="200"/>
              <w:jc w:val="left"/>
              <w:rPr>
                <w:rFonts w:ascii="宋体" w:hAnsi="宋体"/>
              </w:rPr>
            </w:pPr>
            <w:r>
              <w:rPr>
                <w:rFonts w:ascii="宋体" w:hAnsi="宋体"/>
              </w:rPr>
              <w:t>[5] 宫伟俊. 双向广电网络中统一边缘资源管理器的研究与实现. 北京邮电大学. 2013.
</w:t>
            </w:r>
          </w:p>
          <w:p>
            <w:pPr>
              <w:spacing w:beforeLines="50"/>
              <w:ind w:left="420" w:leftChars="200" w:right="420" w:rightChars="200" w:firstLine="420" w:firstLineChars="200"/>
              <w:jc w:val="left"/>
              <w:rPr>
                <w:rFonts w:ascii="宋体" w:hAnsi="宋体"/>
              </w:rPr>
            </w:pPr>
            <w:r>
              <w:rPr>
                <w:rFonts w:ascii="宋体" w:hAnsi="宋体"/>
              </w:rPr>
              <w:t>[6] 杨娴,陈麟. 云计算环境下的应用虚拟化的研究. 软件,2012年第33卷第4期
</w:t>
            </w:r>
          </w:p>
          <w:p>
            <w:pPr>
              <w:spacing w:beforeLines="50"/>
              <w:ind w:left="420" w:leftChars="200" w:right="420" w:rightChars="200" w:firstLine="420" w:firstLineChars="200"/>
              <w:jc w:val="left"/>
              <w:rPr>
                <w:rFonts w:ascii="宋体" w:hAnsi="宋体"/>
              </w:rPr>
            </w:pPr>
          </w:p>
        </w:tc>
      </w:tr>
    </w:tbl>
    <w:p>
      <w:pPr>
        <w:spacing w:line="20" w:lineRule="exact"/>
      </w:pPr>
    </w:p>
    <w:tbl>
      <w:tblPr>
        <w:tblStyle w:val="6"/>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left w:w="1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PrEx>
        <w:trPr>
          <w:trHeight w:val="13219" w:hRule="atLeast"/>
          <w:jc w:val="center"/>
        </w:trPr>
        <w:tc>
          <w:tcPr>
            <w:tcW w:w="9639" w:type="dxa"/>
            <w:vAlign w:val="top"/>
          </w:tcPr>
          <w:p>
            <w:pPr>
              <w:numPr>
                <w:ilvl w:val="0"/>
                <w:numId w:val="1"/>
              </w:numPr>
              <w:spacing w:beforeLines="50"/>
              <w:ind w:left="420" w:leftChars="200" w:right="420" w:rightChars="200"/>
              <w:rPr>
                <w:rFonts w:hint="eastAsia" w:ascii="宋体" w:hAnsi="宋体"/>
                <w:b/>
                <w:szCs w:val="21"/>
              </w:rPr>
            </w:pPr>
            <w:r>
              <w:rPr>
                <w:rFonts w:hint="eastAsia" w:ascii="宋体" w:hAnsi="宋体"/>
                <w:b/>
                <w:szCs w:val="21"/>
              </w:rPr>
              <w:t>研究内容和目标（说明课题的具体研究内容，研究目标和效果，以及拟解决的关键科学问题。此部分为重点阐述内容）（不少于2500字）</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1.研究内容</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本次课题提出一种适用于广电网的云应用服务管理方案，希望在不影响现有系统功能的基础上对其进行扩展。另外，新版的NGOD架构已经包括了CDN接口，更有利于应用流化音视频流的传输。故本次课题在对NGOD架构扩展的基础上进行。</w:t>
            </w:r>
          </w:p>
          <w:p>
            <w:pPr>
              <w:spacing w:before="156" w:beforeLines="50" w:line="288" w:lineRule="auto"/>
              <w:ind w:left="420" w:leftChars="200" w:right="420" w:rightChars="200" w:firstLine="420" w:firstLineChars="200"/>
              <w:jc w:val="left"/>
              <w:rPr>
                <w:rFonts w:ascii="宋体" w:hAnsi="宋体" w:cs="Times New Roman"/>
              </w:rPr>
            </w:pPr>
            <w:r>
              <w:rPr>
                <w:rFonts w:hint="eastAsia" w:ascii="宋体" w:hAnsi="宋体"/>
              </w:rPr>
              <w:t xml:space="preserve"> </w:t>
            </w:r>
            <w:r>
              <w:rPr>
                <w:rFonts w:hint="eastAsia" w:ascii="宋体" w:hAnsi="宋体" w:cs="Times New Roman"/>
              </w:rPr>
              <w:t>（1）NGOD架构扩展</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NGOD(Next Generation On Demand，即下一代交互电视架构)是由美国规模最大的有线电视服务商 Comcast公司提出的一种新的开放的交互式服务网络框架结构。该架构合理细致的划分出了各个逻辑功能组件，而且将各组件间的协议交互和通信接口规定的更加全面和详尽。目前，业内以及开始逐步的转向使用 NGOD 架构进行开发和部署广电网内的视频点播系统。NGOD架构支持VOD、数字广播电视、高清电视点播、广告插入、交换电视和向个人电脑推送媒资等服务。</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NGOD架构模块图如图1所示。</w:t>
            </w:r>
          </w:p>
          <w:p>
            <w:pPr>
              <w:spacing w:before="156" w:beforeLines="50" w:line="288" w:lineRule="auto"/>
              <w:ind w:left="420" w:leftChars="200" w:right="420" w:rightChars="200" w:firstLine="420" w:firstLineChars="200"/>
              <w:jc w:val="center"/>
              <w:rPr>
                <w:rFonts w:ascii="宋体" w:hAnsi="宋体"/>
              </w:rPr>
            </w:pPr>
            <w:bookmarkStart w:id="0" w:name="_GoBack"/>
            <w:r>
              <w:rPr>
                <w:rFonts w:hint="eastAsia" w:ascii="宋体" w:hAnsi="宋体" w:eastAsia="宋体" w:cs="黑体"/>
                <w:kern w:val="2"/>
                <w:sz w:val="21"/>
                <w:szCs w:val="22"/>
                <w:lang w:val="en-US" w:eastAsia="zh-CN" w:bidi="ar-SA"/>
              </w:rPr>
              <w:pict>
                <v:shape id="图片 2" o:spid="_x0000_s1035" type="#_x0000_t75" style="height:282pt;width:416.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bookmarkEnd w:id="0"/>
          </w:p>
          <w:p>
            <w:pPr>
              <w:spacing w:before="156" w:beforeLines="50" w:line="288" w:lineRule="auto"/>
              <w:ind w:left="420" w:leftChars="200" w:right="420" w:rightChars="200" w:firstLine="420" w:firstLineChars="200"/>
              <w:jc w:val="center"/>
              <w:rPr>
                <w:rFonts w:ascii="宋体" w:hAnsi="宋体"/>
              </w:rPr>
            </w:pPr>
            <w:r>
              <w:rPr>
                <w:rFonts w:hint="eastAsia" w:ascii="宋体" w:hAnsi="宋体"/>
              </w:rPr>
              <w:t>图1 NGOD架构模块图</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On Demand Client：点播客户端，被定义为数字机顶盒或任何可以提供代理服务来同NGOD进行交互的网关服务器上的一个模块收集器。ODC与其它组件的关键信息和协议包括资产信息（接口A7）、授权信息（接口E2）、会话信号协议（接口S1）、推流控制协议（接口C1）、视频流（接口V4）、客户端自动检测接口（接口D1）。</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Navigation Server：导航服务器，为点播服务的资产导航抽象的特定逻辑的应用。导航服务器为点播应用获取其它组件的必需的信息，为点播客户端提供导航菜单和相关应用属性，并同客户端交换信息来激活导航。导航服务器通过接口A6查询和更新来自AMS的资产元数据。</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Purchase Server：购买服务器，作为为点播服务的购买和授权抽象的特定逻辑的应用。为了授权服务，购买服务器需要ES（Entitlement Server）的授权验证过程的接口（接口E1），购买服务器从ES找回的用户授权信息将被缓存起来以减小响应时间。会话管理器的会话信息需要发送到购买服务器进行会话的实时授权（通过接口S2）。购买服务器和导航服务器通常在一个组合模块中实现。</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Edge Device：边缘设备，主要功能是接收从IP传输网络通过UDP/IP传送过来的多MPEG SPTS，转成MPEG MPTS，并且产生QAM调制信号。</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Edge Resource Manager：边缘资源管理器，负责分配和管理边缘设备上所需的资源，如QAM带宽（通过接口R6）。在从会话管理器（Session Manager）特定会话传来的资源请求上，边缘资源管理器需要确定边缘设备的使用，输入UDP端口和IP地址，输出频率和MPEG节目参数。边缘资源管理器的其它功能也包括带宽管理和服务质量。</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Streaming Server：推流服务器，负责通过传输网络和边缘设备，将数字视频流向数字机顶盒。推流服务器也处理VCR类似的流控制，如暂停、快进、快退等。</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Asset Propagation Manager：媒资传输管理器，负责将来自各种内容源（AMS、RTS）的资产传送到合适的推流服务器（通过接口A3）。这项重要的功能常被叫作“传播服务”。通过定义媒资传播管理器和推流服务器之间的接口（A3），实现多个厂商的推流服务器可以通过相同的传播服务框架被引入到工作中。这个接口隐藏了推流服务器存储系统的内在实现。它可以包括多个参数，如存储容量、接收带宽以及是否备份内容文件到多个推流服务器中。</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On Demand Manager：点播资源管理器，负责分配和管理来自推流服务器的流资源。在会话建立来自客户端的请求之前，会话管理器从点播资源管理器请求资源（通过接口S3）。由点播资源管理器分配的资源包括选择的推流服务器（通过接口R1）和分配的流资源（通过接口R2）。</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Session Manager：会话管理器（SM），负责为点播服务管理会话生命周期。会话管理器的一项重要功能是通过同适当的服务器和网络组建的资源管理的协商下，为会话获取必需的资源。</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NGOD架构主要是为视频点播业务服务的，并没有考虑到在广电网上的云应用服务。需要在该架构的基础上添加应用服务器和应用服务器管理模块。同时，点播客户端应建立同应用服务器的连接，用来传输操作命令。内容源是应用服务器上被流化的应用，所以应建立应用服务器到推流服务器的连接。</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（2）应用服务器管理</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云端应用部署在应用服务器上，应用服务器的性能、分配、资源管理直接关系到用户的体验效果。</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首先是服务器位置的选择。部署云应用一个关键要求是时延尽可能短。会话上行通路是点播客户端到应用服务器的连接，下行通路是应用服务器将流化后的视频发送到推流服务器，推流服务器再经过边缘设备，将视频流传输到点播客户端。如何选择推流服务器、边缘设备和应用服务器是决定整个下行通路时延的关键。</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其次是服务器资源管理。用户选择应用的类型不同，对服务器硬件资源的要求就不同。例如，3D游戏对CPU、内存和显卡性能要求远高于一般的2D游戏。又或者，有些应用对内存要求高，但对CPU要求低，而另外一些应用恰恰相反。目前有两种简单的分配方法。一种是将新的请求应用部署到负载最小的服务器上，这样可以保证服务器间负载均衡，但服务器资源碎片化严重，造成资源的浪费；一种是将新的请求应用部署到负载最大的服务器上，这样可以减少一部分碎片，但是服务器间负载均衡性很差，如果一些服务器宕机，会造成很多会话的丢失，服务质量差。在对服务器资源进行分配时，要考虑如何将不同类型、不同需求的应用部署到多台服务器上，既能保证对服务器资源的充分利用、减少碎片，又能保证服务器间负载均衡以及应用服务器群的可扩展性，是进行服务器资源管理的核心问题。</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（3）应用部署</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本课题将应用部署到云端，应用程序的处理、显示图像的渲染等在云端完成，之后将运行结果以音视频流的方式通过网络传送到终端，终端完成音视频的解码并进行结果呈现。用户的操作指令通过网络传送到云端运行的应用，应用处理后将响应结果再次以音视频的形式下发。应用部署到云端，需要对云端资源虚拟化，主要有三种技术方式：</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一、服务器虚拟化。将服务器物理资源抽象成逻辑资源，让一台服务器变成几台甚至上千台相互隔离的虚拟服务器，不再受限于物理上的界限，而是让CPU、内存、磁盘、I/O等硬件变成可以动态管理的“资源池”。</w:t>
            </w:r>
            <w:r>
              <w:rPr>
                <w:rFonts w:ascii="宋体" w:hAnsi="宋体"/>
              </w:rPr>
              <w:t>将服务器硬件资源按需分配给每台虚拟机，虚拟机里再安装操作系统和用户所需的应用程序。这种方式便于资源管理和用户数据的管理，并且用户与用户之间有很好的隔离性，易于实现。</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二、桌面虚拟化，指将计算机的桌面进行虚拟化，以达到桌面使用的安全性和灵活性。桌面虚拟化依赖于服务器虚拟化，在数据中心的服务器上进行服务器虚拟化，生成大量的独立的桌面操作系统，同时根据专有的虚拟桌面协议发送到终端设备。</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三、应用虚拟化，将应用程序与操作系统解耦合，为应用程序提供了一个虚拟的运行环境。在这个环境中，不仅包括应用程序的可执行文件，还包括它所需要的运行时环境。从本质上说，应用虚拟化是把应用对低层的系统和硬件的依赖抽象出来。应用虚拟化的技术原理是基于应用/服务器计算架构，采用类似虚拟终端的技术，把应用程序的人机交互逻辑与计算逻辑隔离开来。在用户访问一个虚拟化后的应用时，用户客户端只需要把人机交互逻辑传送到服务器端，服务器端为用户开设独立的会话空间，应用程序的计算逻辑在这个会话空间中运行，把变化后的人机交互逻辑传送给客户端，并在客户端展示</w:t>
            </w:r>
            <w:r>
              <w:rPr>
                <w:rFonts w:hint="eastAsia" w:ascii="宋体" w:hAnsi="宋体"/>
                <w:vertAlign w:val="superscript"/>
              </w:rPr>
              <w:t>[3]</w:t>
            </w:r>
            <w:r>
              <w:rPr>
                <w:rFonts w:hint="eastAsia" w:ascii="宋体" w:hAnsi="宋体"/>
              </w:rPr>
              <w:t>。</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服务器虚拟化的方式有很好的隔离性，但其实现方式是在系统里安装虚拟化软件，再在虚拟机上安装操作系统，这样就产生了原系统和虚拟化软件两层消耗。尽管以Hyper-V为代表的虚拟化技术提供了直接在裸机上安装虚拟化软件的实现方式，但仍不能避免多个虚拟机运行多个操作系统产生的资源消耗，尤其在用户较多、并发路数较大时，虚拟机本身消耗的资源便成为了无法忽略的成本。桌面虚拟化和服务器虚拟化有类似的优缺点。应用虚拟化只是虚拟了应用程序运行时所需的关键部分，相对轻量小巧</w:t>
            </w:r>
            <w:r>
              <w:rPr>
                <w:rFonts w:hint="eastAsia" w:ascii="宋体" w:hAnsi="宋体"/>
                <w:vertAlign w:val="superscript"/>
              </w:rPr>
              <w:t>[2]</w:t>
            </w:r>
            <w:r>
              <w:rPr>
                <w:rFonts w:hint="eastAsia" w:ascii="宋体" w:hAnsi="宋体"/>
              </w:rPr>
              <w:t>。综上考虑，本次课题拟采用应用虚拟化技术方式。</w:t>
            </w:r>
            <w:r>
              <w:rPr>
                <w:rFonts w:ascii="宋体" w:hAnsi="宋体"/>
              </w:rPr>
              <w:t xml:space="preserve"> </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2.研究目标与效果</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一、扩展NGOD架构，支持应用服务器，支持云应用部署。扩展NGOD架构中会话管理模块，实现点播客户端与应用服务器之间的会话管理。</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二、实现应用服务器管理模块。实现在应用服务器群中较合理地选择应用服务器，维护服务器间的负载均衡，合理利用服务器资源、减少资源碎片。</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三、实现云端虚拟化，将应用部署到云端并运行。</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3.拟解决的关键科学问题</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一、对NGOD架构的扩展。在不影响原架构功能的基础上对NGOD架构合理扩展。</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二、提出合理的算法，综合考虑用户选择应用的类型、用户的位置、服务器的负载情况等因素选定应用服务器。</w:t>
            </w:r>
          </w:p>
          <w:p>
            <w:pPr>
              <w:spacing w:before="156" w:beforeLines="50" w:line="288" w:lineRule="auto"/>
              <w:ind w:left="420" w:leftChars="200" w:right="420" w:rightChars="200" w:firstLine="420" w:firstLineChars="200"/>
              <w:jc w:val="left"/>
              <w:rPr>
                <w:rFonts w:ascii="宋体" w:hAnsi="宋体"/>
              </w:rPr>
            </w:pPr>
            <w:r>
              <w:rPr>
                <w:rFonts w:hint="eastAsia" w:ascii="宋体" w:hAnsi="宋体"/>
              </w:rPr>
              <w:t>三、建立应用与推流服务器、边缘设备和客户端的连接。</w:t>
            </w:r>
          </w:p>
          <w:p>
            <w:r>
              <w:rPr>
                <w:rFonts w:hint="eastAsia" w:ascii="宋体" w:hAnsi="宋体"/>
              </w:rPr>
              <w:t>四、在云端实现虚拟化，并部署运行应用。</w:t>
            </w:r>
          </w:p>
          <w:p>
            <w:pPr>
              <w:numPr>
                <w:numId w:val="0"/>
              </w:numPr>
              <w:spacing w:beforeLines="50"/>
              <w:ind w:right="420" w:rightChars="200"/>
              <w:rPr>
                <w:rFonts w:hint="eastAsia" w:ascii="宋体" w:hAnsi="宋体"/>
                <w:b/>
                <w:szCs w:val="21"/>
              </w:rPr>
            </w:pPr>
          </w:p>
        </w:tc>
      </w:tr>
    </w:tbl>
    <w:p>
      <w:pPr>
        <w:spacing w:line="20" w:lineRule="exact"/>
      </w:pPr>
    </w:p>
    <w:tbl>
      <w:tblPr>
        <w:tblStyle w:val="7"/>
        <w:tblW w:w="9614" w:type="dxa"/>
        <w:jc w:val="center"/>
        <w:tblInd w:w="16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rPr>
          <w:trHeight w:val="13219" w:hRule="atLeast"/>
          <w:jc w:val="center"/>
        </w:trPr>
        <w:tc>
          <w:tcPr>
            <w:tcW w:w="9614" w:type="dxa"/>
            <w:vAlign w:val="top"/>
          </w:tcPr>
          <w:p>
            <w:pPr>
              <w:numPr>
                <w:ilvl w:val="0"/>
                <w:numId w:val="2"/>
              </w:numPr>
              <w:spacing w:beforeLines="50" w:line="288" w:lineRule="auto"/>
              <w:ind w:left="420" w:leftChars="200" w:right="420" w:rightChars="200"/>
              <w:rPr>
                <w:rFonts w:hint="eastAsia" w:ascii="宋体" w:hAnsi="宋体"/>
                <w:b/>
                <w:szCs w:val="21"/>
              </w:rPr>
            </w:pPr>
            <w:r>
              <w:rPr>
                <w:rFonts w:hint="eastAsia" w:ascii="宋体" w:hAnsi="宋体"/>
                <w:b/>
                <w:spacing w:val="-10"/>
                <w:szCs w:val="21"/>
              </w:rPr>
              <w:t>研究方案设计及可行性分析（包括：研究方法，技术路线，理论分析、计算、实验方法和步骤及其可行性等）</w:t>
            </w:r>
            <w:r>
              <w:rPr>
                <w:rFonts w:hint="eastAsia" w:ascii="宋体" w:hAnsi="宋体"/>
                <w:b/>
                <w:szCs w:val="21"/>
              </w:rPr>
              <w:t>（不少于800字）</w:t>
            </w: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rPr>
              <w:t>1.研究方法</w:t>
            </w: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rPr>
              <w:t>（1）理论知识准备：利用文献调查，校图书馆，网上相关学术数据库等资源、文献进行阅读、归纳和整理。提炼出有价值的部分，然后研究和分析。</w:t>
            </w: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rPr>
              <w:t>（2）需求分析：</w:t>
            </w:r>
            <w:r>
              <w:rPr>
                <w:rFonts w:ascii="宋体" w:hAnsi="宋体" w:eastAsia="宋体" w:cs="黑体"/>
              </w:rPr>
              <w:t>掌握课题要扩展的NGOD架构，需要具体理解NGOD架构中对SM、ERM、ODRM模块的规定标准；学习服务器资源分配管理方面的知识；学习应用虚拟化和服务器虚拟化的知识。</w:t>
            </w: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rPr>
              <w:t>（3）技术调研：对课题中涉及的基本原理进行学习，然后针对具体的技术方案，特别是要向开源代码学习和借鉴。</w:t>
            </w: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rPr>
              <w:t>（4）设计技术方案：在理论准备和技术调研的基础上，结合需求分析和技术调研，设计出完整的技术方案。</w:t>
            </w: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rPr>
              <w:t>（5）实现并测试：理论与实践相结合，根据自己设计的技术方案，运用到实践当中去。编写各模块代码并测试。</w:t>
            </w: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rPr>
              <w:t>（6）完成论文：整理文献资料、代码和数据等，完成毕业论文。</w:t>
            </w: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rPr>
              <w:t>2.技术路线</w:t>
            </w: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rPr>
              <w:t>(1)NGOD架构扩展</w:t>
            </w: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rPr>
              <w:t>NGOD架构合理细致地划分出了各逻辑功能模块组件，并且将各组件间的协议交互和通信接口规定的更加全面详细。NGOD架构支持VOD、数字广播电视、高清电视点播、广告插入、交换电视和向个人电脑推送媒资等服务。对NGOD架构进行扩展、增强部分模块的功能，使NGOD架构适用于广电网上的云应用。</w:t>
            </w: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rPr>
              <w:t>扩展的NGOD架构部分模块图如图2所示。</w:t>
            </w: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rPr>
              <w:t>首先在NGOD架构的基础上增加了应用服务器管理模块和应用服务器模块。应用部署在应用服务器上运行。应用服务器管理模块负责选择应用服务器、分配管理应用服务器资源、保持应用服务器间负载均衡、在应用服务器上部署运行应用。</w:t>
            </w: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rPr>
              <w:t>扩展会话管理器功能。点播客户端发起会话请求后，会话管理器除向ERM边缘资源管理器请求边缘设备资源和向ODRM点播资源管理器请求推流服务器资源，还需要向应用服务器管理器请求应用服务器资源。当点播客户端发出会话撤销命令时，会话管理器通过和ERM、ODRM、应用服务器管理器通信来撤销会话和回收相应的资源。</w:t>
            </w: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rPr>
              <w:t>如图2所示，在点播客户端请求应用程序时，上行通路是点播客户端到应用服务器的连接，下行通路是应用服务器上流化后的应用的视频传输到推流服务器，再由推流服务器经边缘设备传送到点播客户端。</w:t>
            </w: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kern w:val="2"/>
                <w:sz w:val="21"/>
                <w:szCs w:val="22"/>
                <w:lang w:val="en-US" w:eastAsia="zh-CN" w:bidi="ar-SA"/>
              </w:rPr>
              <w:pict>
                <v:shape id="图片 1" o:spid="_x0000_s1036" type="#_x0000_t75" style="height:313.5pt;width:365.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before="156" w:beforeLines="50" w:line="288" w:lineRule="auto"/>
              <w:ind w:left="420" w:leftChars="200" w:right="420" w:rightChars="200" w:firstLine="420" w:firstLineChars="200"/>
              <w:jc w:val="center"/>
              <w:rPr>
                <w:rFonts w:ascii="宋体" w:hAnsi="宋体" w:eastAsia="宋体" w:cs="黑体"/>
              </w:rPr>
            </w:pPr>
            <w:r>
              <w:rPr>
                <w:rFonts w:hint="eastAsia" w:ascii="宋体" w:hAnsi="宋体" w:eastAsia="宋体" w:cs="黑体"/>
              </w:rPr>
              <w:t>图2 扩展NGOD架构部分模块图</w:t>
            </w:r>
          </w:p>
          <w:p>
            <w:pPr>
              <w:spacing w:before="156" w:beforeLines="50" w:line="288" w:lineRule="auto"/>
              <w:ind w:left="420" w:leftChars="200" w:right="420" w:rightChars="200" w:firstLine="420" w:firstLineChars="200"/>
              <w:jc w:val="left"/>
              <w:rPr>
                <w:rFonts w:ascii="宋体" w:hAnsi="宋体" w:eastAsia="宋体" w:cs="黑体"/>
              </w:rPr>
            </w:pPr>
          </w:p>
          <w:p>
            <w:pPr>
              <w:spacing w:before="156" w:beforeLines="50" w:line="288" w:lineRule="auto"/>
              <w:ind w:left="420" w:leftChars="200" w:right="420" w:rightChars="200" w:firstLine="420" w:firstLineChars="200"/>
              <w:jc w:val="left"/>
              <w:rPr>
                <w:rFonts w:ascii="宋体" w:hAnsi="宋体" w:eastAsia="宋体" w:cs="黑体"/>
              </w:rPr>
            </w:pPr>
            <w:r>
              <w:rPr>
                <w:rFonts w:hint="eastAsia" w:ascii="宋体" w:hAnsi="宋体" w:eastAsia="宋体" w:cs="黑体"/>
              </w:rPr>
              <w:t>（2）云端虚拟化</w:t>
            </w:r>
          </w:p>
          <w:p>
            <w:pPr>
              <w:spacing w:before="156" w:beforeLines="50" w:line="288" w:lineRule="auto"/>
              <w:ind w:left="420" w:leftChars="200" w:right="420" w:rightChars="200" w:firstLine="420" w:firstLineChars="200"/>
              <w:jc w:val="left"/>
              <w:rPr>
                <w:rFonts w:ascii="Calibri" w:hAnsi="Calibri" w:eastAsia="宋体" w:cs="黑体"/>
              </w:rPr>
            </w:pPr>
            <w:r>
              <w:rPr>
                <w:rFonts w:hint="eastAsia" w:ascii="Calibri" w:hAnsi="Calibri" w:eastAsia="宋体" w:cs="黑体"/>
              </w:rPr>
              <w:t>云计算的核心技术是虚拟化。本次课题有两种在云端实现虚拟化的方案：第一种是在服务器虚拟化的基础之上创建虚拟主机，每个用户分配一台虚拟主机。这样便于用户数据、服务器资源的管理，易于实现，但是对服务器资源消耗大。第二种是应用虚拟化。应用虚拟化技术可以实现在一台计算机上同时运行不同版本的应用程序，可以同时运行不兼容的应用程序。应用虚拟化不需要为用户单独创建虚拟主机，对服务器资源消耗小</w:t>
            </w:r>
            <w:r>
              <w:rPr>
                <w:rFonts w:ascii="Calibri" w:hAnsi="Calibri" w:eastAsia="宋体" w:cs="黑体"/>
              </w:rPr>
              <w:t>，应用部署迅速</w:t>
            </w:r>
            <w:r>
              <w:rPr>
                <w:rFonts w:hint="eastAsia" w:ascii="Calibri" w:hAnsi="Calibri" w:eastAsia="宋体" w:cs="黑体"/>
              </w:rPr>
              <w:t>。但并不是每个应用程序</w:t>
            </w:r>
            <w:r>
              <w:rPr>
                <w:rFonts w:ascii="Calibri" w:hAnsi="Calibri" w:eastAsia="宋体" w:cs="黑体"/>
              </w:rPr>
              <w:t>都</w:t>
            </w:r>
            <w:r>
              <w:rPr>
                <w:rFonts w:hint="eastAsia" w:ascii="Calibri" w:hAnsi="Calibri" w:eastAsia="宋体" w:cs="黑体"/>
              </w:rPr>
              <w:t>可以进行虚拟化，所以必须考虑其虚拟化之后的可用性同题。</w:t>
            </w:r>
            <w:r>
              <w:rPr>
                <w:rFonts w:ascii="Calibri" w:hAnsi="Calibri" w:eastAsia="宋体" w:cs="黑体"/>
              </w:rPr>
              <w:t>应用虚拟化后性能通常比直接安装在计算机上性能要差</w:t>
            </w:r>
            <w:r>
              <w:rPr>
                <w:rFonts w:hint="eastAsia" w:ascii="Calibri" w:hAnsi="Calibri" w:eastAsia="宋体" w:cs="黑体"/>
                <w:vertAlign w:val="superscript"/>
              </w:rPr>
              <w:t>[6]</w:t>
            </w:r>
            <w:r>
              <w:rPr>
                <w:rFonts w:ascii="Calibri" w:hAnsi="Calibri" w:eastAsia="宋体" w:cs="黑体"/>
              </w:rPr>
              <w:t>。</w:t>
            </w:r>
            <w:r>
              <w:rPr>
                <w:rFonts w:hint="eastAsia" w:ascii="Calibri" w:hAnsi="Calibri" w:eastAsia="宋体" w:cs="黑体"/>
              </w:rPr>
              <w:t>而且需要对用户的数据进行单独管理，较难实现。现在拟采用第二种方案。</w:t>
            </w:r>
          </w:p>
          <w:p>
            <w:pPr>
              <w:spacing w:before="156" w:beforeLines="50" w:line="288" w:lineRule="auto"/>
              <w:ind w:left="420" w:leftChars="200" w:right="420" w:rightChars="200" w:firstLine="420" w:firstLineChars="200"/>
              <w:jc w:val="left"/>
              <w:rPr>
                <w:rFonts w:ascii="Calibri" w:hAnsi="Calibri" w:eastAsia="宋体" w:cs="黑体"/>
              </w:rPr>
            </w:pPr>
            <w:r>
              <w:rPr>
                <w:rFonts w:hint="eastAsia" w:ascii="Calibri" w:hAnsi="Calibri" w:eastAsia="宋体" w:cs="黑体"/>
              </w:rPr>
              <w:t>3.可行性</w:t>
            </w:r>
          </w:p>
          <w:p>
            <w:pPr>
              <w:spacing w:before="156" w:beforeLines="50" w:line="288" w:lineRule="auto"/>
              <w:ind w:left="420" w:leftChars="200" w:right="420" w:rightChars="200" w:firstLine="420" w:firstLineChars="200"/>
              <w:jc w:val="left"/>
              <w:rPr>
                <w:rFonts w:ascii="Calibri" w:hAnsi="Calibri" w:eastAsia="宋体" w:cs="黑体"/>
              </w:rPr>
            </w:pPr>
            <w:r>
              <w:rPr>
                <w:rFonts w:hint="eastAsia" w:ascii="Calibri" w:hAnsi="Calibri" w:eastAsia="宋体" w:cs="黑体"/>
              </w:rPr>
              <w:t>应用于广电网视频点播业务的NGOD架构的会话管理、边缘资源管理、点播资源管理、媒资传播管理等模块已被实现。在此基础上，对NGOD架构进行扩展，增加应用服务器管理模块，扩展点播资源管理、边缘资源管理、会话管理等相关模块的功能，使之适应广电网上的云应用服务。</w:t>
            </w:r>
          </w:p>
          <w:p>
            <w:r>
              <w:rPr>
                <w:rFonts w:hint="eastAsia" w:ascii="Calibri" w:hAnsi="Calibri" w:eastAsia="宋体" w:cs="黑体"/>
              </w:rPr>
              <w:t>综上所述，适用于广电网的云应用服务管理方案调研充分，系统架构、模块组成、步骤流程思路清晰，测试环境，部署环境等硬件条件具备，故本课题切实可行。</w:t>
            </w:r>
          </w:p>
          <w:p>
            <w:pPr>
              <w:numPr>
                <w:numId w:val="0"/>
              </w:numPr>
              <w:spacing w:beforeLines="50" w:line="288" w:lineRule="auto"/>
              <w:ind w:right="420" w:rightChars="200"/>
              <w:rPr>
                <w:rFonts w:hint="eastAsia" w:ascii="宋体" w:hAnsi="宋体"/>
                <w:b/>
                <w:szCs w:val="21"/>
              </w:rPr>
            </w:pPr>
          </w:p>
        </w:tc>
      </w:tr>
    </w:tbl>
    <w:p>
      <w:pPr>
        <w:widowControl/>
        <w:spacing w:line="20" w:lineRule="exact"/>
        <w:jc w:val="left"/>
        <w:rPr>
          <w:sz w:val="10"/>
          <w:szCs w:val="10"/>
        </w:rPr>
      </w:pPr>
    </w:p>
    <w:tbl>
      <w:tblPr>
        <w:tblStyle w:val="7"/>
        <w:tblW w:w="9605"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rPr>
          <w:trHeight w:val="6237" w:hRule="atLeast"/>
          <w:jc w:val="center"/>
        </w:trPr>
        <w:tc>
          <w:tcPr>
            <w:tcW w:w="9605" w:type="dxa"/>
            <w:tcBorders>
              <w:bottom w:val="single" w:color="auto" w:sz="4" w:space="0"/>
            </w:tcBorders>
            <w:vAlign w:val="top"/>
          </w:tcPr>
          <w:p>
            <w:pPr>
              <w:spacing w:beforeLines="50" w:line="360" w:lineRule="auto"/>
              <w:ind w:left="420" w:leftChars="200" w:right="420" w:rightChars="200"/>
              <w:rPr>
                <w:rFonts w:ascii="宋体" w:hAnsi="宋体"/>
                <w:b/>
                <w:spacing w:val="-10"/>
                <w:szCs w:val="21"/>
              </w:rPr>
            </w:pPr>
            <w:r>
              <w:rPr>
                <w:rFonts w:hint="eastAsia" w:ascii="宋体" w:hAnsi="宋体"/>
                <w:b/>
                <w:spacing w:val="-10"/>
                <w:szCs w:val="21"/>
              </w:rPr>
              <w:t>四、本研究课题可能的创新之处</w:t>
            </w:r>
            <w:r>
              <w:rPr>
                <w:rFonts w:hint="eastAsia" w:ascii="宋体" w:hAnsi="宋体"/>
                <w:b/>
                <w:szCs w:val="21"/>
              </w:rPr>
              <w:t>（不少于500字）</w:t>
            </w:r>
          </w:p>
          <w:p>
            <w:pPr>
              <w:spacing w:line="360" w:lineRule="auto"/>
              <w:ind w:left="420" w:leftChars="200" w:right="420" w:rightChars="200" w:firstLine="420" w:firstLineChars="200"/>
              <w:jc w:val="left"/>
              <w:rPr>
                <w:rFonts w:ascii="宋体" w:hAnsi="宋体"/>
              </w:rPr>
            </w:pPr>
            <w:r>
              <w:rPr>
                <w:rFonts w:hint="eastAsia" w:ascii="宋体" w:hAnsi="宋体"/>
              </w:rPr>
              <w:t>1.研究一种新型算法，在云端实现对应用服务器的调度和资源管理。
</w:t>
            </w:r>
          </w:p>
          <w:p>
            <w:pPr>
              <w:spacing w:line="360" w:lineRule="auto"/>
              <w:ind w:left="420" w:leftChars="200" w:right="420" w:rightChars="200" w:firstLine="420" w:firstLineChars="200"/>
              <w:jc w:val="left"/>
              <w:rPr>
                <w:rFonts w:ascii="宋体" w:hAnsi="宋体"/>
              </w:rPr>
            </w:pPr>
            <w:r>
              <w:rPr>
                <w:rFonts w:hint="eastAsia" w:ascii="宋体" w:hAnsi="宋体"/>
              </w:rPr>
              <w:t>对服务器资源的调度管理需要综合考虑用户选择应用程序的类型、用户的位置、服务器的负载情况等因素。目前，有人已实现NGOD架构中ERM、ODRM模块，在选择推流服务器和边缘资源管理器时采用靠近用户的原则选择设备。但是，广电网中的云应用对传播时延要求很高，在选择应用服务器的位置时需要综合考虑上行和下行通路的时延。不同的应用类型对服务器资源的需求不同，有些应用可能对CPU要求高，对内存、显卡等要求低，有些应用可能对显卡要求较高，例如3D游戏，显卡必须具备较高的性能才能对游戏画面完成渲染。服务器间负载平衡，有利于保证服务质量。假如部分服务器负载远高于其它服务器，如果这部分服务器宕机，会造成大部分会话丢失，降低了系统的QoS。
</w:t>
            </w:r>
          </w:p>
          <w:p>
            <w:pPr>
              <w:spacing w:line="360" w:lineRule="auto"/>
              <w:ind w:left="420" w:leftChars="200" w:right="420" w:rightChars="200" w:firstLine="420" w:firstLineChars="200"/>
              <w:jc w:val="left"/>
              <w:rPr>
                <w:rFonts w:ascii="宋体" w:hAnsi="宋体"/>
              </w:rPr>
            </w:pPr>
            <w:r>
              <w:rPr>
                <w:rFonts w:hint="eastAsia" w:ascii="宋体" w:hAnsi="宋体"/>
              </w:rPr>
              <w:t>课题需要在综合考虑以上因素的基础上，提出一种新的算法，合理地选择应用服务器、分配服务器资源，提高系统的服务质量。
</w:t>
            </w:r>
          </w:p>
          <w:p>
            <w:pPr>
              <w:spacing w:line="360" w:lineRule="auto"/>
              <w:ind w:left="420" w:leftChars="200" w:right="420" w:rightChars="200" w:firstLine="420" w:firstLineChars="200"/>
              <w:jc w:val="left"/>
              <w:rPr>
                <w:rFonts w:ascii="宋体" w:hAnsi="宋体"/>
              </w:rPr>
            </w:pPr>
            <w:r>
              <w:rPr>
                <w:rFonts w:hint="eastAsia" w:ascii="宋体" w:hAnsi="宋体"/>
              </w:rPr>
              <w:t>2.对NGOD架构进行扩展
</w:t>
            </w:r>
          </w:p>
          <w:p>
            <w:pPr>
              <w:spacing w:line="360" w:lineRule="auto"/>
              <w:ind w:left="420" w:leftChars="200" w:right="420" w:rightChars="200" w:firstLine="420" w:firstLineChars="200"/>
              <w:jc w:val="left"/>
              <w:rPr>
                <w:rFonts w:ascii="宋体" w:hAnsi="宋体"/>
              </w:rPr>
            </w:pPr>
            <w:r>
              <w:rPr>
                <w:rFonts w:hint="eastAsia" w:ascii="宋体" w:hAnsi="宋体"/>
              </w:rPr>
              <w:t>NGOD架构主要是针对视频点播服务的，并没有考虑在广电网上部署云应用。广电网上云应用服务与视频点播服务的区别在于，云应用服务对时延要求更高、云应用服务器管理更复杂，会话的上下行通路以及客户端操作命令的传输解析都与视频点播服务不同。课题需要在不影响原架构功能的基础上，对架构进行扩展。
</w:t>
            </w:r>
          </w:p>
          <w:p>
            <w:pPr>
              <w:spacing w:line="360" w:lineRule="auto"/>
              <w:ind w:left="420" w:leftChars="200" w:right="420" w:rightChars="200" w:firstLine="420" w:firstLineChars="200"/>
              <w:jc w:val="left"/>
              <w:rPr>
                <w:rFonts w:ascii="宋体" w:hAnsi="宋体"/>
              </w:rPr>
            </w:pPr>
          </w:p>
          <w:p>
            <w:pPr>
              <w:spacing w:line="360" w:lineRule="auto"/>
              <w:ind w:left="420" w:leftChars="200" w:right="420" w:rightChars="200" w:firstLine="420" w:firstLineChars="200"/>
              <w:jc w:val="left"/>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rPr>
          <w:trHeight w:val="6946" w:hRule="atLeast"/>
          <w:jc w:val="center"/>
        </w:trPr>
        <w:tc>
          <w:tcPr>
            <w:tcW w:w="9605" w:type="dxa"/>
            <w:tcBorders>
              <w:top w:val="single" w:color="auto" w:sz="4" w:space="0"/>
            </w:tcBorders>
            <w:vAlign w:val="top"/>
          </w:tcPr>
          <w:p>
            <w:pPr>
              <w:spacing w:beforeLines="50" w:line="360" w:lineRule="auto"/>
              <w:ind w:left="420" w:leftChars="200" w:right="420" w:rightChars="200"/>
              <w:rPr>
                <w:rFonts w:ascii="宋体" w:hAns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r>
              <w:rPr>
                <w:rFonts w:hint="eastAsia" w:ascii="宋体" w:hAnsi="宋体"/>
                <w:b/>
                <w:szCs w:val="21"/>
              </w:rPr>
              <w:t>（不少于500字）</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1.理论基础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针对性的阅读了有关云端虚拟化实现的相关技术文献和论文等资料，详细了解了服务器虚拟化、桌面虚拟化和应用虚拟化的定义、技术特点以及现有的商业、开源平台。重点学习了服务器虚拟化与应用虚拟化的原理，并做了比较。学习并了解了NGOD架构的业务模型、工作流程，详细地研究了NGOD架构的逻辑功能组件的组成、组件间的协议交互接口和通信接口。应用于视频点播业务的NGOD架构中会话管理器、边缘资源管理器、点播资源管理等模块已被实现，阅读并学习了相关的程序文档、学术论文。目前正在学习服务器的管理以及资源调度的知识。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2.已完成的内容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阅读及整理相关文档，包括NGOD架构标准规范、他人已实现的NGOD 模块的相关文档、研究论文。初步规划了对NGOD架构的扩展。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收集整理了北京视博云、云联科技、OnLive、Playcast、CiiNow等使用类似技术提供视频云、云游戏服务的公司有关业务描述、技术应用方面的资料，阅读并整理了国内外相关的学术论文，对整个系统模型以及工作流程有了初步的了解。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3.硬件条件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PC Pentium(R)  Dual-core cpu T4200 @2.0GHz + 2GB DDR3。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应用服务服务器：用于应用程序的部署运行；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数据存储服务器：用于用户数据的存储和应用程序的存储；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机顶盒：DreamBox DM 800.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 xml:space="preserve">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4.软件条件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Operating System: Ubuntu 12.04、Windows7 Ultimate、Windows Server 2008 R2。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Software:FFmpeg。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
</w:t>
            </w:r>
          </w:p>
          <w:p>
            <w:pPr>
              <w:spacing w:beforeLines="50"/>
              <w:ind w:left="420" w:leftChars="200" w:right="420" w:rightChars="200" w:firstLine="420" w:firstLineChars="200"/>
              <w:jc w:val="left"/>
              <w:rPr>
                <w:rFonts w:ascii="宋体" w:hAnsi="宋体"/>
                <w:b/>
                <w:spacing w:val="-10"/>
                <w:szCs w:val="21"/>
              </w:rPr>
            </w:pPr>
            <w:r>
              <w:rPr>
                <w:rFonts w:hint="eastAsia" w:ascii="宋体" w:hAnsi="宋体"/>
              </w:rPr>
              <w:t>5.本实验的实验环境齐全，尚不缺少实验条件。
</w:t>
            </w:r>
          </w:p>
          <w:p>
            <w:pPr>
              <w:spacing w:beforeLines="50"/>
              <w:ind w:left="420" w:leftChars="200" w:right="420" w:rightChars="200" w:firstLine="420" w:firstLineChars="200"/>
              <w:jc w:val="left"/>
              <w:rPr>
                <w:rFonts w:ascii="宋体" w:hAnsi="宋体"/>
                <w:b/>
                <w:spacing w:val="-10"/>
                <w:szCs w:val="21"/>
              </w:rPr>
            </w:pPr>
          </w:p>
        </w:tc>
      </w:tr>
    </w:tbl>
    <w:p>
      <w:pPr>
        <w:widowControl/>
        <w:spacing w:afterLines="50" w:line="20" w:lineRule="exact"/>
        <w:jc w:val="center"/>
        <w:rPr>
          <w:rFonts w:ascii="宋体" w:hAnsi="宋体"/>
          <w:b/>
          <w:szCs w:val="21"/>
        </w:rPr>
      </w:pPr>
    </w:p>
    <w:p>
      <w:pPr>
        <w:widowControl/>
        <w:spacing w:afterLines="50"/>
        <w:jc w:val="center"/>
        <w:rPr>
          <w:rFonts w:ascii="宋体" w:hAnsi="宋体"/>
          <w:b/>
          <w:sz w:val="24"/>
          <w:szCs w:val="24"/>
        </w:rPr>
        <w:sectPr>
          <w:headerReference r:id="rId4" w:type="default"/>
          <w:footerReference r:id="rId5" w:type="default"/>
          <w:pgSz w:w="11906" w:h="16838"/>
          <w:pgMar w:top="1440" w:right="851" w:bottom="1440" w:left="1418" w:header="850" w:footer="567" w:gutter="0"/>
          <w:pgNumType w:fmt="numberInDash" w:start="1"/>
          <w:cols w:space="425" w:num="1"/>
          <w:docGrid w:type="lines" w:linePitch="312" w:charSpace="0"/>
        </w:sectPr>
      </w:pPr>
    </w:p>
    <w:p>
      <w:pPr>
        <w:widowControl/>
        <w:spacing w:afterLines="50"/>
        <w:jc w:val="center"/>
        <w:rPr>
          <w:rFonts w:ascii="宋体" w:hAnsi="宋体"/>
          <w:b/>
          <w:sz w:val="24"/>
          <w:szCs w:val="24"/>
        </w:rPr>
      </w:pPr>
      <w:r>
        <w:rPr>
          <w:rFonts w:hint="eastAsia" w:ascii="宋体" w:hAnsi="宋体"/>
          <w:b/>
          <w:sz w:val="24"/>
          <w:szCs w:val="24"/>
        </w:rPr>
        <w:t>学位论文工作计划</w:t>
      </w:r>
    </w:p>
    <w:tbl>
      <w:tblPr>
        <w:tblStyle w:val="7"/>
        <w:tblW w:w="9639" w:type="dxa"/>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2411"/>
        <w:gridCol w:w="3827"/>
        <w:gridCol w:w="3401"/>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PrEx>
        <w:trPr>
          <w:trHeight w:val="454" w:hRule="atLeast"/>
          <w:jc w:val="center"/>
        </w:trPr>
        <w:tc>
          <w:tcPr>
            <w:tcW w:w="2411" w:type="dxa"/>
            <w:vAlign w:val="center"/>
          </w:tcPr>
          <w:p>
            <w:pPr>
              <w:widowControl/>
              <w:jc w:val="center"/>
              <w:rPr>
                <w:rFonts w:ascii="宋体" w:hAnsi="宋体"/>
                <w:szCs w:val="21"/>
              </w:rPr>
            </w:pPr>
            <w:r>
              <w:rPr>
                <w:rFonts w:hint="eastAsia" w:ascii="宋体" w:hAnsi="宋体"/>
                <w:szCs w:val="21"/>
              </w:rPr>
              <w:t>时间</w:t>
            </w:r>
          </w:p>
        </w:tc>
        <w:tc>
          <w:tcPr>
            <w:tcW w:w="3827" w:type="dxa"/>
            <w:vAlign w:val="center"/>
          </w:tcPr>
          <w:p>
            <w:pPr>
              <w:widowControl/>
              <w:jc w:val="center"/>
              <w:rPr>
                <w:rFonts w:ascii="宋体" w:hAnsi="宋体"/>
                <w:szCs w:val="21"/>
              </w:rPr>
            </w:pPr>
            <w:r>
              <w:rPr>
                <w:rFonts w:hint="eastAsia" w:ascii="宋体" w:hAnsi="宋体"/>
                <w:szCs w:val="21"/>
              </w:rPr>
              <w:t>研究内容</w:t>
            </w:r>
          </w:p>
        </w:tc>
        <w:tc>
          <w:tcPr>
            <w:tcW w:w="3401" w:type="dxa"/>
            <w:vAlign w:val="center"/>
          </w:tcPr>
          <w:p>
            <w:pPr>
              <w:widowControl/>
              <w:jc w:val="center"/>
              <w:rPr>
                <w:rFonts w:ascii="宋体" w:hAnsi="宋体"/>
                <w:szCs w:val="21"/>
              </w:rPr>
            </w:pPr>
            <w:r>
              <w:rPr>
                <w:rFonts w:hint="eastAsia" w:ascii="宋体" w:hAnsi="宋体"/>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PrEx>
        <w:trPr>
          <w:trHeight w:val="397" w:hRule="atLeast"/>
          <w:jc w:val="center"/>
        </w:trPr>
        <w:tc>
          <w:tcPr>
            <w:tcW w:w="2411" w:type="dxa"/>
            <w:vAlign w:val="center"/>
          </w:tcPr>
          <w:p>
            <w:pPr>
              <w:widowControl/>
              <w:jc w:val="center"/>
              <w:rPr>
                <w:rFonts w:ascii="宋体" w:hAnsi="宋体" w:eastAsia="宋体"/>
                <w:sz w:val="18"/>
                <w:szCs w:val="18"/>
              </w:rPr>
            </w:pPr>
            <w:r>
              <w:rPr>
                <w:rFonts w:hint="eastAsia" w:ascii="宋体" w:hAnsi="宋体" w:eastAsia="宋体"/>
                <w:sz w:val="18"/>
                <w:szCs w:val="18"/>
              </w:rPr>
              <w:t>2014.1~2014.3</w:t>
            </w:r>
          </w:p>
        </w:tc>
        <w:tc>
          <w:tcPr>
            <w:tcW w:w="3827" w:type="dxa"/>
            <w:vAlign w:val="center"/>
          </w:tcPr>
          <w:p>
            <w:pPr>
              <w:widowControl/>
              <w:jc w:val="center"/>
              <w:rPr>
                <w:rFonts w:ascii="宋体" w:hAnsi="宋体" w:eastAsia="宋体"/>
                <w:sz w:val="18"/>
                <w:szCs w:val="18"/>
              </w:rPr>
            </w:pPr>
            <w:r>
              <w:rPr>
                <w:rFonts w:hint="eastAsia" w:ascii="宋体" w:hAnsi="宋体" w:eastAsia="宋体"/>
                <w:sz w:val="18"/>
                <w:szCs w:val="18"/>
              </w:rPr>
              <w:t>通过对系统进行设计并对所用技术进行选择和分析，设计出可行的方案。在这个过程中要充分考虑计划的合理性，并及时进行调整，完成详细设计。</w:t>
            </w:r>
          </w:p>
        </w:tc>
        <w:tc>
          <w:tcPr>
            <w:tcW w:w="3401" w:type="dxa"/>
            <w:vAlign w:val="center"/>
          </w:tcPr>
          <w:p>
            <w:pPr>
              <w:widowControl/>
              <w:jc w:val="center"/>
              <w:rPr>
                <w:rFonts w:ascii="宋体" w:hAnsi="宋体" w:eastAsia="宋体"/>
                <w:sz w:val="18"/>
                <w:szCs w:val="18"/>
              </w:rPr>
            </w:pPr>
            <w:r>
              <w:rPr>
                <w:rFonts w:hint="eastAsia" w:ascii="宋体" w:hAnsi="宋体" w:eastAsia="宋体"/>
                <w:sz w:val="18"/>
                <w:szCs w:val="18"/>
              </w:rPr>
              <w:t>选定所用技术方案，完成详细设计。</w:t>
            </w:r>
          </w:p>
        </w:tc>
      </w:tr>
      <w:tr>
        <w:trPr>
          <w:trHeight w:val="397" w:hRule="atLeast"/>
          <w:jc w:val="center"/>
        </w:trPr>
        <w:tc>
          <w:tcPr>
            <w:tcW w:w="2411" w:type="dxa"/>
            <w:vAlign w:val="center"/>
          </w:tcPr>
          <w:p>
            <w:pPr>
              <w:widowControl/>
              <w:jc w:val="center"/>
              <w:rPr>
                <w:rFonts w:ascii="宋体" w:hAnsi="宋体" w:eastAsia="宋体"/>
                <w:sz w:val="18"/>
                <w:szCs w:val="18"/>
              </w:rPr>
            </w:pPr>
            <w:r>
              <w:rPr>
                <w:rFonts w:hint="eastAsia" w:ascii="宋体" w:hAnsi="宋体" w:eastAsia="宋体"/>
                <w:sz w:val="18"/>
                <w:szCs w:val="18"/>
              </w:rPr>
              <w:t>2014.4~2014.7</w:t>
            </w:r>
          </w:p>
        </w:tc>
        <w:tc>
          <w:tcPr>
            <w:tcW w:w="3827" w:type="dxa"/>
            <w:vAlign w:val="center"/>
          </w:tcPr>
          <w:p>
            <w:pPr>
              <w:widowControl/>
              <w:jc w:val="center"/>
              <w:rPr>
                <w:rFonts w:ascii="宋体" w:hAnsi="宋体" w:eastAsia="宋体"/>
                <w:sz w:val="18"/>
                <w:szCs w:val="18"/>
              </w:rPr>
            </w:pPr>
            <w:r>
              <w:rPr>
                <w:rFonts w:hint="eastAsia" w:ascii="宋体" w:hAnsi="宋体" w:eastAsia="宋体"/>
                <w:sz w:val="18"/>
                <w:szCs w:val="18"/>
              </w:rPr>
              <w:t>在前期设计完成的基础上进行相关模块的编码实现，在此期间进行大量的软件工程相关资料的学习。</w:t>
            </w:r>
          </w:p>
        </w:tc>
        <w:tc>
          <w:tcPr>
            <w:tcW w:w="3401" w:type="dxa"/>
            <w:vAlign w:val="center"/>
          </w:tcPr>
          <w:p>
            <w:pPr>
              <w:widowControl/>
              <w:jc w:val="center"/>
              <w:rPr>
                <w:rFonts w:ascii="宋体" w:hAnsi="宋体" w:eastAsia="宋体"/>
                <w:sz w:val="18"/>
                <w:szCs w:val="18"/>
              </w:rPr>
            </w:pPr>
            <w:r>
              <w:rPr>
                <w:rFonts w:hint="eastAsia" w:ascii="宋体" w:hAnsi="宋体" w:eastAsia="宋体"/>
                <w:sz w:val="18"/>
                <w:szCs w:val="18"/>
              </w:rPr>
              <w:t>完成编码，生成系统。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PrEx>
        <w:trPr>
          <w:trHeight w:val="397" w:hRule="atLeast"/>
          <w:jc w:val="center"/>
        </w:trPr>
        <w:tc>
          <w:tcPr>
            <w:tcW w:w="2411" w:type="dxa"/>
            <w:vAlign w:val="center"/>
          </w:tcPr>
          <w:p>
            <w:pPr>
              <w:widowControl/>
              <w:jc w:val="center"/>
              <w:rPr>
                <w:rFonts w:ascii="宋体" w:hAnsi="宋体" w:eastAsia="宋体"/>
                <w:sz w:val="18"/>
                <w:szCs w:val="18"/>
              </w:rPr>
            </w:pPr>
            <w:r>
              <w:rPr>
                <w:rFonts w:hint="eastAsia" w:ascii="宋体" w:hAnsi="宋体" w:eastAsia="宋体"/>
                <w:sz w:val="18"/>
                <w:szCs w:val="18"/>
              </w:rPr>
              <w:t>2014.8~2014.10</w:t>
            </w:r>
          </w:p>
        </w:tc>
        <w:tc>
          <w:tcPr>
            <w:tcW w:w="3827" w:type="dxa"/>
            <w:vAlign w:val="center"/>
          </w:tcPr>
          <w:p>
            <w:pPr>
              <w:widowControl/>
              <w:jc w:val="center"/>
              <w:rPr>
                <w:rFonts w:ascii="宋体" w:hAnsi="宋体" w:eastAsia="宋体"/>
                <w:sz w:val="18"/>
                <w:szCs w:val="18"/>
              </w:rPr>
            </w:pPr>
            <w:r>
              <w:rPr>
                <w:rFonts w:hint="eastAsia" w:ascii="宋体" w:hAnsi="宋体" w:eastAsia="宋体"/>
                <w:sz w:val="18"/>
                <w:szCs w:val="18"/>
              </w:rPr>
              <w:t>对系统进行测试，找出和分析系统出现的各种问题，完成各种业务的测试以及压力测试，完善系统的功能，实现最终目标。</w:t>
            </w:r>
          </w:p>
        </w:tc>
        <w:tc>
          <w:tcPr>
            <w:tcW w:w="3401" w:type="dxa"/>
            <w:vAlign w:val="center"/>
          </w:tcPr>
          <w:p>
            <w:pPr>
              <w:widowControl/>
              <w:jc w:val="center"/>
              <w:rPr>
                <w:rFonts w:ascii="宋体" w:hAnsi="宋体" w:eastAsia="宋体"/>
                <w:sz w:val="18"/>
                <w:szCs w:val="18"/>
              </w:rPr>
            </w:pPr>
            <w:r>
              <w:rPr>
                <w:rFonts w:hint="eastAsia" w:ascii="宋体" w:hAnsi="宋体" w:eastAsia="宋体"/>
                <w:sz w:val="18"/>
                <w:szCs w:val="18"/>
              </w:rPr>
              <w:t>完成测试，完善功能，实现应用的部署运行。</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PrEx>
        <w:trPr>
          <w:trHeight w:val="397" w:hRule="atLeast"/>
          <w:jc w:val="center"/>
        </w:trPr>
        <w:tc>
          <w:tcPr>
            <w:tcW w:w="2411" w:type="dxa"/>
            <w:vAlign w:val="center"/>
          </w:tcPr>
          <w:p>
            <w:pPr>
              <w:widowControl/>
              <w:jc w:val="center"/>
              <w:rPr>
                <w:rFonts w:ascii="宋体" w:hAnsi="宋体" w:eastAsia="宋体"/>
                <w:sz w:val="18"/>
                <w:szCs w:val="18"/>
              </w:rPr>
            </w:pPr>
            <w:r>
              <w:rPr>
                <w:rFonts w:hint="eastAsia" w:ascii="宋体" w:hAnsi="宋体" w:eastAsia="宋体"/>
                <w:sz w:val="18"/>
                <w:szCs w:val="18"/>
              </w:rPr>
              <w:t>2014.11~2014.12</w:t>
            </w:r>
          </w:p>
        </w:tc>
        <w:tc>
          <w:tcPr>
            <w:tcW w:w="3827" w:type="dxa"/>
            <w:vAlign w:val="center"/>
          </w:tcPr>
          <w:p>
            <w:pPr>
              <w:widowControl/>
              <w:jc w:val="center"/>
              <w:rPr>
                <w:rFonts w:ascii="宋体" w:hAnsi="宋体" w:eastAsia="宋体"/>
                <w:sz w:val="18"/>
                <w:szCs w:val="18"/>
              </w:rPr>
            </w:pPr>
            <w:r>
              <w:rPr>
                <w:rFonts w:hint="eastAsia" w:ascii="宋体" w:hAnsi="宋体" w:eastAsia="宋体"/>
                <w:sz w:val="18"/>
                <w:szCs w:val="18"/>
              </w:rPr>
              <w:t>整理相关的文档和数据资料，完成论文的写作。</w:t>
            </w:r>
          </w:p>
        </w:tc>
        <w:tc>
          <w:tcPr>
            <w:tcW w:w="3401" w:type="dxa"/>
            <w:vAlign w:val="center"/>
          </w:tcPr>
          <w:p>
            <w:pPr>
              <w:widowControl/>
              <w:jc w:val="center"/>
              <w:rPr>
                <w:rFonts w:ascii="宋体" w:hAnsi="宋体" w:eastAsia="宋体"/>
                <w:sz w:val="18"/>
                <w:szCs w:val="18"/>
              </w:rPr>
            </w:pPr>
            <w:r>
              <w:rPr>
                <w:rFonts w:hint="eastAsia" w:ascii="宋体" w:hAnsi="宋体" w:eastAsia="宋体"/>
                <w:sz w:val="18"/>
                <w:szCs w:val="18"/>
              </w:rPr>
              <w:t>完成论文。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PrEx>
        <w:trPr>
          <w:trHeight w:val="397" w:hRule="atLeast"/>
          <w:jc w:val="center"/>
        </w:trPr>
        <w:tc>
          <w:tcPr>
            <w:tcW w:w="2411" w:type="dxa"/>
            <w:vAlign w:val="center"/>
          </w:tcPr>
          <w:p>
            <w:pPr>
              <w:widowControl/>
              <w:jc w:val="center"/>
              <w:rPr>
                <w:rFonts w:ascii="宋体" w:hAnsi="宋体" w:eastAsia="宋体"/>
                <w:sz w:val="18"/>
                <w:szCs w:val="18"/>
              </w:rPr>
            </w:pPr>
          </w:p>
        </w:tc>
        <w:tc>
          <w:tcPr>
            <w:tcW w:w="3827" w:type="dxa"/>
            <w:vAlign w:val="center"/>
          </w:tcPr>
          <w:p>
            <w:pPr>
              <w:widowControl/>
              <w:jc w:val="center"/>
              <w:rPr>
                <w:rFonts w:ascii="宋体" w:hAnsi="宋体" w:eastAsia="宋体"/>
                <w:sz w:val="18"/>
                <w:szCs w:val="18"/>
              </w:rPr>
            </w:pPr>
          </w:p>
        </w:tc>
        <w:tc>
          <w:tcPr>
            <w:tcW w:w="3401" w:type="dxa"/>
            <w:vAlign w:val="center"/>
          </w:tcPr>
          <w:p>
            <w:pPr>
              <w:widowControl/>
              <w:jc w:val="center"/>
              <w:rPr>
                <w:rFonts w:ascii="宋体" w:hAnsi="宋体" w:eastAsia="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PrEx>
        <w:trPr>
          <w:trHeight w:val="397" w:hRule="atLeast"/>
          <w:jc w:val="center"/>
        </w:trPr>
        <w:tc>
          <w:tcPr>
            <w:tcW w:w="2411" w:type="dxa"/>
            <w:vAlign w:val="center"/>
          </w:tcPr>
          <w:p>
            <w:pPr>
              <w:widowControl/>
              <w:jc w:val="center"/>
              <w:rPr>
                <w:rFonts w:ascii="宋体" w:hAnsi="宋体" w:eastAsia="宋体"/>
                <w:sz w:val="18"/>
                <w:szCs w:val="18"/>
              </w:rPr>
            </w:pPr>
          </w:p>
        </w:tc>
        <w:tc>
          <w:tcPr>
            <w:tcW w:w="3827" w:type="dxa"/>
            <w:vAlign w:val="center"/>
          </w:tcPr>
          <w:p>
            <w:pPr>
              <w:widowControl/>
              <w:jc w:val="center"/>
              <w:rPr>
                <w:rFonts w:ascii="宋体" w:hAnsi="宋体" w:eastAsia="宋体"/>
                <w:sz w:val="18"/>
                <w:szCs w:val="18"/>
              </w:rPr>
            </w:pPr>
          </w:p>
        </w:tc>
        <w:tc>
          <w:tcPr>
            <w:tcW w:w="3401" w:type="dxa"/>
            <w:vAlign w:val="center"/>
          </w:tcPr>
          <w:p>
            <w:pPr>
              <w:widowControl/>
              <w:jc w:val="center"/>
              <w:rPr>
                <w:rFonts w:ascii="宋体" w:hAnsi="宋体" w:eastAsia="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PrEx>
        <w:trPr>
          <w:trHeight w:val="397" w:hRule="atLeast"/>
          <w:jc w:val="center"/>
        </w:trPr>
        <w:tc>
          <w:tcPr>
            <w:tcW w:w="2411" w:type="dxa"/>
            <w:vAlign w:val="center"/>
          </w:tcPr>
          <w:p>
            <w:pPr>
              <w:widowControl/>
              <w:jc w:val="center"/>
              <w:rPr>
                <w:rFonts w:ascii="宋体" w:hAnsi="宋体" w:eastAsia="宋体"/>
                <w:sz w:val="18"/>
                <w:szCs w:val="18"/>
              </w:rPr>
            </w:pPr>
          </w:p>
        </w:tc>
        <w:tc>
          <w:tcPr>
            <w:tcW w:w="3827" w:type="dxa"/>
            <w:vAlign w:val="center"/>
          </w:tcPr>
          <w:p>
            <w:pPr>
              <w:widowControl/>
              <w:jc w:val="center"/>
              <w:rPr>
                <w:rFonts w:ascii="宋体" w:hAnsi="宋体" w:eastAsia="宋体"/>
                <w:sz w:val="18"/>
                <w:szCs w:val="18"/>
              </w:rPr>
            </w:pPr>
          </w:p>
        </w:tc>
        <w:tc>
          <w:tcPr>
            <w:tcW w:w="3401" w:type="dxa"/>
            <w:vAlign w:val="center"/>
          </w:tcPr>
          <w:p>
            <w:pPr>
              <w:widowControl/>
              <w:jc w:val="center"/>
              <w:rPr>
                <w:rFonts w:ascii="宋体" w:hAnsi="宋体" w:eastAsia="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PrEx>
        <w:trPr>
          <w:trHeight w:val="397" w:hRule="atLeast"/>
          <w:jc w:val="center"/>
        </w:trPr>
        <w:tc>
          <w:tcPr>
            <w:tcW w:w="2411" w:type="dxa"/>
            <w:vAlign w:val="center"/>
          </w:tcPr>
          <w:p>
            <w:pPr>
              <w:widowControl/>
              <w:jc w:val="center"/>
              <w:rPr>
                <w:rFonts w:ascii="宋体" w:hAnsi="宋体" w:eastAsia="宋体"/>
                <w:sz w:val="18"/>
                <w:szCs w:val="18"/>
              </w:rPr>
            </w:pPr>
          </w:p>
        </w:tc>
        <w:tc>
          <w:tcPr>
            <w:tcW w:w="3827" w:type="dxa"/>
            <w:vAlign w:val="center"/>
          </w:tcPr>
          <w:p>
            <w:pPr>
              <w:widowControl/>
              <w:jc w:val="center"/>
              <w:rPr>
                <w:rFonts w:ascii="宋体" w:hAnsi="宋体" w:eastAsia="宋体"/>
                <w:sz w:val="18"/>
                <w:szCs w:val="18"/>
              </w:rPr>
            </w:pPr>
          </w:p>
        </w:tc>
        <w:tc>
          <w:tcPr>
            <w:tcW w:w="3401" w:type="dxa"/>
            <w:vAlign w:val="center"/>
          </w:tcPr>
          <w:p>
            <w:pPr>
              <w:widowControl/>
              <w:jc w:val="center"/>
              <w:rPr>
                <w:rFonts w:ascii="宋体" w:hAnsi="宋体" w:eastAsia="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PrEx>
        <w:trPr>
          <w:trHeight w:val="397" w:hRule="atLeast"/>
          <w:jc w:val="center"/>
        </w:trPr>
        <w:tc>
          <w:tcPr>
            <w:tcW w:w="2411" w:type="dxa"/>
            <w:vAlign w:val="center"/>
          </w:tcPr>
          <w:p>
            <w:pPr>
              <w:widowControl/>
              <w:jc w:val="center"/>
              <w:rPr>
                <w:rFonts w:ascii="宋体" w:hAnsi="宋体" w:eastAsia="宋体"/>
                <w:sz w:val="18"/>
                <w:szCs w:val="18"/>
              </w:rPr>
            </w:pPr>
          </w:p>
        </w:tc>
        <w:tc>
          <w:tcPr>
            <w:tcW w:w="3827" w:type="dxa"/>
            <w:vAlign w:val="center"/>
          </w:tcPr>
          <w:p>
            <w:pPr>
              <w:widowControl/>
              <w:jc w:val="center"/>
              <w:rPr>
                <w:rFonts w:ascii="宋体" w:hAnsi="宋体" w:eastAsia="宋体"/>
                <w:sz w:val="18"/>
                <w:szCs w:val="18"/>
              </w:rPr>
            </w:pPr>
          </w:p>
        </w:tc>
        <w:tc>
          <w:tcPr>
            <w:tcW w:w="3401" w:type="dxa"/>
            <w:vAlign w:val="center"/>
          </w:tcPr>
          <w:p>
            <w:pPr>
              <w:widowControl/>
              <w:jc w:val="center"/>
              <w:rPr>
                <w:rFonts w:ascii="宋体" w:hAnsi="宋体" w:eastAsia="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PrEx>
        <w:trPr>
          <w:trHeight w:val="397" w:hRule="atLeast"/>
          <w:jc w:val="center"/>
        </w:trPr>
        <w:tc>
          <w:tcPr>
            <w:tcW w:w="2411" w:type="dxa"/>
            <w:vAlign w:val="center"/>
          </w:tcPr>
          <w:p>
            <w:pPr>
              <w:widowControl/>
              <w:jc w:val="center"/>
              <w:rPr>
                <w:rFonts w:ascii="宋体" w:hAnsi="宋体" w:eastAsia="宋体"/>
                <w:sz w:val="18"/>
                <w:szCs w:val="18"/>
              </w:rPr>
            </w:pPr>
          </w:p>
        </w:tc>
        <w:tc>
          <w:tcPr>
            <w:tcW w:w="3827" w:type="dxa"/>
            <w:vAlign w:val="center"/>
          </w:tcPr>
          <w:p>
            <w:pPr>
              <w:widowControl/>
              <w:jc w:val="center"/>
              <w:rPr>
                <w:rFonts w:ascii="宋体" w:hAnsi="宋体" w:eastAsia="宋体"/>
                <w:sz w:val="18"/>
                <w:szCs w:val="18"/>
              </w:rPr>
            </w:pPr>
          </w:p>
        </w:tc>
        <w:tc>
          <w:tcPr>
            <w:tcW w:w="3401" w:type="dxa"/>
            <w:vAlign w:val="center"/>
          </w:tcPr>
          <w:p>
            <w:pPr>
              <w:widowControl/>
              <w:jc w:val="center"/>
              <w:rPr>
                <w:rFonts w:ascii="宋体" w:hAnsi="宋体" w:eastAsia="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PrEx>
        <w:trPr>
          <w:trHeight w:val="397" w:hRule="atLeast"/>
          <w:jc w:val="center"/>
        </w:trPr>
        <w:tc>
          <w:tcPr>
            <w:tcW w:w="2411" w:type="dxa"/>
            <w:vAlign w:val="center"/>
          </w:tcPr>
          <w:p>
            <w:pPr>
              <w:widowControl/>
              <w:jc w:val="center"/>
              <w:rPr>
                <w:rFonts w:ascii="宋体" w:hAnsi="宋体" w:eastAsia="宋体"/>
                <w:sz w:val="18"/>
                <w:szCs w:val="18"/>
              </w:rPr>
            </w:pPr>
          </w:p>
        </w:tc>
        <w:tc>
          <w:tcPr>
            <w:tcW w:w="3827" w:type="dxa"/>
            <w:vAlign w:val="center"/>
          </w:tcPr>
          <w:p>
            <w:pPr>
              <w:widowControl/>
              <w:jc w:val="center"/>
              <w:rPr>
                <w:rFonts w:ascii="宋体" w:hAnsi="宋体" w:eastAsia="宋体"/>
                <w:sz w:val="18"/>
                <w:szCs w:val="18"/>
              </w:rPr>
            </w:pPr>
          </w:p>
        </w:tc>
        <w:tc>
          <w:tcPr>
            <w:tcW w:w="3401" w:type="dxa"/>
            <w:vAlign w:val="center"/>
          </w:tcPr>
          <w:p>
            <w:pPr>
              <w:widowControl/>
              <w:jc w:val="center"/>
              <w:rPr>
                <w:rFonts w:ascii="宋体" w:hAnsi="宋体" w:eastAsia="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PrEx>
        <w:trPr>
          <w:trHeight w:val="397" w:hRule="atLeast"/>
          <w:jc w:val="center"/>
        </w:trPr>
        <w:tc>
          <w:tcPr>
            <w:tcW w:w="2411" w:type="dxa"/>
            <w:vAlign w:val="center"/>
          </w:tcPr>
          <w:p>
            <w:pPr>
              <w:widowControl/>
              <w:jc w:val="center"/>
              <w:rPr>
                <w:rFonts w:ascii="宋体" w:hAnsi="宋体" w:eastAsia="宋体"/>
                <w:sz w:val="18"/>
                <w:szCs w:val="18"/>
              </w:rPr>
            </w:pPr>
          </w:p>
        </w:tc>
        <w:tc>
          <w:tcPr>
            <w:tcW w:w="3827" w:type="dxa"/>
            <w:vAlign w:val="center"/>
          </w:tcPr>
          <w:p>
            <w:pPr>
              <w:widowControl/>
              <w:jc w:val="center"/>
              <w:rPr>
                <w:rFonts w:ascii="宋体" w:hAnsi="宋体" w:eastAsia="宋体"/>
                <w:sz w:val="18"/>
                <w:szCs w:val="18"/>
              </w:rPr>
            </w:pPr>
          </w:p>
        </w:tc>
        <w:tc>
          <w:tcPr>
            <w:tcW w:w="3401" w:type="dxa"/>
            <w:vAlign w:val="center"/>
          </w:tcPr>
          <w:p>
            <w:pPr>
              <w:widowControl/>
              <w:jc w:val="center"/>
              <w:rPr>
                <w:rFonts w:ascii="宋体" w:hAnsi="宋体" w:eastAsia="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PrEx>
        <w:trPr>
          <w:trHeight w:val="397" w:hRule="atLeast"/>
          <w:jc w:val="center"/>
        </w:trPr>
        <w:tc>
          <w:tcPr>
            <w:tcW w:w="2411" w:type="dxa"/>
            <w:vAlign w:val="center"/>
          </w:tcPr>
          <w:p>
            <w:pPr>
              <w:widowControl/>
              <w:jc w:val="center"/>
              <w:rPr>
                <w:rFonts w:ascii="宋体" w:hAnsi="宋体" w:eastAsia="宋体"/>
                <w:sz w:val="18"/>
                <w:szCs w:val="18"/>
              </w:rPr>
            </w:pPr>
          </w:p>
        </w:tc>
        <w:tc>
          <w:tcPr>
            <w:tcW w:w="3827" w:type="dxa"/>
            <w:vAlign w:val="center"/>
          </w:tcPr>
          <w:p>
            <w:pPr>
              <w:widowControl/>
              <w:jc w:val="center"/>
              <w:rPr>
                <w:rFonts w:ascii="宋体" w:hAnsi="宋体" w:eastAsia="宋体"/>
                <w:sz w:val="18"/>
                <w:szCs w:val="18"/>
              </w:rPr>
            </w:pPr>
          </w:p>
        </w:tc>
        <w:tc>
          <w:tcPr>
            <w:tcW w:w="3401" w:type="dxa"/>
            <w:vAlign w:val="center"/>
          </w:tcPr>
          <w:p>
            <w:pPr>
              <w:widowControl/>
              <w:jc w:val="center"/>
              <w:rPr>
                <w:rFonts w:ascii="宋体" w:hAnsi="宋体" w:eastAsia="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PrEx>
        <w:trPr>
          <w:trHeight w:val="397" w:hRule="atLeast"/>
          <w:jc w:val="center"/>
        </w:trPr>
        <w:tc>
          <w:tcPr>
            <w:tcW w:w="2411" w:type="dxa"/>
            <w:vAlign w:val="center"/>
          </w:tcPr>
          <w:p>
            <w:pPr>
              <w:widowControl/>
              <w:jc w:val="center"/>
              <w:rPr>
                <w:rFonts w:ascii="宋体" w:hAnsi="宋体" w:eastAsia="宋体"/>
                <w:sz w:val="18"/>
                <w:szCs w:val="18"/>
              </w:rPr>
            </w:pPr>
          </w:p>
        </w:tc>
        <w:tc>
          <w:tcPr>
            <w:tcW w:w="3827" w:type="dxa"/>
            <w:vAlign w:val="center"/>
          </w:tcPr>
          <w:p>
            <w:pPr>
              <w:widowControl/>
              <w:jc w:val="center"/>
              <w:rPr>
                <w:rFonts w:ascii="宋体" w:hAnsi="宋体" w:eastAsia="宋体"/>
                <w:sz w:val="18"/>
                <w:szCs w:val="18"/>
              </w:rPr>
            </w:pPr>
          </w:p>
        </w:tc>
        <w:tc>
          <w:tcPr>
            <w:tcW w:w="3401" w:type="dxa"/>
            <w:vAlign w:val="center"/>
          </w:tcPr>
          <w:p>
            <w:pPr>
              <w:widowControl/>
              <w:jc w:val="center"/>
              <w:rPr>
                <w:rFonts w:ascii="宋体" w:hAnsi="宋体" w:eastAsia="宋体"/>
                <w:sz w:val="18"/>
                <w:szCs w:val="18"/>
              </w:rPr>
            </w:pPr>
          </w:p>
        </w:tc>
      </w:tr>
    </w:tbl>
    <w:p>
      <w:pPr>
        <w:widowControl/>
        <w:spacing w:line="20" w:lineRule="exact"/>
        <w:jc w:val="left"/>
        <w:rPr>
          <w:rFonts w:ascii="宋体" w:hAnsi="宋体"/>
          <w:b/>
          <w:sz w:val="10"/>
          <w:szCs w:val="10"/>
        </w:rPr>
      </w:pPr>
      <w:r>
        <w:rPr>
          <w:rFonts w:ascii="宋体" w:hAnsi="宋体"/>
          <w:b/>
          <w:sz w:val="10"/>
          <w:szCs w:val="10"/>
        </w:rPr>
        <w:br w:type="page"/>
      </w:r>
    </w:p>
    <w:p>
      <w:pPr>
        <w:widowControl/>
        <w:spacing w:line="20" w:lineRule="exact"/>
        <w:jc w:val="left"/>
        <w:rPr>
          <w:rFonts w:ascii="宋体" w:hAnsi="宋体"/>
          <w:b/>
          <w:sz w:val="10"/>
          <w:szCs w:val="10"/>
        </w:rPr>
      </w:pPr>
    </w:p>
    <w:tbl>
      <w:tblPr>
        <w:tblStyle w:val="7"/>
        <w:tblW w:w="96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
        <w:gridCol w:w="1546"/>
        <w:gridCol w:w="1559"/>
        <w:gridCol w:w="4536"/>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jc w:val="center"/>
        </w:trPr>
        <w:tc>
          <w:tcPr>
            <w:tcW w:w="453" w:type="dxa"/>
            <w:vMerge w:val="restart"/>
            <w:tcBorders>
              <w:top w:val="single" w:color="auto" w:sz="12" w:space="0"/>
              <w:left w:val="single" w:color="auto" w:sz="12" w:space="0"/>
              <w:right w:val="single" w:color="auto" w:sz="4" w:space="0"/>
            </w:tcBorders>
            <w:vAlign w:val="center"/>
          </w:tcPr>
          <w:p>
            <w:pPr>
              <w:widowControl/>
              <w:spacing w:beforeLines="50"/>
              <w:jc w:val="center"/>
              <w:rPr>
                <w:rFonts w:ascii="宋体" w:hAnsi="宋体"/>
                <w:szCs w:val="21"/>
              </w:rPr>
            </w:pPr>
            <w:r>
              <w:rPr>
                <w:rFonts w:hint="eastAsia" w:ascii="宋体" w:hAnsi="宋体"/>
                <w:szCs w:val="21"/>
              </w:rPr>
              <w:t>评</w:t>
            </w:r>
          </w:p>
          <w:p>
            <w:pPr>
              <w:widowControl/>
              <w:spacing w:beforeLines="50"/>
              <w:jc w:val="center"/>
              <w:rPr>
                <w:rFonts w:ascii="宋体" w:hAnsi="宋体"/>
                <w:szCs w:val="21"/>
              </w:rPr>
            </w:pPr>
            <w:r>
              <w:rPr>
                <w:rFonts w:hint="eastAsia" w:ascii="宋体" w:hAnsi="宋体"/>
                <w:szCs w:val="21"/>
              </w:rPr>
              <w:t>定</w:t>
            </w:r>
          </w:p>
          <w:p>
            <w:pPr>
              <w:widowControl/>
              <w:spacing w:beforeLines="50"/>
              <w:jc w:val="center"/>
              <w:rPr>
                <w:rFonts w:ascii="宋体" w:hAnsi="宋体"/>
                <w:szCs w:val="21"/>
              </w:rPr>
            </w:pPr>
            <w:r>
              <w:rPr>
                <w:rFonts w:hint="eastAsia" w:ascii="宋体" w:hAnsi="宋体"/>
                <w:szCs w:val="21"/>
              </w:rPr>
              <w:t>小</w:t>
            </w:r>
          </w:p>
          <w:p>
            <w:pPr>
              <w:widowControl/>
              <w:spacing w:beforeLines="50"/>
              <w:jc w:val="center"/>
              <w:rPr>
                <w:rFonts w:ascii="宋体" w:hAnsi="宋体"/>
                <w:szCs w:val="21"/>
              </w:rPr>
            </w:pPr>
            <w:r>
              <w:rPr>
                <w:rFonts w:hint="eastAsia" w:ascii="宋体" w:hAnsi="宋体"/>
                <w:szCs w:val="21"/>
              </w:rPr>
              <w:t>组</w:t>
            </w:r>
          </w:p>
          <w:p>
            <w:pPr>
              <w:widowControl/>
              <w:spacing w:beforeLines="50"/>
              <w:jc w:val="center"/>
              <w:rPr>
                <w:rFonts w:ascii="宋体" w:hAnsi="宋体"/>
                <w:szCs w:val="21"/>
              </w:rPr>
            </w:pPr>
            <w:r>
              <w:rPr>
                <w:rFonts w:hint="eastAsia" w:ascii="宋体" w:hAnsi="宋体"/>
                <w:szCs w:val="21"/>
              </w:rPr>
              <w:t>成</w:t>
            </w:r>
          </w:p>
          <w:p>
            <w:pPr>
              <w:widowControl/>
              <w:spacing w:beforeLines="50"/>
              <w:jc w:val="center"/>
              <w:rPr>
                <w:rFonts w:ascii="宋体" w:hAnsi="宋体"/>
                <w:szCs w:val="21"/>
              </w:rPr>
            </w:pPr>
            <w:r>
              <w:rPr>
                <w:rFonts w:hint="eastAsia" w:ascii="宋体" w:hAnsi="宋体"/>
                <w:szCs w:val="21"/>
              </w:rPr>
              <w:t>员</w:t>
            </w:r>
          </w:p>
          <w:p>
            <w:pPr>
              <w:widowControl/>
              <w:spacing w:beforeLines="50"/>
              <w:ind w:left="420" w:leftChars="200"/>
              <w:rPr>
                <w:rFonts w:ascii="宋体" w:hAnsi="宋体"/>
                <w:szCs w:val="21"/>
              </w:rPr>
            </w:pPr>
          </w:p>
        </w:tc>
        <w:tc>
          <w:tcPr>
            <w:tcW w:w="1546" w:type="dxa"/>
            <w:tcBorders>
              <w:top w:val="single" w:color="auto" w:sz="12" w:space="0"/>
              <w:left w:val="single" w:color="auto" w:sz="4" w:space="0"/>
              <w:bottom w:val="single" w:color="auto" w:sz="4" w:space="0"/>
              <w:right w:val="single" w:color="auto" w:sz="4" w:space="0"/>
            </w:tcBorders>
            <w:vAlign w:val="top"/>
          </w:tcPr>
          <w:p>
            <w:pPr>
              <w:widowControl/>
              <w:spacing w:beforeLines="50"/>
              <w:jc w:val="center"/>
              <w:rPr>
                <w:rFonts w:ascii="宋体" w:hAnsi="宋体"/>
                <w:szCs w:val="21"/>
              </w:rPr>
            </w:pPr>
            <w:r>
              <w:rPr>
                <w:rFonts w:hint="eastAsia" w:ascii="宋体" w:hAnsi="宋体"/>
                <w:szCs w:val="21"/>
              </w:rPr>
              <w:t>姓 名</w:t>
            </w:r>
          </w:p>
        </w:tc>
        <w:tc>
          <w:tcPr>
            <w:tcW w:w="1559" w:type="dxa"/>
            <w:tcBorders>
              <w:top w:val="single" w:color="auto" w:sz="12" w:space="0"/>
              <w:left w:val="single" w:color="auto" w:sz="4" w:space="0"/>
              <w:bottom w:val="single" w:color="auto" w:sz="4" w:space="0"/>
              <w:right w:val="single" w:color="auto" w:sz="4" w:space="0"/>
            </w:tcBorders>
            <w:vAlign w:val="top"/>
          </w:tcPr>
          <w:p>
            <w:pPr>
              <w:widowControl/>
              <w:spacing w:beforeLines="50"/>
              <w:jc w:val="center"/>
              <w:rPr>
                <w:rFonts w:ascii="宋体" w:hAnsi="宋体"/>
                <w:szCs w:val="21"/>
              </w:rPr>
            </w:pPr>
            <w:r>
              <w:rPr>
                <w:rFonts w:hint="eastAsia" w:ascii="宋体" w:hAnsi="宋体"/>
                <w:szCs w:val="21"/>
              </w:rPr>
              <w:t>职 称</w:t>
            </w:r>
          </w:p>
        </w:tc>
        <w:tc>
          <w:tcPr>
            <w:tcW w:w="4536" w:type="dxa"/>
            <w:tcBorders>
              <w:top w:val="single" w:color="auto" w:sz="12" w:space="0"/>
              <w:left w:val="single" w:color="auto" w:sz="4" w:space="0"/>
              <w:bottom w:val="single" w:color="auto" w:sz="4" w:space="0"/>
              <w:right w:val="single" w:color="auto" w:sz="4" w:space="0"/>
            </w:tcBorders>
            <w:vAlign w:val="top"/>
          </w:tcPr>
          <w:p>
            <w:pPr>
              <w:widowControl/>
              <w:spacing w:beforeLines="50"/>
              <w:jc w:val="center"/>
              <w:rPr>
                <w:rFonts w:ascii="宋体" w:hAnsi="宋体"/>
                <w:szCs w:val="21"/>
              </w:rPr>
            </w:pPr>
            <w:r>
              <w:rPr>
                <w:rFonts w:hint="eastAsia" w:ascii="宋体" w:hAnsi="宋体"/>
                <w:szCs w:val="21"/>
              </w:rPr>
              <w:t>单位名称</w:t>
            </w:r>
          </w:p>
        </w:tc>
        <w:tc>
          <w:tcPr>
            <w:tcW w:w="1570" w:type="dxa"/>
            <w:tcBorders>
              <w:top w:val="single" w:color="auto" w:sz="12" w:space="0"/>
              <w:left w:val="single" w:color="auto" w:sz="4" w:space="0"/>
              <w:bottom w:val="single" w:color="auto" w:sz="4" w:space="0"/>
              <w:right w:val="single" w:color="auto" w:sz="12" w:space="0"/>
            </w:tcBorders>
            <w:vAlign w:val="top"/>
          </w:tcPr>
          <w:p>
            <w:pPr>
              <w:widowControl/>
              <w:spacing w:beforeLines="50"/>
              <w:jc w:val="center"/>
              <w:rPr>
                <w:rFonts w:ascii="宋体" w:hAnsi="宋体"/>
                <w:szCs w:val="21"/>
              </w:rPr>
            </w:pPr>
            <w:r>
              <w:rPr>
                <w:rFonts w:hint="eastAsia" w:ascii="宋体" w:hAnsi="宋体"/>
                <w:szCs w:val="21"/>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jc w:val="center"/>
        </w:trPr>
        <w:tc>
          <w:tcPr>
            <w:tcW w:w="453" w:type="dxa"/>
            <w:vMerge w:val="continue"/>
            <w:tcBorders>
              <w:left w:val="single" w:color="auto" w:sz="12" w:space="0"/>
              <w:right w:val="single" w:color="auto" w:sz="4" w:space="0"/>
            </w:tcBorders>
            <w:vAlign w:val="top"/>
          </w:tcPr>
          <w:p>
            <w:pPr>
              <w:widowControl/>
              <w:spacing w:beforeLines="50"/>
              <w:ind w:left="420" w:leftChars="200"/>
              <w:jc w:val="left"/>
              <w:rPr>
                <w:rFonts w:ascii="宋体" w:hAnsi="宋体"/>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马严</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网络技术研究院</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宋体" w:hAnsi="宋体"/>
                <w:szCs w:val="21"/>
              </w:rPr>
            </w:pPr>
            <w:r>
              <w:rPr>
                <w:rFonts w:hint="eastAsia" w:ascii="宋体" w:hAnsi="宋体"/>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jc w:val="center"/>
        </w:trPr>
        <w:tc>
          <w:tcPr>
            <w:tcW w:w="453" w:type="dxa"/>
            <w:vMerge w:val="continue"/>
            <w:tcBorders>
              <w:left w:val="single" w:color="auto" w:sz="12" w:space="0"/>
              <w:right w:val="single" w:color="auto" w:sz="4" w:space="0"/>
            </w:tcBorders>
            <w:vAlign w:val="top"/>
          </w:tcPr>
          <w:p>
            <w:pPr>
              <w:widowControl/>
              <w:spacing w:beforeLines="50"/>
              <w:ind w:left="420" w:leftChars="200"/>
              <w:jc w:val="left"/>
              <w:rPr>
                <w:rFonts w:ascii="宋体" w:hAnsi="宋体"/>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王志谦</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高级工程师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网络技术研究院</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宋体" w:hAnsi="宋体"/>
                <w:szCs w:val="21"/>
              </w:rPr>
            </w:pPr>
            <w:r>
              <w:rPr>
                <w:rFonts w:hint="eastAsia" w:ascii="宋体" w:hAnsi="宋体"/>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jc w:val="center"/>
        </w:trPr>
        <w:tc>
          <w:tcPr>
            <w:tcW w:w="453" w:type="dxa"/>
            <w:vMerge w:val="continue"/>
            <w:tcBorders>
              <w:left w:val="single" w:color="auto" w:sz="12" w:space="0"/>
              <w:right w:val="single" w:color="auto" w:sz="4" w:space="0"/>
            </w:tcBorders>
            <w:vAlign w:val="top"/>
          </w:tcPr>
          <w:p>
            <w:pPr>
              <w:widowControl/>
              <w:spacing w:beforeLines="50"/>
              <w:ind w:left="420" w:leftChars="200"/>
              <w:jc w:val="left"/>
              <w:rPr>
                <w:rFonts w:ascii="宋体" w:hAnsi="宋体"/>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徐明昆</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高级工程师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网络技术研究院</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宋体" w:hAnsi="宋体"/>
                <w:szCs w:val="21"/>
              </w:rPr>
            </w:pPr>
            <w:r>
              <w:rPr>
                <w:rFonts w:hint="eastAsia" w:ascii="宋体" w:hAnsi="宋体"/>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jc w:val="center"/>
        </w:trPr>
        <w:tc>
          <w:tcPr>
            <w:tcW w:w="453" w:type="dxa"/>
            <w:vMerge w:val="continue"/>
            <w:tcBorders>
              <w:left w:val="single" w:color="auto" w:sz="12" w:space="0"/>
              <w:right w:val="single" w:color="auto" w:sz="4" w:space="0"/>
            </w:tcBorders>
            <w:vAlign w:val="top"/>
          </w:tcPr>
          <w:p>
            <w:pPr>
              <w:widowControl/>
              <w:spacing w:beforeLines="50"/>
              <w:ind w:left="420" w:leftChars="200"/>
              <w:jc w:val="left"/>
              <w:rPr>
                <w:rFonts w:ascii="宋体" w:hAnsi="宋体"/>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黄小红</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网络技术研究院</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宋体" w:hAnsi="宋体"/>
                <w:szCs w:val="21"/>
              </w:rPr>
            </w:pPr>
            <w:r>
              <w:rPr>
                <w:rFonts w:hint="eastAsia" w:ascii="宋体" w:hAnsi="宋体"/>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jc w:val="center"/>
        </w:trPr>
        <w:tc>
          <w:tcPr>
            <w:tcW w:w="453" w:type="dxa"/>
            <w:vMerge w:val="continue"/>
            <w:tcBorders>
              <w:left w:val="single" w:color="auto" w:sz="12" w:space="0"/>
              <w:right w:val="single" w:color="auto" w:sz="4" w:space="0"/>
            </w:tcBorders>
            <w:vAlign w:val="top"/>
          </w:tcPr>
          <w:p>
            <w:pPr>
              <w:widowControl/>
              <w:spacing w:beforeLines="50"/>
              <w:ind w:left="420" w:leftChars="200"/>
              <w:jc w:val="left"/>
              <w:rPr>
                <w:rFonts w:ascii="宋体" w:hAnsi="宋体"/>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林昭文</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网络技术研究院</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宋体" w:hAnsi="宋体"/>
                <w:szCs w:val="21"/>
              </w:rPr>
            </w:pPr>
            <w:r>
              <w:rPr>
                <w:rFonts w:hint="eastAsia" w:ascii="宋体" w:hAnsi="宋体"/>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jc w:val="center"/>
        </w:trPr>
        <w:tc>
          <w:tcPr>
            <w:tcW w:w="453" w:type="dxa"/>
            <w:vMerge w:val="continue"/>
            <w:tcBorders>
              <w:left w:val="single" w:color="auto" w:sz="12" w:space="0"/>
              <w:bottom w:val="single" w:color="auto" w:sz="4" w:space="0"/>
              <w:right w:val="single" w:color="auto" w:sz="4" w:space="0"/>
            </w:tcBorders>
            <w:vAlign w:val="top"/>
          </w:tcPr>
          <w:p>
            <w:pPr>
              <w:widowControl/>
              <w:spacing w:beforeLines="50"/>
              <w:ind w:left="420" w:leftChars="200"/>
              <w:jc w:val="left"/>
              <w:rPr>
                <w:rFonts w:ascii="宋体" w:hAnsi="宋体"/>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柯宏力</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高级工程师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szCs w:val="21"/>
              </w:rPr>
            </w:pPr>
            <w:r>
              <w:rPr>
                <w:rFonts w:hint="eastAsia" w:ascii="宋体" w:hAnsi="宋体"/>
                <w:szCs w:val="21"/>
              </w:rPr>
              <w:t>网络技术研究院</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宋体" w:hAnsi="宋体"/>
                <w:szCs w:val="21"/>
              </w:rPr>
            </w:pPr>
            <w:r>
              <w:rPr>
                <w:rFonts w:hint="eastAsia" w:ascii="宋体" w:hAnsi="宋体"/>
                <w:szCs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1" w:hRule="atLeast"/>
          <w:jc w:val="center"/>
        </w:trPr>
        <w:tc>
          <w:tcPr>
            <w:tcW w:w="9664" w:type="dxa"/>
            <w:gridSpan w:val="5"/>
            <w:tcBorders>
              <w:left w:val="single" w:color="auto" w:sz="12" w:space="0"/>
              <w:bottom w:val="nil"/>
              <w:right w:val="single" w:color="auto" w:sz="12" w:space="0"/>
            </w:tcBorders>
            <w:vAlign w:val="top"/>
          </w:tcPr>
          <w:p>
            <w:pPr>
              <w:widowControl/>
              <w:spacing w:beforeLines="50"/>
              <w:ind w:left="420" w:leftChars="200"/>
              <w:jc w:val="left"/>
              <w:rPr>
                <w:rFonts w:ascii="宋体" w:hAnsi="宋体"/>
                <w:szCs w:val="21"/>
              </w:rPr>
            </w:pPr>
            <w:r>
              <w:rPr>
                <w:rFonts w:hint="eastAsia" w:ascii="宋体" w:hAnsi="宋体"/>
                <w:szCs w:val="21"/>
              </w:rPr>
              <w:t>导师意见：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42" w:hRule="atLeast"/>
          <w:jc w:val="center"/>
        </w:trPr>
        <w:tc>
          <w:tcPr>
            <w:tcW w:w="9664" w:type="dxa"/>
            <w:gridSpan w:val="5"/>
            <w:tcBorders>
              <w:top w:val="nil"/>
              <w:left w:val="single" w:color="auto" w:sz="12" w:space="0"/>
              <w:bottom w:val="nil"/>
              <w:right w:val="single" w:color="auto" w:sz="12" w:space="0"/>
            </w:tcBorders>
            <w:vAlign w:val="top"/>
          </w:tcPr>
          <w:p>
            <w:pPr>
              <w:widowControl/>
              <w:spacing w:beforeLines="50"/>
              <w:ind w:left="420" w:leftChars="200"/>
              <w:jc w:val="left"/>
              <w:rPr>
                <w:rFonts w:ascii="宋体" w:hAnsi="宋体"/>
                <w:szCs w:val="21"/>
              </w:rPr>
            </w:pPr>
            <w:r>
              <w:rPr>
                <w:rFonts w:hint="eastAsia" w:ascii="宋体" w:hAnsi="宋体"/>
                <w:szCs w:val="21"/>
              </w:rPr>
              <w:t>由于广电接入网络的特殊性，用户端接入设备——机顶盒的更新换代步伐比较缓慢，存量机顶盒硬件大多配置不高、功能受限，大规模更新困难，因此瘦客户端方案仍是广电网关注的一种应用部署解决方案。近2年国内外均有个别服务商开发出了一些特定的基于云服务的瘦客户端服务系统，但这些系统解决方案各异，与广电网络现有的服务系统也不兼容，成本较高，推广困难。因此，借助于趋于成熟的虚拟化技术，研究一种可融合于现有广电互动平台、较低终端要求的应用服务系统有重要的意义。</w:t>
            </w:r>
          </w:p>
          <w:p>
            <w:pPr>
              <w:widowControl/>
              <w:spacing w:beforeLines="50"/>
              <w:ind w:left="420" w:leftChars="200"/>
              <w:jc w:val="left"/>
              <w:rPr>
                <w:rFonts w:ascii="宋体" w:hAnsi="宋体"/>
                <w:szCs w:val="21"/>
              </w:rPr>
            </w:pPr>
          </w:p>
          <w:p>
            <w:pPr>
              <w:widowControl/>
              <w:spacing w:beforeLines="50"/>
              <w:ind w:left="420" w:leftChars="200"/>
              <w:jc w:val="left"/>
              <w:rPr>
                <w:rFonts w:ascii="宋体" w:hAnsi="宋体"/>
                <w:szCs w:val="21"/>
              </w:rPr>
            </w:pPr>
            <w:r>
              <w:rPr>
                <w:rFonts w:hint="eastAsia" w:ascii="宋体" w:hAnsi="宋体"/>
                <w:szCs w:val="21"/>
              </w:rPr>
              <w:t xml:space="preserve">课题要求作者深入研究相关领域已有的技术规范，根据广电网络的特点提出符合这些规范的瘦客户端应用服务系统框架，通过NGOD的相关服务组件及其扩展，形成一个基本完整的云端应用服务管理原型系统。 </w:t>
            </w:r>
          </w:p>
          <w:p>
            <w:pPr>
              <w:widowControl/>
              <w:spacing w:beforeLines="50"/>
              <w:ind w:left="420" w:leftChars="200"/>
              <w:jc w:val="left"/>
              <w:rPr>
                <w:rFonts w:ascii="宋体" w:hAnsi="宋体"/>
                <w:szCs w:val="21"/>
              </w:rPr>
            </w:pPr>
          </w:p>
          <w:p>
            <w:pPr>
              <w:widowControl/>
              <w:spacing w:beforeLines="50"/>
              <w:ind w:left="420" w:leftChars="200"/>
              <w:jc w:val="left"/>
              <w:rPr>
                <w:rFonts w:ascii="宋体" w:hAnsi="宋体"/>
                <w:szCs w:val="21"/>
              </w:rPr>
            </w:pPr>
            <w:r>
              <w:rPr>
                <w:rFonts w:hint="eastAsia" w:ascii="宋体" w:hAnsi="宋体"/>
                <w:szCs w:val="21"/>
              </w:rPr>
              <w:t>开题报告内容基本完整，研究内容和目标符合课题要求，研究方法与计划基本可行，研究条件具备。同意选题。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21" w:hRule="atLeast"/>
          <w:jc w:val="center"/>
        </w:trPr>
        <w:tc>
          <w:tcPr>
            <w:tcW w:w="9664" w:type="dxa"/>
            <w:gridSpan w:val="5"/>
            <w:tcBorders>
              <w:top w:val="nil"/>
              <w:left w:val="single" w:color="auto" w:sz="12" w:space="0"/>
              <w:right w:val="single" w:color="auto" w:sz="12" w:space="0"/>
            </w:tcBorders>
            <w:vAlign w:val="top"/>
          </w:tcPr>
          <w:p>
            <w:pPr>
              <w:widowControl/>
              <w:ind w:left="5565" w:leftChars="2650"/>
              <w:jc w:val="left"/>
              <w:rPr>
                <w:rFonts w:ascii="宋体" w:hAnsi="宋体"/>
                <w:szCs w:val="21"/>
              </w:rPr>
            </w:pPr>
            <w:r>
              <w:rPr>
                <w:rFonts w:hint="eastAsia" w:ascii="宋体" w:hAnsi="宋体"/>
                <w:szCs w:val="21"/>
              </w:rPr>
              <w:t>导师（签名）：</w:t>
            </w:r>
          </w:p>
          <w:p>
            <w:pPr>
              <w:widowControl/>
              <w:jc w:val="left"/>
              <w:rPr>
                <w:rFonts w:ascii="宋体" w:hAnsi="宋体"/>
                <w:szCs w:val="21"/>
              </w:rPr>
            </w:pPr>
          </w:p>
          <w:p>
            <w:pPr>
              <w:widowControl/>
              <w:ind w:left="5565" w:leftChars="2650"/>
              <w:jc w:val="left"/>
              <w:rPr>
                <w:rFonts w:ascii="宋体" w:hAnsi="宋体"/>
                <w:szCs w:val="21"/>
              </w:rPr>
            </w:pPr>
            <w:r>
              <w:rPr>
                <w:rFonts w:hint="eastAsia" w:ascii="宋体" w:hAnsi="宋体"/>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14" w:hRule="atLeast"/>
          <w:jc w:val="center"/>
        </w:trPr>
        <w:tc>
          <w:tcPr>
            <w:tcW w:w="9664" w:type="dxa"/>
            <w:gridSpan w:val="5"/>
            <w:tcBorders>
              <w:left w:val="single" w:color="auto" w:sz="12" w:space="0"/>
              <w:bottom w:val="nil"/>
              <w:right w:val="single" w:color="auto" w:sz="12" w:space="0"/>
            </w:tcBorders>
            <w:vAlign w:val="top"/>
          </w:tcPr>
          <w:p>
            <w:pPr>
              <w:widowControl/>
              <w:spacing w:beforeLines="50"/>
              <w:ind w:left="420" w:leftChars="200"/>
              <w:jc w:val="left"/>
              <w:rPr>
                <w:rFonts w:ascii="宋体" w:hAnsi="宋体"/>
                <w:szCs w:val="21"/>
              </w:rPr>
            </w:pPr>
            <w:r>
              <w:rPr>
                <w:rFonts w:hint="eastAsia" w:ascii="宋体" w:hAnsi="宋体"/>
                <w:szCs w:val="21"/>
              </w:rPr>
              <w:t>开题报告小组意见：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21" w:hRule="atLeast"/>
          <w:jc w:val="center"/>
        </w:trPr>
        <w:tc>
          <w:tcPr>
            <w:tcW w:w="9664" w:type="dxa"/>
            <w:gridSpan w:val="5"/>
            <w:tcBorders>
              <w:top w:val="nil"/>
              <w:left w:val="single" w:color="auto" w:sz="12" w:space="0"/>
              <w:right w:val="single" w:color="auto" w:sz="12" w:space="0"/>
            </w:tcBorders>
            <w:vAlign w:val="top"/>
          </w:tcPr>
          <w:p>
            <w:pPr>
              <w:widowControl/>
              <w:ind w:left="5565" w:leftChars="2650"/>
              <w:jc w:val="left"/>
              <w:rPr>
                <w:rFonts w:ascii="宋体" w:hAnsi="宋体"/>
                <w:szCs w:val="21"/>
              </w:rPr>
            </w:pPr>
            <w:r>
              <w:rPr>
                <w:rFonts w:hint="eastAsia" w:ascii="宋体" w:hAnsi="宋体"/>
                <w:szCs w:val="21"/>
              </w:rPr>
              <w:t>组长（签名）：</w:t>
            </w:r>
          </w:p>
          <w:p>
            <w:pPr>
              <w:widowControl/>
              <w:ind w:left="5565" w:leftChars="2650"/>
              <w:jc w:val="left"/>
              <w:rPr>
                <w:rFonts w:ascii="宋体" w:hAnsi="宋体"/>
                <w:szCs w:val="21"/>
              </w:rPr>
            </w:pPr>
          </w:p>
          <w:p>
            <w:pPr>
              <w:widowControl/>
              <w:ind w:left="5565" w:leftChars="2650"/>
              <w:jc w:val="left"/>
              <w:rPr>
                <w:rFonts w:ascii="宋体" w:hAnsi="宋体"/>
                <w:szCs w:val="21"/>
              </w:rPr>
            </w:pPr>
            <w:r>
              <w:rPr>
                <w:rFonts w:hint="eastAsia" w:ascii="宋体" w:hAnsi="宋体"/>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1" w:hRule="atLeast"/>
          <w:jc w:val="center"/>
        </w:trPr>
        <w:tc>
          <w:tcPr>
            <w:tcW w:w="9664" w:type="dxa"/>
            <w:gridSpan w:val="5"/>
            <w:tcBorders>
              <w:left w:val="single" w:color="auto" w:sz="12" w:space="0"/>
              <w:bottom w:val="nil"/>
              <w:right w:val="single" w:color="auto" w:sz="12" w:space="0"/>
            </w:tcBorders>
            <w:vAlign w:val="top"/>
          </w:tcPr>
          <w:p>
            <w:pPr>
              <w:widowControl/>
              <w:spacing w:beforeLines="50"/>
              <w:ind w:left="420" w:leftChars="200"/>
              <w:jc w:val="left"/>
              <w:rPr>
                <w:rFonts w:ascii="宋体" w:hAnsi="宋体"/>
                <w:szCs w:val="21"/>
              </w:rPr>
            </w:pPr>
            <w:r>
              <w:rPr>
                <w:rFonts w:hint="eastAsia" w:ascii="宋体" w:hAnsi="宋体"/>
                <w:szCs w:val="21"/>
              </w:rPr>
              <w:t>学院意见（签章）：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21" w:hRule="atLeast"/>
          <w:jc w:val="center"/>
        </w:trPr>
        <w:tc>
          <w:tcPr>
            <w:tcW w:w="9664" w:type="dxa"/>
            <w:gridSpan w:val="5"/>
            <w:tcBorders>
              <w:top w:val="nil"/>
              <w:left w:val="single" w:color="auto" w:sz="12" w:space="0"/>
              <w:bottom w:val="single" w:color="auto" w:sz="12" w:space="0"/>
              <w:right w:val="single" w:color="auto" w:sz="12" w:space="0"/>
            </w:tcBorders>
            <w:vAlign w:val="top"/>
          </w:tcPr>
          <w:p>
            <w:pPr>
              <w:widowControl/>
              <w:ind w:left="5565" w:leftChars="2650"/>
              <w:jc w:val="left"/>
              <w:rPr>
                <w:rFonts w:ascii="宋体" w:hAnsi="宋体"/>
                <w:szCs w:val="21"/>
              </w:rPr>
            </w:pPr>
            <w:r>
              <w:rPr>
                <w:rFonts w:hint="eastAsia" w:ascii="宋体" w:hAnsi="宋体"/>
                <w:szCs w:val="21"/>
              </w:rPr>
              <w:t>负责人：</w:t>
            </w:r>
          </w:p>
          <w:p>
            <w:pPr>
              <w:widowControl/>
              <w:ind w:left="5565" w:leftChars="2650"/>
              <w:jc w:val="left"/>
              <w:rPr>
                <w:rFonts w:ascii="宋体" w:hAnsi="宋体"/>
                <w:szCs w:val="21"/>
              </w:rPr>
            </w:pPr>
          </w:p>
          <w:p>
            <w:pPr>
              <w:widowControl/>
              <w:ind w:left="5565" w:leftChars="2650"/>
              <w:jc w:val="left"/>
              <w:rPr>
                <w:rFonts w:ascii="宋体" w:hAnsi="宋体"/>
                <w:szCs w:val="21"/>
              </w:rPr>
            </w:pPr>
            <w:r>
              <w:rPr>
                <w:rFonts w:hint="eastAsia" w:ascii="宋体" w:hAnsi="宋体"/>
                <w:szCs w:val="21"/>
              </w:rPr>
              <w:t>日期：     年    月    日</w:t>
            </w:r>
          </w:p>
        </w:tc>
      </w:tr>
    </w:tbl>
    <w:p>
      <w:pPr>
        <w:widowControl/>
        <w:spacing w:line="20" w:lineRule="exact"/>
        <w:jc w:val="center"/>
        <w:rPr>
          <w:rFonts w:ascii="宋体" w:hAnsi="宋体"/>
          <w:b/>
          <w:sz w:val="10"/>
          <w:szCs w:val="10"/>
        </w:rPr>
      </w:pPr>
    </w:p>
    <w:sectPr>
      <w:pgSz w:w="11906" w:h="16838"/>
      <w:pgMar w:top="1440" w:right="851" w:bottom="1440" w:left="1418" w:header="850" w:footer="567"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Symbol">
    <w:altName w:val="方正宋体S-超大字符集(SIP)"/>
    <w:panose1 w:val="05050102010706020507"/>
    <w:charset w:val="00"/>
    <w:family w:val="roman"/>
    <w:pitch w:val="default"/>
    <w:sig w:usb0="00000000" w:usb1="00000000" w:usb2="00000000" w:usb3="00000000" w:csb0="80000000" w:csb1="00000000"/>
  </w:font>
  <w:font w:name="SimSun">
    <w:altName w:val="方正书宋_GBK"/>
    <w:panose1 w:val="02010600030101010101"/>
    <w:charset w:val="86"/>
    <w:family w:val="auto"/>
    <w:pitch w:val="default"/>
    <w:sig w:usb0="00000003" w:usb1="080E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 w:name="Calibri">
    <w:altName w:val="DejaVu Sans"/>
    <w:panose1 w:val="020F0502020204030204"/>
    <w:charset w:val="00"/>
    <w:family w:val="auto"/>
    <w:pitch w:val="default"/>
    <w:sig w:usb0="A00002EF" w:usb1="4000207B" w:usb2="00000000" w:usb3="00000000" w:csb0="0000009F" w:csb1="00000000"/>
  </w:font>
  <w:font w:name="楷体">
    <w:altName w:val="方正楷体_GBK"/>
    <w:panose1 w:val="00000000000000000000"/>
    <w:charset w:val="00"/>
    <w:family w:val="auto"/>
    <w:pitch w:val="default"/>
    <w:sig w:usb0="00000000" w:usb1="38CF7CFA"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NanumBarunGothic">
    <w:panose1 w:val="020B0603020101020101"/>
    <w:charset w:val="81"/>
    <w:family w:val="auto"/>
    <w:pitch w:val="default"/>
    <w:sig w:usb0="800002A7" w:usb1="01D77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1 -</w:t>
    </w:r>
    <w:r>
      <w:rPr>
        <w:sz w:val="21"/>
        <w:szCs w:val="21"/>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7"/>
      <w:tblW w:w="9685" w:type="dxa"/>
      <w:jc w:val="center"/>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41"/>
      <w:gridCol w:w="484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PrEx>
      <w:trPr>
        <w:trHeight w:val="851" w:hRule="atLeast"/>
        <w:jc w:val="center"/>
      </w:trPr>
      <w:tc>
        <w:tcPr>
          <w:tcW w:w="4841" w:type="dxa"/>
          <w:vAlign w:val="bottom"/>
        </w:tcPr>
        <w:p>
          <w:pPr>
            <w:spacing w:afterLines="50"/>
          </w:pPr>
          <w:r>
            <w:rPr>
              <w:rFonts w:ascii="Calibri" w:hAnsi="Calibri" w:eastAsia="宋体" w:cs="黑体"/>
              <w:kern w:val="2"/>
              <w:sz w:val="21"/>
              <w:szCs w:val="22"/>
              <w:lang w:val="en-US" w:eastAsia="zh-CN" w:bidi="ar-SA"/>
            </w:rPr>
            <w:pict>
              <v:shape id="Inline Text Wrapping Picture" o:spid="_x0000_s1025" type="#_x0000_t75" style="height:42.55pt;width:99.3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tc>
      <w:tc>
        <w:tcPr>
          <w:tcW w:w="4844" w:type="dxa"/>
          <w:vAlign w:val="bottom"/>
        </w:tcPr>
        <w:p>
          <w:pPr>
            <w:jc w:val="right"/>
          </w:pPr>
        </w:p>
        <w:p>
          <w:pPr>
            <w:spacing w:afterLines="50"/>
            <w:jc w:val="right"/>
            <w:rPr>
              <w:sz w:val="18"/>
              <w:szCs w:val="18"/>
            </w:rPr>
          </w:pPr>
          <w:r>
            <w:rPr>
              <w:rFonts w:hint="eastAsia"/>
              <w:sz w:val="18"/>
              <w:szCs w:val="18"/>
            </w:rPr>
            <w:t>北京邮电大学硕士研究生学位论文开题报告</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7418982">
    <w:nsid w:val="547C18E6"/>
    <w:multiLevelType w:val="singleLevel"/>
    <w:tmpl w:val="547C18E6"/>
    <w:lvl w:ilvl="0" w:tentative="1">
      <w:start w:val="3"/>
      <w:numFmt w:val="chineseCounting"/>
      <w:suff w:val="nothing"/>
      <w:lvlText w:val="%1、"/>
      <w:lvlJc w:val="left"/>
    </w:lvl>
  </w:abstractNum>
  <w:abstractNum w:abstractNumId="1417420964">
    <w:nsid w:val="547C20A4"/>
    <w:multiLevelType w:val="singleLevel"/>
    <w:tmpl w:val="547C20A4"/>
    <w:lvl w:ilvl="0" w:tentative="1">
      <w:start w:val="2"/>
      <w:numFmt w:val="chineseCounting"/>
      <w:suff w:val="nothing"/>
      <w:lvlText w:val="%1、"/>
      <w:lvlJc w:val="left"/>
    </w:lvl>
  </w:abstractNum>
  <w:num w:numId="1">
    <w:abstractNumId w:val="1417420964"/>
  </w:num>
  <w:num w:numId="2">
    <w:abstractNumId w:val="1417418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8566C"/>
    <w:rsid w:val="00000B63"/>
    <w:rsid w:val="00001D27"/>
    <w:rsid w:val="00004BF6"/>
    <w:rsid w:val="000125FA"/>
    <w:rsid w:val="000149C3"/>
    <w:rsid w:val="00016310"/>
    <w:rsid w:val="00016FF9"/>
    <w:rsid w:val="00017157"/>
    <w:rsid w:val="000308C3"/>
    <w:rsid w:val="00033501"/>
    <w:rsid w:val="00035A38"/>
    <w:rsid w:val="00047047"/>
    <w:rsid w:val="0007193B"/>
    <w:rsid w:val="00094E41"/>
    <w:rsid w:val="00095775"/>
    <w:rsid w:val="000A3BE1"/>
    <w:rsid w:val="000B269D"/>
    <w:rsid w:val="000B4D7A"/>
    <w:rsid w:val="000D0958"/>
    <w:rsid w:val="000F1A91"/>
    <w:rsid w:val="000F7E8C"/>
    <w:rsid w:val="00101FAE"/>
    <w:rsid w:val="001109E0"/>
    <w:rsid w:val="00114E34"/>
    <w:rsid w:val="00170FD5"/>
    <w:rsid w:val="001A7D58"/>
    <w:rsid w:val="001D0BB2"/>
    <w:rsid w:val="001E1AB7"/>
    <w:rsid w:val="00203934"/>
    <w:rsid w:val="002078C4"/>
    <w:rsid w:val="00222888"/>
    <w:rsid w:val="00250057"/>
    <w:rsid w:val="00250D95"/>
    <w:rsid w:val="00252A2A"/>
    <w:rsid w:val="00260B42"/>
    <w:rsid w:val="00270867"/>
    <w:rsid w:val="00286FF3"/>
    <w:rsid w:val="002A15DC"/>
    <w:rsid w:val="002B001B"/>
    <w:rsid w:val="002C54EC"/>
    <w:rsid w:val="002E18F6"/>
    <w:rsid w:val="002F5590"/>
    <w:rsid w:val="002F5FEC"/>
    <w:rsid w:val="00316B21"/>
    <w:rsid w:val="0033081F"/>
    <w:rsid w:val="003404A9"/>
    <w:rsid w:val="00344D95"/>
    <w:rsid w:val="00347855"/>
    <w:rsid w:val="00356200"/>
    <w:rsid w:val="0037490E"/>
    <w:rsid w:val="003768E1"/>
    <w:rsid w:val="00384908"/>
    <w:rsid w:val="00384C3D"/>
    <w:rsid w:val="003929C5"/>
    <w:rsid w:val="00395C55"/>
    <w:rsid w:val="003B0734"/>
    <w:rsid w:val="003C0CB0"/>
    <w:rsid w:val="003C2C0A"/>
    <w:rsid w:val="003D04EA"/>
    <w:rsid w:val="003D1C36"/>
    <w:rsid w:val="003F1C36"/>
    <w:rsid w:val="003F4308"/>
    <w:rsid w:val="0040073C"/>
    <w:rsid w:val="004104CA"/>
    <w:rsid w:val="00411613"/>
    <w:rsid w:val="004116F5"/>
    <w:rsid w:val="00416FD4"/>
    <w:rsid w:val="004177A7"/>
    <w:rsid w:val="00437D1E"/>
    <w:rsid w:val="004652A3"/>
    <w:rsid w:val="0048581A"/>
    <w:rsid w:val="00494DBB"/>
    <w:rsid w:val="004D0CCD"/>
    <w:rsid w:val="004E0AFD"/>
    <w:rsid w:val="004E1F69"/>
    <w:rsid w:val="004F488F"/>
    <w:rsid w:val="004F7F02"/>
    <w:rsid w:val="0050245B"/>
    <w:rsid w:val="00505425"/>
    <w:rsid w:val="00505F6D"/>
    <w:rsid w:val="0052244E"/>
    <w:rsid w:val="00544519"/>
    <w:rsid w:val="0054492D"/>
    <w:rsid w:val="0054659A"/>
    <w:rsid w:val="005478F1"/>
    <w:rsid w:val="0055047C"/>
    <w:rsid w:val="00561B69"/>
    <w:rsid w:val="00580167"/>
    <w:rsid w:val="00580F4D"/>
    <w:rsid w:val="00581142"/>
    <w:rsid w:val="0058435F"/>
    <w:rsid w:val="005911AA"/>
    <w:rsid w:val="0059205B"/>
    <w:rsid w:val="005B25E2"/>
    <w:rsid w:val="005B25EE"/>
    <w:rsid w:val="005D0157"/>
    <w:rsid w:val="005D251D"/>
    <w:rsid w:val="005D60F5"/>
    <w:rsid w:val="00615C28"/>
    <w:rsid w:val="006408DE"/>
    <w:rsid w:val="0064443A"/>
    <w:rsid w:val="00650CB9"/>
    <w:rsid w:val="00665C0F"/>
    <w:rsid w:val="00666BA3"/>
    <w:rsid w:val="006902A4"/>
    <w:rsid w:val="00695DA0"/>
    <w:rsid w:val="006B3429"/>
    <w:rsid w:val="006B4153"/>
    <w:rsid w:val="006B61C7"/>
    <w:rsid w:val="007040C6"/>
    <w:rsid w:val="00705852"/>
    <w:rsid w:val="00707D41"/>
    <w:rsid w:val="00716A8F"/>
    <w:rsid w:val="007170B6"/>
    <w:rsid w:val="00717AA9"/>
    <w:rsid w:val="007575E3"/>
    <w:rsid w:val="00761EE1"/>
    <w:rsid w:val="00770A21"/>
    <w:rsid w:val="007749D9"/>
    <w:rsid w:val="007837E0"/>
    <w:rsid w:val="0079211F"/>
    <w:rsid w:val="007B00B1"/>
    <w:rsid w:val="007C657F"/>
    <w:rsid w:val="007C7743"/>
    <w:rsid w:val="007D0AB0"/>
    <w:rsid w:val="007D6B8A"/>
    <w:rsid w:val="008241AD"/>
    <w:rsid w:val="00825E51"/>
    <w:rsid w:val="00826BAC"/>
    <w:rsid w:val="008557BA"/>
    <w:rsid w:val="00861F2D"/>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40CFC"/>
    <w:rsid w:val="00941FEE"/>
    <w:rsid w:val="00942C67"/>
    <w:rsid w:val="00944976"/>
    <w:rsid w:val="009532C3"/>
    <w:rsid w:val="00960C49"/>
    <w:rsid w:val="00974A4A"/>
    <w:rsid w:val="009761C0"/>
    <w:rsid w:val="009A4623"/>
    <w:rsid w:val="009A712D"/>
    <w:rsid w:val="009B2665"/>
    <w:rsid w:val="009C2D2D"/>
    <w:rsid w:val="009C5014"/>
    <w:rsid w:val="009C5DD3"/>
    <w:rsid w:val="009E5E4B"/>
    <w:rsid w:val="009F08A5"/>
    <w:rsid w:val="009F39E5"/>
    <w:rsid w:val="009F3A29"/>
    <w:rsid w:val="00A33A8B"/>
    <w:rsid w:val="00A36EAA"/>
    <w:rsid w:val="00A4375E"/>
    <w:rsid w:val="00A500C1"/>
    <w:rsid w:val="00A556F6"/>
    <w:rsid w:val="00A90C38"/>
    <w:rsid w:val="00A92A0F"/>
    <w:rsid w:val="00AC19AD"/>
    <w:rsid w:val="00AD1B73"/>
    <w:rsid w:val="00AF75CD"/>
    <w:rsid w:val="00B11BCB"/>
    <w:rsid w:val="00B11F34"/>
    <w:rsid w:val="00B16B2E"/>
    <w:rsid w:val="00B50AC8"/>
    <w:rsid w:val="00B56197"/>
    <w:rsid w:val="00B65360"/>
    <w:rsid w:val="00B675AB"/>
    <w:rsid w:val="00B71816"/>
    <w:rsid w:val="00B74F97"/>
    <w:rsid w:val="00B8755C"/>
    <w:rsid w:val="00B967E1"/>
    <w:rsid w:val="00B96D7B"/>
    <w:rsid w:val="00BC058E"/>
    <w:rsid w:val="00BD1B37"/>
    <w:rsid w:val="00BD5C75"/>
    <w:rsid w:val="00BD6D12"/>
    <w:rsid w:val="00BE350A"/>
    <w:rsid w:val="00BF1B8D"/>
    <w:rsid w:val="00C00064"/>
    <w:rsid w:val="00C017A1"/>
    <w:rsid w:val="00C43BBA"/>
    <w:rsid w:val="00C4449A"/>
    <w:rsid w:val="00C46A44"/>
    <w:rsid w:val="00C4796F"/>
    <w:rsid w:val="00C65C95"/>
    <w:rsid w:val="00C67FFB"/>
    <w:rsid w:val="00CA13CC"/>
    <w:rsid w:val="00CB5139"/>
    <w:rsid w:val="00CE062D"/>
    <w:rsid w:val="00CE07D3"/>
    <w:rsid w:val="00CE3E15"/>
    <w:rsid w:val="00D075A6"/>
    <w:rsid w:val="00D07C5C"/>
    <w:rsid w:val="00D14C4B"/>
    <w:rsid w:val="00D66CAA"/>
    <w:rsid w:val="00D73BCA"/>
    <w:rsid w:val="00D77887"/>
    <w:rsid w:val="00D8486C"/>
    <w:rsid w:val="00D90124"/>
    <w:rsid w:val="00DA1EF1"/>
    <w:rsid w:val="00DA33AC"/>
    <w:rsid w:val="00DA37EF"/>
    <w:rsid w:val="00DB0019"/>
    <w:rsid w:val="00DB4FD6"/>
    <w:rsid w:val="00DC3A62"/>
    <w:rsid w:val="00DD26F8"/>
    <w:rsid w:val="00DD5900"/>
    <w:rsid w:val="00DF216C"/>
    <w:rsid w:val="00DF551D"/>
    <w:rsid w:val="00E06B0D"/>
    <w:rsid w:val="00E235D6"/>
    <w:rsid w:val="00E26B40"/>
    <w:rsid w:val="00E54855"/>
    <w:rsid w:val="00E82908"/>
    <w:rsid w:val="00E96CAC"/>
    <w:rsid w:val="00EA28D5"/>
    <w:rsid w:val="00EB1D7A"/>
    <w:rsid w:val="00EB2C15"/>
    <w:rsid w:val="00EB4450"/>
    <w:rsid w:val="00EE79AE"/>
    <w:rsid w:val="00EF4D77"/>
    <w:rsid w:val="00EF4DA9"/>
    <w:rsid w:val="00EF7477"/>
    <w:rsid w:val="00F00A9C"/>
    <w:rsid w:val="00F246D2"/>
    <w:rsid w:val="00F32095"/>
    <w:rsid w:val="00F43674"/>
    <w:rsid w:val="00F47867"/>
    <w:rsid w:val="00F47C05"/>
    <w:rsid w:val="00F617A8"/>
    <w:rsid w:val="00F72EBA"/>
    <w:rsid w:val="00F87AE8"/>
    <w:rsid w:val="00FA6DD1"/>
    <w:rsid w:val="00FA723A"/>
    <w:rsid w:val="00FB45B3"/>
    <w:rsid w:val="00FC0378"/>
    <w:rsid w:val="00FD12F4"/>
    <w:rsid w:val="00FD3A90"/>
    <w:rsid w:val="00FE1B2F"/>
    <w:rsid w:val="00FE596D"/>
    <w:rsid w:val="00FE6196"/>
    <w:rsid w:val="00FF630D"/>
    <w:rsid w:val="7F9F7C8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WordArt: Circle 2"/>
        <o:r id="V:Rule2" type="connector" idref="#WordArt: Circle 3"/>
        <o:r id="V:Rule3" type="connector" idref="#WordArt: Circle 7"/>
        <o:r id="V:Rule4" type="connector" idref="#WordArt: Circle 4"/>
        <o:r id="V:Rule5" type="connector" idref="#WordArt: Circle 5"/>
        <o:r id="V:Rule6" type="connector" idref="#WordArt: Circle 6"/>
        <o:r id="V:Rule7" type="connector" idref="#WordArt: Circle 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141</Words>
  <Characters>806</Characters>
  <Lines>6</Lines>
  <Paragraphs>1</Paragraphs>
  <TotalTime>1431655765</TotalTime>
  <ScaleCrop>false</ScaleCrop>
  <LinksUpToDate>false</LinksUpToDate>
  <CharactersWithSpaces>0</CharactersWithSpaces>
  <Application>WPS Office 社区版_9.1.0.4937_{F1E327BC-269C-435d-A152-05C5408002CA}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cp:lastModifiedBy>zhaoxiaosen</cp:lastModifiedBy>
  <dcterms:modified xsi:type="dcterms:W3CDTF">1970-01-01T15:59:59Z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2052-9.1.0.4937</vt:lpwstr>
  </property>
</Properties>
</file>