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i w:val="0"/>
          <w:sz w:val="28"/>
        </w:rPr>
        <w:t>МИНИСТЕРСТВО ПРОСВЕЩЕНИЯ РОССИЙСКОЙ ФЕДЕРАЦИИ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i w:val="0"/>
          <w:sz w:val="28"/>
        </w:rPr>
        <w:t>Государственное бюджетное профессиональное образовательное учреждение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i w:val="0"/>
          <w:sz w:val="28"/>
        </w:rPr>
        <w:t>города Москвы «Колледж информационных технологий „ИТ.Москва"»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i w:val="0"/>
          <w:sz w:val="28"/>
        </w:rPr>
        <w:t>Специальность 09.02.07 Информационные системы и программирование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i w:val="0"/>
          <w:sz w:val="28"/>
        </w:rPr>
        <w:t>Профессиональный модуль ПМ.02 Осуществление интеграции программных модулей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i w:val="0"/>
          <w:sz w:val="28"/>
        </w:rPr>
        <w:t>ПОЯСНИТЕЛЬНАЯ ЗАПИСКА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i w:val="0"/>
          <w:sz w:val="28"/>
        </w:rPr>
        <w:t>к учебной практике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i w:val="0"/>
          <w:sz w:val="28"/>
        </w:rPr>
        <w:t>Этап 4. Инспектирование модулей на соответствие стандартам кодирования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i/>
          <w:sz w:val="28"/>
        </w:rPr>
        <w:t xml:space="preserve">Кейс-задача: «Информационная система учёта заказов химчистки»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b w:val="0"/>
          <w:i w:val="0"/>
          <w:sz w:val="28"/>
        </w:rPr>
        <w:t>Выполнил(а):</w:t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b w:val="0"/>
          <w:i w:val="0"/>
          <w:sz w:val="28"/>
        </w:rPr>
        <w:t xml:space="preserve">студент группы 3ИП-9-24</w:t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b w:val="0"/>
          <w:i w:val="0"/>
          <w:sz w:val="28"/>
        </w:rPr>
        <w:t xml:space="preserve">Мещеряков Марк Николаевич</w:t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b w:val="0"/>
          <w:i/>
          <w:sz w:val="28"/>
        </w:rPr>
        <w:t>(фамилия, имя, отчество)</w:t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b w:val="0"/>
          <w:i w:val="0"/>
          <w:sz w:val="28"/>
        </w:rPr>
        <w:t>Подпись студента: ________________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b w:val="0"/>
          <w:i w:val="0"/>
          <w:sz w:val="28"/>
        </w:rPr>
        <w:t>Руководитель учебной практики:</w:t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b/>
          <w:i w:val="0"/>
          <w:sz w:val="28"/>
        </w:rPr>
        <w:t>Острецов Пётр Эдуардович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b w:val="0"/>
          <w:i w:val="0"/>
          <w:sz w:val="28"/>
        </w:rPr>
        <w:t>Оценка: ________________</w:t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b w:val="0"/>
          <w:i w:val="0"/>
          <w:sz w:val="28"/>
        </w:rPr>
        <w:t>Дата защиты: «____» ______________ 20____ г.</w:t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b w:val="0"/>
          <w:i w:val="0"/>
          <w:sz w:val="28"/>
        </w:rPr>
        <w:t>Подпись руководителя: ________________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i w:val="0"/>
          <w:sz w:val="28"/>
        </w:rPr>
        <w:t>Москва, 2026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sz w:val="28"/>
        </w:rPr>
        <w:t>ИСХОДНЫЕ ДАННЫЕ ДЛЯ ВЫПОЛНЕНИЯ УЧЕБНОЙ ПРАКТИКИ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Документ оформлен в соответствии с требованиями ГОСТ 7.32-2017 «Отчёт о научно-исследовательской работе. Структура и правила оформления» и ГОСТ Р 7.0.5-2008 «Библиографическая ссылка. Общие требования и правила составления».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Учебная практика реализуется в форме кейс-задачи: студент выступает в роли разработчика программного обеспечения, которому поручено провести инспекцию разработанных модулей системы на соответствие стандартам кодирования. Настоящее сопроводительное письмо описывает этап 4 — «Инспектирование модулей на соответствие стандартам кодирования».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/>
          <w:i w:val="0"/>
          <w:sz w:val="28"/>
        </w:rPr>
        <w:t>Исходные данные кейс-задачи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6803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Предметная область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t xml:space="preserve">Химчистка — приём изделий в чистку, расчёт стоимости и сроков, выдача заказов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Инспектируемый код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Исходный код модулей, разработанных на этапах 1–3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Стандарт кодирования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Microsoft C# Coding Conventions / JetBrains Rider / StyleCop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Инструменты инспекции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Статический анализатор (Roslyn Analyzers, SonarQube), ручное ревью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Среда разработки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Visual Studio 2022, .NET 6+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Система контроля версий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Git (GitHub / GitLab)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Объём этапа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18 академических часов (9 пар)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Объём практики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72 академических часа (все этапы)</w:t>
            </w:r>
          </w:p>
        </w:tc>
      </w:tr>
    </w:tbl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/>
          <w:i w:val="0"/>
          <w:sz w:val="28"/>
        </w:rPr>
        <w:t>Состав этапов учебной практики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566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этапа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Часы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Разработка приложения с использованием гибких методов разработки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Выполнен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Разработка, отладка и интеграция модулей системы в соответствии с требованиями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Выполнен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Тестирование разработанной системы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Выполнен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Инспектирование модулей на соответствие стандартам кодирования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Текущий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72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</w:tr>
    </w:tbl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Этап 4 является завершающим и логически продолжает этапы 1–3: инспектируется исходный код модулей, разработанных на этапе 2, с учётом дефектов, выявленных при тестировании (этап 3), и требований к модулям, сформулированных на этапе 1.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Введение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1. Общие сведения об этапе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 xml:space="preserve">   1.1. Формируемые компетенции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 xml:space="preserve">   1.2. Цель и задачи этапа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2. Теоретические сведения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3. Пошаговый порядок выполнения этапа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4. Календарный план этапа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5. Требования к результату этапа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6. Критерии оценивания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Список использованных источников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Подтверждение самостоятельности выполнения работы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Учебная практика по профессиональному модулю ПМ.02 «Осуществление интеграции программных модулей» направлена на формирование практических навыков разработки, отладки, тестирования и инспектирования программных модулей в соответствии с техническими требованиями и стандартами кодирования.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Данный этап является четвёртым (завершающим) из четырёх и логически продолжает пройденные этапы: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— этап 1 «Разработка приложения с использованием гибких методов разработки» — сформированы требования к модулям, архитектура и бэклог;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— этап 2 «Разработка, отладка и интеграция модулей» — реализован исходный код модулей, выполнена отладка и интеграция;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— этап 3 «Тестирование разработанной системы» — проведено модульное, интеграционное и системное тестирование, выявлены и зарегистрированы дефекты;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— этап 4 «Инспектирование модулей на соответствие стандартам кодирования» — код модулей проверяется на соответствие стандартам, проводятся ревью и статический анализ.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Цель этапа — провести инспекцию исходного кода модулей системы на соответствие стандартам кодирования, выполнить ручное и автоматизированное ревью, оформить замечания и устранить выявленные нарушения (ПК 2.5).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Задачи этапа: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1. Изучить стандарты кодирования, применимые к разработанному проекту.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2. Настроить инструменты статического анализа кода.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3. Провести инспекцию модулей по чек-листу стандартов кодирования.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4. Выполнить ручное ревью кода по материалам этапов 2 и 3.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5. Зафиксировать замечания и оформить протокол инспекции.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6. Устранить выявленные нарушения и провести повторную проверку.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7. Оценить метрики качества кода.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8. Подготовить итоговый отчёт по этапу и практике в целом.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Объект — исходный код модулей информационной системы предметной области «Химчистка», разработанный на этапах 1–3. Предмет — стандарты кодирования, методы инспекции и статического анализа программного обеспечения.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sz w:val="28"/>
        </w:rPr>
        <w:t>1. ОБЩИЕ СВЕДЕНИЯ ОБ ЭТАПЕ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1.1. Формируемые компетенции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Код</w:t>
            </w:r>
          </w:p>
        </w:tc>
        <w:tc>
          <w:tcPr>
            <w:tcW w:type="dxa" w:w="793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компетенции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ПК 2.5</w:t>
            </w:r>
          </w:p>
        </w:tc>
        <w:tc>
          <w:tcPr>
            <w:tcW w:type="dxa" w:w="793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ПК 2.1</w:t>
            </w:r>
          </w:p>
        </w:tc>
        <w:tc>
          <w:tcPr>
            <w:tcW w:type="dxa" w:w="793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Разрабатывать требования к программным модулям (опора на результаты этапа 1)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ПК 2.3</w:t>
            </w:r>
          </w:p>
        </w:tc>
        <w:tc>
          <w:tcPr>
            <w:tcW w:type="dxa" w:w="793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Выполнять отладку программного модуля (опора на результаты этапа 2)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ОК 01</w:t>
            </w:r>
          </w:p>
        </w:tc>
        <w:tc>
          <w:tcPr>
            <w:tcW w:type="dxa" w:w="793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Выбирать способы решения задач профессиональной деятельности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ОК 02</w:t>
            </w:r>
          </w:p>
        </w:tc>
        <w:tc>
          <w:tcPr>
            <w:tcW w:type="dxa" w:w="793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Использовать современные средства поиска, анализа и интерпретации информации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ОК 04</w:t>
            </w:r>
          </w:p>
        </w:tc>
        <w:tc>
          <w:tcPr>
            <w:tcW w:type="dxa" w:w="793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Эффективно взаимодействовать и работать в коллективе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ОК 09</w:t>
            </w:r>
          </w:p>
        </w:tc>
        <w:tc>
          <w:tcPr>
            <w:tcW w:type="dxa" w:w="793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Пользоваться профессиональной документацией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ЦО 6.3</w:t>
            </w:r>
          </w:p>
        </w:tc>
        <w:tc>
          <w:tcPr>
            <w:tcW w:type="dxa" w:w="793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Готовность к непрерывному образованию и самообразованию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ЦО 8.3</w:t>
            </w:r>
          </w:p>
        </w:tc>
        <w:tc>
          <w:tcPr>
            <w:tcW w:type="dxa" w:w="793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Навыки критического мышления, определения достоверности информации</w:t>
            </w:r>
          </w:p>
        </w:tc>
      </w:tr>
    </w:tbl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1.2. Цель и задачи этапа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Цель: обеспечить соответствие исходного кода всех модулей системы (DataAccess, BusinessLogic, Presentation) принятым стандартам кодирования; выявить и устранить нарушения с учётом дефектов, зарегистрированных на этапе 3.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Результат этапа: протокол инспекции кода, отчёт статического анализатора, исправленный исходный код, метрики качества, итоговый отчёт по практике.</w:t>
      </w: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sz w:val="28"/>
        </w:rPr>
        <w:t>2. ТЕОРЕТИЧЕСКИЕ СВЕДЕНИЯ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Стандарт кодирования — набор правил и рекомендаций, регламентирующих форматирование, именование, структуру и оформление исходного кода. Применение стандартов повышает читаемость, упрощает сопровождение и снижает вероятность ошибок.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Microsoft C# Coding Conventions — официальное руководство по стилю кода для C# и .NET. Охватывает правила именования (PascalCase для типов и методов, camelCase для локальных переменных), расстановку фигурных скобок (Allman или K&amp;R), использование var, форматирование отступов и комментарии XML-документации.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Инспекция кода (code inspection) — систематическая проверка исходного кода на соответствие стандартам. Включает два подхода: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— ручное ревью (peer review) — проверка кода другим разработчиком по чек-листу; выявляет логические и архитектурные проблемы, которые не находят автоматические инструменты;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— статический анализ — автоматизированная проверка инструментами (Roslyn Analyzers, SonarQube, StyleCop, JetBrains Rider) без запуска кода; находит нарушения стиля, потенциальные баги, «дурно пахнущий» код (code smells).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Code smells — признаки потенциальных проблем в коде: длинные методы, дублирование, глубокая вложенность, «божественные классы» (God Object), магические числа, неиспользуемые переменные. Не являются ошибками, но указывают на необходимость рефакторинга.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Метрики качества кода: цикломатическая сложность (cyclomatic complexity) — количество независимых путей выполнения в методе; глубина наследования (depth of inheritance); связность (cohesion) и зацепление (coupling); покрытие тестами (code coverage) — процент кода, покрытого тестами (получен на этапе 3).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Рефакторинг — процесс изменения внутренней структуры кода без изменения внешнего поведения. Основные приёмы: извлечение метода (Extract Method), переименование (Rename), извлечение интерфейса (Extract Interface), замена условных операторов полиморфизмом.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sz w:val="28"/>
        </w:rPr>
        <w:t>3. ПОШАГОВЫЙ ПОРЯДОК ВЫПОЛНЕНИЯ ЭТАПА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Шаги выполнены последовательно для индивидуальной темы «Химчистка» (приложение DryCleaningApp). На каждом шаге используется исходный код, разработанный на этапах 1–3.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Шаг 1. Изучение стандартов кодирования и подготовка чек-листа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Что сделать: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1. Изучите Microsoft C# Coding Conventions и правила именования (PascalCase, camelCase, интерфейсы с префиксом I).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2. Ознакомьтесь с требованиями StyleCop и Roslyn Analyzers для C#.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3. Составьте чек-лист инспекции: правила именования, форматирование, длина методов, глубина вложенности, XML-комментарии, обработка исключений.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4. Сравните чек-лист с требованиями к модулям, сформулированными на этапе 1.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«Химчистка», DryCleaningApp):</w:t>
      </w:r>
    </w:p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1 — Чек-лист инспекции кода</w:t>
      </w:r>
    </w:p>
    <w:tbl>
      <w:tblPr>
        <w:tblStyle w:val="TableGrid"/>
        <w:tblW w:type="dxa" w:w="9598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426"/>
        <w:gridCol w:w="7466"/>
        <w:gridCol w:w="1706"/>
      </w:tblGrid>
      <w:tr>
        <w:trPr>
          <w:tblHeader/>
        </w:trPr>
        <w:tc>
          <w:tcPr>
            <w:tcW w:type="dxa" w:w="426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№</w:t>
            </w:r>
          </w:p>
        </w:tc>
        <w:tc>
          <w:tcPr>
            <w:tcW w:type="dxa" w:w="7466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Правило</w:t>
            </w:r>
          </w:p>
        </w:tc>
        <w:tc>
          <w:tcPr>
            <w:tcW w:type="dxa" w:w="1706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Группа</w:t>
            </w:r>
          </w:p>
        </w:tc>
      </w:tr>
      <w:tr>
        <w:tc>
          <w:tcPr>
            <w:tcW w:type="dxa" w:w="4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</w:t>
            </w:r>
          </w:p>
        </w:tc>
        <w:tc>
          <w:tcPr>
            <w:tcW w:type="dxa" w:w="74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Типы, методы, свойства, константы — PascalCase; интерфейсы с префиксом I</w:t>
            </w:r>
          </w:p>
        </w:tc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именование</w:t>
            </w:r>
          </w:p>
        </w:tc>
      </w:tr>
      <w:tr>
        <w:tc>
          <w:tcPr>
            <w:tcW w:type="dxa" w:w="4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2</w:t>
            </w:r>
          </w:p>
        </w:tc>
        <w:tc>
          <w:tcPr>
            <w:tcW w:type="dxa" w:w="74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Локальные переменные и параметры — camelCase; приватные поля — _camelCase</w:t>
            </w:r>
          </w:p>
        </w:tc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именование</w:t>
            </w:r>
          </w:p>
        </w:tc>
      </w:tr>
      <w:tr>
        <w:tc>
          <w:tcPr>
            <w:tcW w:type="dxa" w:w="4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3</w:t>
            </w:r>
          </w:p>
        </w:tc>
        <w:tc>
          <w:tcPr>
            <w:tcW w:type="dxa" w:w="74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Имена без подчёркиваний (CA1707), кроме тестовых методов по схеме Method_Scenario_Expected</w:t>
            </w:r>
          </w:p>
        </w:tc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именование</w:t>
            </w:r>
          </w:p>
        </w:tc>
      </w:tr>
      <w:tr>
        <w:tc>
          <w:tcPr>
            <w:tcW w:type="dxa" w:w="4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4</w:t>
            </w:r>
          </w:p>
        </w:tc>
        <w:tc>
          <w:tcPr>
            <w:tcW w:type="dxa" w:w="74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Фигурные скобки в стиле Allman, отступ 4 пробела, кодировка UTF-8</w:t>
            </w:r>
          </w:p>
        </w:tc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форматирование</w:t>
            </w:r>
          </w:p>
        </w:tc>
      </w:tr>
      <w:tr>
        <w:tc>
          <w:tcPr>
            <w:tcW w:type="dxa" w:w="4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5</w:t>
            </w:r>
          </w:p>
        </w:tc>
        <w:tc>
          <w:tcPr>
            <w:tcW w:type="dxa" w:w="74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Длина метода не более 40 строк; вложенность не более 3</w:t>
            </w:r>
          </w:p>
        </w:tc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структура</w:t>
            </w:r>
          </w:p>
        </w:tc>
      </w:tr>
      <w:tr>
        <w:tc>
          <w:tcPr>
            <w:tcW w:type="dxa" w:w="4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6</w:t>
            </w:r>
          </w:p>
        </w:tc>
        <w:tc>
          <w:tcPr>
            <w:tcW w:type="dxa" w:w="74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Цикломатическая сложность метода не более 10</w:t>
            </w:r>
          </w:p>
        </w:tc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структура</w:t>
            </w:r>
          </w:p>
        </w:tc>
      </w:tr>
      <w:tr>
        <w:tc>
          <w:tcPr>
            <w:tcW w:type="dxa" w:w="4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7</w:t>
            </w:r>
          </w:p>
        </w:tc>
        <w:tc>
          <w:tcPr>
            <w:tcW w:type="dxa" w:w="74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Нет магических чисел: пороги и ставки — именованные константы</w:t>
            </w:r>
          </w:p>
        </w:tc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структура</w:t>
            </w:r>
          </w:p>
        </w:tc>
      </w:tr>
      <w:tr>
        <w:tc>
          <w:tcPr>
            <w:tcW w:type="dxa" w:w="4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8</w:t>
            </w:r>
          </w:p>
        </w:tc>
        <w:tc>
          <w:tcPr>
            <w:tcW w:type="dxa" w:w="74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XML-комментарии у публичных типов и неочевидных членов</w:t>
            </w:r>
          </w:p>
        </w:tc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документирование</w:t>
            </w:r>
          </w:p>
        </w:tc>
      </w:tr>
      <w:tr>
        <w:tc>
          <w:tcPr>
            <w:tcW w:type="dxa" w:w="4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9</w:t>
            </w:r>
          </w:p>
        </w:tc>
        <w:tc>
          <w:tcPr>
            <w:tcW w:type="dxa" w:w="74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Проверка аргументов публичных методов (ArgumentNullException.ThrowIfNull, CA1062)</w:t>
            </w:r>
          </w:p>
        </w:tc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надёжность</w:t>
            </w:r>
          </w:p>
        </w:tc>
      </w:tr>
      <w:tr>
        <w:tc>
          <w:tcPr>
            <w:tcW w:type="dxa" w:w="4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10</w:t>
            </w:r>
          </w:p>
        </w:tc>
        <w:tc>
          <w:tcPr>
            <w:tcW w:type="dxa" w:w="74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Пользовательские исключения наследуют базовое исключение домена и имеют стандартные конструкторы (CA1032)</w:t>
            </w:r>
          </w:p>
        </w:tc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исключения</w:t>
            </w:r>
          </w:p>
        </w:tc>
      </w:tr>
      <w:tr>
        <w:tc>
          <w:tcPr>
            <w:tcW w:type="dxa" w:w="4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11</w:t>
            </w:r>
          </w:p>
        </w:tc>
        <w:tc>
          <w:tcPr>
            <w:tcW w:type="dxa" w:w="74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Бизнес-правила — только в сервисах BLL; в слое представления — ввод, вывод и перехват исключений</w:t>
            </w:r>
          </w:p>
        </w:tc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архитектура</w:t>
            </w:r>
          </w:p>
        </w:tc>
      </w:tr>
      <w:tr>
        <w:tc>
          <w:tcPr>
            <w:tcW w:type="dxa" w:w="4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12</w:t>
            </w:r>
          </w:p>
        </w:tc>
        <w:tc>
          <w:tcPr>
            <w:tcW w:type="dxa" w:w="74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Параметры интерфейсов не совпадают с ключевыми словами (CA1716); индексируемые коллекции без First() (CA1826)</w:t>
            </w:r>
          </w:p>
        </w:tc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анализаторы</w:t>
            </w:r>
          </w:p>
        </w:tc>
      </w:tr>
    </w:tbl>
    <w:p>
      <w:pPr>
        <w:spacing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Чек-лист сопоставлен с требованиями к модулям этапа 1: правила 7 и 11 напрямую проверяют, что пороги скидок, надбавок и переходы статусов реализованы в сервисах, как указано в таблице требований к модулям.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Шаг 2. Настройка инструментов статического анализа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Что сделать: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1. Установите анализаторы в проект: NuGet-пакеты Microsoft.CodeAnalysis.NetAnalyzers, StyleCop.Analyzers.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2. Настройте файл .editorconfig с правилами форматирования и серьезностью нарушений (error / warning / suggestion).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3. Запустите анализ решения (Build → Run Code Analysis).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4. Сохраните отчёт анализатора (список предупреждений и нарушений).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«Химчистка», DryCleaningApp):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Использованы встроенные анализаторы .NET 8 (Microsoft.CodeAnalysis.NetAnalyzers) с повышенным уровнем строгости и правила стиля из .editorconfig; команда анализа: dotnet build -p:AnalysisMode=All -p:EnforceCodeStyleInBuild=true. Итоговый .editorconfig решения: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root = true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[*.cs]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indent_style = space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indent_size = 4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end_of_line = lf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charset = utf-8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csharp_new_line_before_open_brace = all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csharp_indent_braces = false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dotnet_diagnostic.CA1707.severity = error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dotnet_diagnostic.CA1062.severity = warning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dotnet_diagnostic.CA1502.severity = warning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dotnet_diagnostic.CA1303.severity = none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dotnet_diagnostic.IDE0055.severity = warning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# Обоснованные исключения (см. протокол инспекции, этап 4)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dotnet_diagnostic.CA1308.severity = none   # имена файлов данных намеренно в нижнем регистре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dotnet_diagnostic.CA1002.severity = none   # List&lt;T&gt; в сущностях нужен для десериализации System.Text.Json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dotnet_diagnostic.CA2227.severity = none   # сеттер коллекции нужен для десериализации System.Text.Json</w:t>
      </w:r>
    </w:p>
    <w:p>
      <w:pPr>
        <w:spacing w:before="0" w:after="6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dotnet_diagnostic.CA1008.severity = none   # перечисления размеров/категорий без значения 0 по предметной области</w:t>
      </w:r>
    </w:p>
    <w:p>
      <w:pPr>
        <w:spacing w:before="8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Отчёт анализатора до исправлений — 18 сообщений:</w:t>
      </w:r>
    </w:p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2 — Отчёт статического анализа до исправлений</w:t>
      </w:r>
    </w:p>
    <w:tbl>
      <w:tblPr>
        <w:tblStyle w:val="TableGrid"/>
        <w:tblW w:type="dxa" w:w="960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1920"/>
        <w:gridCol w:w="1248"/>
        <w:gridCol w:w="1152"/>
        <w:gridCol w:w="5280"/>
      </w:tblGrid>
      <w:tr>
        <w:trPr>
          <w:tblHeader/>
        </w:trPr>
        <w:tc>
          <w:tcPr>
            <w:tcW w:type="dxa" w:w="192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Правило</w:t>
            </w:r>
          </w:p>
        </w:tc>
        <w:tc>
          <w:tcPr>
            <w:tcW w:type="dxa" w:w="1248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Серьёзность</w:t>
            </w:r>
          </w:p>
        </w:tc>
        <w:tc>
          <w:tcPr>
            <w:tcW w:type="dxa" w:w="115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Количество</w:t>
            </w:r>
          </w:p>
        </w:tc>
        <w:tc>
          <w:tcPr>
            <w:tcW w:type="dxa" w:w="528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Где</w:t>
            </w:r>
          </w:p>
        </w:tc>
      </w:tr>
      <w:tr>
        <w:tc>
          <w:tcPr>
            <w:tcW w:type="dxa" w:w="19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CA1032</w:t>
            </w:r>
          </w:p>
        </w:tc>
        <w:tc>
          <w:tcPr>
            <w:tcW w:type="dxa" w:w="12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warning</w:t>
            </w:r>
          </w:p>
        </w:tc>
        <w:tc>
          <w:tcPr>
            <w:tcW w:type="dxa" w:w="11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12</w:t>
            </w:r>
          </w:p>
        </w:tc>
        <w:tc>
          <w:tcPr>
            <w:tcW w:type="dxa" w:w="52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DryCleaningExceptions.cs — у исключений нет стандартных конструкторов</w:t>
            </w:r>
          </w:p>
        </w:tc>
      </w:tr>
      <w:tr>
        <w:tc>
          <w:tcPr>
            <w:tcW w:type="dxa" w:w="19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CA1063</w:t>
            </w:r>
          </w:p>
        </w:tc>
        <w:tc>
          <w:tcPr>
            <w:tcW w:type="dxa" w:w="12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warning</w:t>
            </w:r>
          </w:p>
        </w:tc>
        <w:tc>
          <w:tcPr>
            <w:tcW w:type="dxa" w:w="11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2</w:t>
            </w:r>
          </w:p>
        </w:tc>
        <w:tc>
          <w:tcPr>
            <w:tcW w:type="dxa" w:w="52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IntegrationTests.cs — реализация IDisposable без sealed / Dispose(bool)</w:t>
            </w:r>
          </w:p>
        </w:tc>
      </w:tr>
      <w:tr>
        <w:tc>
          <w:tcPr>
            <w:tcW w:type="dxa" w:w="19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CA1002</w:t>
            </w:r>
          </w:p>
        </w:tc>
        <w:tc>
          <w:tcPr>
            <w:tcW w:type="dxa" w:w="12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warning</w:t>
            </w:r>
          </w:p>
        </w:tc>
        <w:tc>
          <w:tcPr>
            <w:tcW w:type="dxa" w:w="11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2</w:t>
            </w:r>
          </w:p>
        </w:tc>
        <w:tc>
          <w:tcPr>
            <w:tcW w:type="dxa" w:w="52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Order.cs, InMemoryRepositories.cs — List&lt;T&gt; в открытом свойстве</w:t>
            </w:r>
          </w:p>
        </w:tc>
      </w:tr>
      <w:tr>
        <w:tc>
          <w:tcPr>
            <w:tcW w:type="dxa" w:w="19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CA2227</w:t>
            </w:r>
          </w:p>
        </w:tc>
        <w:tc>
          <w:tcPr>
            <w:tcW w:type="dxa" w:w="12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warning</w:t>
            </w:r>
          </w:p>
        </w:tc>
        <w:tc>
          <w:tcPr>
            <w:tcW w:type="dxa" w:w="11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</w:t>
            </w:r>
          </w:p>
        </w:tc>
        <w:tc>
          <w:tcPr>
            <w:tcW w:type="dxa" w:w="52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Order.cs — сеттер у свойства-коллекции Items</w:t>
            </w:r>
          </w:p>
        </w:tc>
      </w:tr>
      <w:tr>
        <w:tc>
          <w:tcPr>
            <w:tcW w:type="dxa" w:w="19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CA1308</w:t>
            </w:r>
          </w:p>
        </w:tc>
        <w:tc>
          <w:tcPr>
            <w:tcW w:type="dxa" w:w="12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warning</w:t>
            </w:r>
          </w:p>
        </w:tc>
        <w:tc>
          <w:tcPr>
            <w:tcW w:type="dxa" w:w="11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</w:t>
            </w:r>
          </w:p>
        </w:tc>
        <w:tc>
          <w:tcPr>
            <w:tcW w:type="dxa" w:w="528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JsonRepository.cs — ToLowerInvariant в имени файла</w:t>
            </w:r>
          </w:p>
        </w:tc>
      </w:tr>
    </w:tbl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Шаг 3. Инспекция модуля доступа к данным (DAL)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Что сделать: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1. Проверьте именование классов-сущностей и репозиториев по стандарту.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2. Убедитесь, что SQL-запросы параметризованы (нет конкатенации строк).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3. Проверьте отсутствие магических чисел и «захардкоженных» строк подключения.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4. Оцените цикломатическую сложность методов репозитория.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5. Зафиксируйте замечания в протокол инспекции.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«Химчистка», DryCleaningApp):</w:t>
      </w:r>
    </w:p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3 — Инспекция модуля DataAccess</w:t>
      </w:r>
    </w:p>
    <w:tbl>
      <w:tblPr>
        <w:tblStyle w:val="TableGrid"/>
        <w:tblW w:type="dxa" w:w="960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2400"/>
        <w:gridCol w:w="4200"/>
        <w:gridCol w:w="3000"/>
      </w:tblGrid>
      <w:tr>
        <w:trPr>
          <w:tblHeader/>
        </w:trPr>
        <w:tc>
          <w:tcPr>
            <w:tcW w:type="dxa" w:w="24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Файл / метод</w:t>
            </w:r>
          </w:p>
        </w:tc>
        <w:tc>
          <w:tcPr>
            <w:tcW w:type="dxa" w:w="42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Результат проверки</w:t>
            </w:r>
          </w:p>
        </w:tc>
        <w:tc>
          <w:tcPr>
            <w:tcW w:type="dxa" w:w="30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Entities/ServiceType.cs, Client.cs, Order.cs</w:t>
            </w:r>
          </w:p>
        </w:tc>
        <w:tc>
          <w:tcPr>
            <w:tcW w:type="dxa" w:w="4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именование PascalCase, XML-комментарии к типам — соответствуют; Order.Items объявлен как List&lt;OrderItem&gt; с сеттером (CA1002/CA2227)</w:t>
            </w:r>
          </w:p>
        </w:tc>
        <w:tc>
          <w:tcPr>
            <w:tcW w:type="dxa" w:w="3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принято с обоснованием: требуется для десериализации System.Text.Json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Repositories/JsonRepository.cs</w:t>
            </w:r>
          </w:p>
        </w:tc>
        <w:tc>
          <w:tcPr>
            <w:tcW w:type="dxa" w:w="4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имя файла строится через ToLowerInvariant (CA1308); магических чисел нет; при обновлении отсутствующей записи выбрасывается KeyNotFoundException</w:t>
            </w:r>
          </w:p>
        </w:tc>
        <w:tc>
          <w:tcPr>
            <w:tcW w:type="dxa" w:w="3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принято с обоснованием: имена файлов данных в нижнем регистре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Repositories/IRepository.cs</w:t>
            </w:r>
          </w:p>
        </w:tc>
        <w:tc>
          <w:tcPr>
            <w:tcW w:type="dxa" w:w="4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параметры именованы без ключевых слов; интерфейсы с префиксом I</w:t>
            </w:r>
          </w:p>
        </w:tc>
        <w:tc>
          <w:tcPr>
            <w:tcW w:type="dxa" w:w="3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замечаний нет</w:t>
            </w:r>
          </w:p>
        </w:tc>
      </w:tr>
    </w:tbl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Шаг 4. Инспекция модуля бизнес-логики (BLL)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Что сделать: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1. Проверьте, что бизнес-правила инкапсулированы в сервисах, а не в UI.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2. Убедитесь в наличии валидации входных данных.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3. Проверьте длину методов (рекомендуется не более 40 строк) и глубину вложенности (не более 3).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4. Проверьте использование пользовательских исключений из этапа 2.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5. Зафиксируйте замечания.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«Химчистка», DryCleaningApp):</w:t>
      </w:r>
    </w:p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4 — Инспекция модуля BusinessLogic</w:t>
      </w:r>
    </w:p>
    <w:tbl>
      <w:tblPr>
        <w:tblStyle w:val="TableGrid"/>
        <w:tblW w:type="dxa" w:w="960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2400"/>
        <w:gridCol w:w="4200"/>
        <w:gridCol w:w="3000"/>
      </w:tblGrid>
      <w:tr>
        <w:trPr>
          <w:tblHeader/>
        </w:trPr>
        <w:tc>
          <w:tcPr>
            <w:tcW w:type="dxa" w:w="24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Файл / метод</w:t>
            </w:r>
          </w:p>
        </w:tc>
        <w:tc>
          <w:tcPr>
            <w:tcW w:type="dxa" w:w="42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Результат проверки</w:t>
            </w:r>
          </w:p>
        </w:tc>
        <w:tc>
          <w:tcPr>
            <w:tcW w:type="dxa" w:w="30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OrderService.AcceptOrder</w:t>
            </w:r>
          </w:p>
        </w:tc>
        <w:tc>
          <w:tcPr>
            <w:tcW w:type="dxa" w:w="4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длина 30 строк, вложенность 2, сложность 10 (на границе рекомендуемого предела)</w:t>
            </w:r>
          </w:p>
        </w:tc>
        <w:tc>
          <w:tcPr>
            <w:tcW w:type="dxa" w:w="3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принято; проверки вынесены в ResolveService, расчёты — в CalculateProcessingDays и CalculateTotals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OrderService — пороги 50, 0.50, 0.05</w:t>
            </w:r>
          </w:p>
        </w:tc>
        <w:tc>
          <w:tcPr>
            <w:tcW w:type="dxa" w:w="4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вынесены в публичные константы MaxQuantityPerLine, UrgencyRate, DiscountCardRate</w:t>
            </w:r>
          </w:p>
        </w:tc>
        <w:tc>
          <w:tcPr>
            <w:tcW w:type="dxa" w:w="3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замечаний нет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Exceptions/DryCleaningExceptions.cs</w:t>
            </w:r>
          </w:p>
        </w:tc>
        <w:tc>
          <w:tcPr>
            <w:tcW w:type="dxa" w:w="4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5 классов без стандартных конструкторов — 12 предупреждений CA1032</w:t>
            </w:r>
          </w:p>
        </w:tc>
        <w:tc>
          <w:tcPr>
            <w:tcW w:type="dxa" w:w="3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исправлено: добавлены конструкторы (), (string), (string, Exception) и фабричные методы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ClientService.NormalizePhone</w:t>
            </w:r>
          </w:p>
        </w:tc>
        <w:tc>
          <w:tcPr>
            <w:tcW w:type="dxa" w:w="4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сложность 8, GeneratedRegex вместо new Regex</w:t>
            </w:r>
          </w:p>
        </w:tc>
        <w:tc>
          <w:tcPr>
            <w:tcW w:type="dxa" w:w="3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замечаний нет</w:t>
            </w:r>
          </w:p>
        </w:tc>
      </w:tr>
    </w:tbl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Шаг 5. Инспекция модуля представления (Presentation)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Что сделать: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1. Проверьте, что в code-behind нет бизнес-логики (только привязки и команды).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2. Убедитесь, что привязки данных корректны (Mode, UpdateSourceTrigger).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3. Проверьте именование контролов и соответствие MVVM.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4. Проверьте обработку ошибок в UI (понятные сообщения из этапа 2).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5. Зафиксируйте замечания.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«Химчистка», DryCleaningApp):</w:t>
      </w:r>
    </w:p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5 — Инспекция модуля Presentation</w:t>
      </w:r>
    </w:p>
    <w:tbl>
      <w:tblPr>
        <w:tblStyle w:val="TableGrid"/>
        <w:tblW w:type="dxa" w:w="960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2400"/>
        <w:gridCol w:w="4200"/>
        <w:gridCol w:w="3000"/>
      </w:tblGrid>
      <w:tr>
        <w:trPr>
          <w:tblHeader/>
        </w:trPr>
        <w:tc>
          <w:tcPr>
            <w:tcW w:type="dxa" w:w="24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Файл / метод</w:t>
            </w:r>
          </w:p>
        </w:tc>
        <w:tc>
          <w:tcPr>
            <w:tcW w:type="dxa" w:w="42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Результат проверки</w:t>
            </w:r>
          </w:p>
        </w:tc>
        <w:tc>
          <w:tcPr>
            <w:tcW w:type="dxa" w:w="30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ConsoleMenu.Dispatch</w:t>
            </w:r>
          </w:p>
        </w:tc>
        <w:tc>
          <w:tcPr>
            <w:tcW w:type="dxa" w:w="4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switch по строке — цикломатическая сложность 38 по данным coverlet</w:t>
            </w:r>
          </w:p>
        </w:tc>
        <w:tc>
          <w:tcPr>
            <w:tcW w:type="dxa" w:w="3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рефакторинг: словарь Dictionary&lt;string, Action&gt;, сложность 3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ConsoleMenu (весь класс)</w:t>
            </w:r>
          </w:p>
        </w:tc>
        <w:tc>
          <w:tcPr>
            <w:tcW w:type="dxa" w:w="4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бизнес-правил нет: расчёты сроков, сумм и переходы статусов выполняются только в OrderService</w:t>
            </w:r>
          </w:p>
        </w:tc>
        <w:tc>
          <w:tcPr>
            <w:tcW w:type="dxa" w:w="3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замечаний нет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Program.ConfigureServices</w:t>
            </w:r>
          </w:p>
        </w:tc>
        <w:tc>
          <w:tcPr>
            <w:tcW w:type="dxa" w:w="4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фабрика для IOrderService выбирает конструктор с системными часами — явная композиция</w:t>
            </w:r>
          </w:p>
        </w:tc>
        <w:tc>
          <w:tcPr>
            <w:tcW w:type="dxa" w:w="3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замечаний нет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DataSeeder</w:t>
            </w:r>
          </w:p>
        </w:tc>
        <w:tc>
          <w:tcPr>
            <w:tcW w:type="dxa" w:w="4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стартовые данные отделены от UI и бизнес-логики</w:t>
            </w:r>
          </w:p>
        </w:tc>
        <w:tc>
          <w:tcPr>
            <w:tcW w:type="dxa" w:w="3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замечаний нет</w:t>
            </w:r>
          </w:p>
        </w:tc>
      </w:tr>
    </w:tbl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Шаг 6. Ручное ревью кода по дефектам этапа 3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Что сделать: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1. Возьмите журнал дефектов из этапа 3 (тестирование).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2. Для каждого дефекта проанализируйте его первопричину в коде.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3. Классифицируйте: логическая ошибка, нарушение стандарта, архитектурная проблема.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4. Зафиксируйте связь «дефект этапа 3 → замечание инспекции этапа 4».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5. Предложите исправление для каждой первопричины.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«Химчистка», DryCleaningApp):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Журнал дефектов этапа 3 проанализирован по первопричинам; каждому дефекту сопоставлено замечание инспекции и способ устранения.</w:t>
      </w:r>
    </w:p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6 — Связь «дефект этапа 3 → первопричина → замечание инспекции»</w:t>
      </w:r>
    </w:p>
    <w:tbl>
      <w:tblPr>
        <w:tblStyle w:val="TableGrid"/>
        <w:tblW w:type="dxa" w:w="960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864"/>
        <w:gridCol w:w="3936"/>
        <w:gridCol w:w="1728"/>
        <w:gridCol w:w="3072"/>
      </w:tblGrid>
      <w:tr>
        <w:trPr>
          <w:tblHeader/>
        </w:trPr>
        <w:tc>
          <w:tcPr>
            <w:tcW w:type="dxa" w:w="864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Дефект</w:t>
            </w:r>
          </w:p>
        </w:tc>
        <w:tc>
          <w:tcPr>
            <w:tcW w:type="dxa" w:w="3936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Первопричина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Класс</w:t>
            </w:r>
          </w:p>
        </w:tc>
        <w:tc>
          <w:tcPr>
            <w:tcW w:type="dxa" w:w="307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Исправление / решение</w:t>
            </w:r>
          </w:p>
        </w:tc>
      </w:tr>
      <w:tr>
        <w:tc>
          <w:tcPr>
            <w:tcW w:type="dxa" w:w="86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DEF-01</w:t>
            </w:r>
          </w:p>
        </w:tc>
        <w:tc>
          <w:tcPr>
            <w:tcW w:type="dxa" w:w="393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Сборка в режиме анализа All: 12 предупреждений CA1032 — классы исключений не имеют стандар…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нарушение стандарта</w:t>
            </w:r>
          </w:p>
        </w:tc>
        <w:tc>
          <w:tcPr>
            <w:tcW w:type="dxa" w:w="307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Передан на этап 4; исправлен (конструкторы + фабричные методы)</w:t>
            </w:r>
          </w:p>
        </w:tc>
      </w:tr>
      <w:tr>
        <w:tc>
          <w:tcPr>
            <w:tcW w:type="dxa" w:w="86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DEF-02</w:t>
            </w:r>
          </w:p>
        </w:tc>
        <w:tc>
          <w:tcPr>
            <w:tcW w:type="dxa" w:w="393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IntegrationTests реализует IDisposable без sealed / Dispose(bool) — CA1063 (2 предупрежден…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нарушение стандарта</w:t>
            </w:r>
          </w:p>
        </w:tc>
        <w:tc>
          <w:tcPr>
            <w:tcW w:type="dxa" w:w="307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Исправлен (sealed class)</w:t>
            </w:r>
          </w:p>
        </w:tc>
      </w:tr>
      <w:tr>
        <w:tc>
          <w:tcPr>
            <w:tcW w:type="dxa" w:w="86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DEF-03</w:t>
            </w:r>
          </w:p>
        </w:tc>
        <w:tc>
          <w:tcPr>
            <w:tcW w:type="dxa" w:w="393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Метод ConsoleMenu.Dispatch имеет цикломатическую сложность 38 (switch по строке)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архитектурная проблема / метрика</w:t>
            </w:r>
          </w:p>
        </w:tc>
        <w:tc>
          <w:tcPr>
            <w:tcW w:type="dxa" w:w="307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Передан на этап 4 (рефакторинг в словарь действий)</w:t>
            </w:r>
          </w:p>
        </w:tc>
      </w:tr>
      <w:tr>
        <w:tc>
          <w:tcPr>
            <w:tcW w:type="dxa" w:w="86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DEF-04</w:t>
            </w:r>
          </w:p>
        </w:tc>
        <w:tc>
          <w:tcPr>
            <w:tcW w:type="dxa" w:w="393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Покрытие слоя Presentation 16,3 %: интерактивный ввод ConsoleMenu не покрыт автотестами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архитектурная проблема / метрика</w:t>
            </w:r>
          </w:p>
        </w:tc>
        <w:tc>
          <w:tcPr>
            <w:tcW w:type="dxa" w:w="307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Принят как ограничение: интерактивные пункты проверяются вручную (ЧЛ-07, ЧЛ-08)</w:t>
            </w:r>
          </w:p>
        </w:tc>
      </w:tr>
    </w:tbl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Шаг 7. Анализ code smells и метрик качества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Что сделать: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1. Идентифицируйте code smells: длинные методы, дублирование, «божественные классы», магические числа.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2. Измерьте цикломатическую сложность для ключевых методов (цель: не более 10).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3. Оцените связность и зацепление модулей.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4. Сопоставьте покрытие тестами (из этапа 3) с результатами инспекции.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5. Заполните таблицу метрик.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«Химчистка», DryCleaningApp):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Метрики получены из отчёта coverlet (цикломатическая сложность по методам, покрытие) и подсчётом строк методов; покрытие указано «до → после» рефакторинга этапа 4.</w:t>
      </w:r>
    </w:p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7 — Метрики качества кода</w:t>
      </w:r>
    </w:p>
    <w:tbl>
      <w:tblPr>
        <w:tblStyle w:val="TableGrid"/>
        <w:tblW w:type="dxa" w:w="960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1500"/>
        <w:gridCol w:w="2000"/>
        <w:gridCol w:w="1800"/>
        <w:gridCol w:w="2000"/>
        <w:gridCol w:w="2300"/>
      </w:tblGrid>
      <w:tr>
        <w:trPr>
          <w:tblHeader/>
        </w:trPr>
        <w:tc>
          <w:tcPr>
            <w:tcW w:type="dxa" w:w="15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20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Цикл. сложность (макс)</w:t>
            </w:r>
          </w:p>
        </w:tc>
        <w:tc>
          <w:tcPr>
            <w:tcW w:type="dxa" w:w="18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Длина метода (макс)</w:t>
            </w:r>
          </w:p>
        </w:tc>
        <w:tc>
          <w:tcPr>
            <w:tcW w:type="dxa" w:w="20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Code smells</w:t>
            </w:r>
          </w:p>
        </w:tc>
        <w:tc>
          <w:tcPr>
            <w:tcW w:type="dxa" w:w="23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Покрытие тестами, %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DataAccess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4 (JsonRepository.Update)</w:t>
            </w:r>
          </w:p>
        </w:tc>
        <w:tc>
          <w:tcPr>
            <w:tcW w:type="dxa" w:w="18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22 строки (Add)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0</w:t>
            </w:r>
          </w:p>
        </w:tc>
        <w:tc>
          <w:tcPr>
            <w:tcW w:type="dxa" w:w="23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85,2 → 85,2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BusinessLogic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10 (OrderService.AcceptOrder)</w:t>
            </w:r>
          </w:p>
        </w:tc>
        <w:tc>
          <w:tcPr>
            <w:tcW w:type="dxa" w:w="18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30 строк (AcceptOrder)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0 (пороги вынесены в константы)</w:t>
            </w:r>
          </w:p>
        </w:tc>
        <w:tc>
          <w:tcPr>
            <w:tcW w:type="dxa" w:w="23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92,0 → 88,0 (добавлены неиспользуемые в тестах стандартные конструкторы исключений)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38 → 3 (Dispatch, после реф.)</w:t>
            </w:r>
          </w:p>
        </w:tc>
        <w:tc>
          <w:tcPr>
            <w:tcW w:type="dxa" w:w="18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33 строки (RunDemoScenario)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 → 0 (длинный switch)</w:t>
            </w:r>
          </w:p>
        </w:tc>
        <w:tc>
          <w:tcPr>
            <w:tcW w:type="dxa" w:w="23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16,3 → 15,7</w:t>
            </w:r>
          </w:p>
        </w:tc>
      </w:tr>
    </w:tbl>
    <w:p>
      <w:pPr>
        <w:spacing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Связность модулей высокая (каждый сервис работает с одной сущностью), зацепление низкое — зависимости только через интерфейсы и DI. Падение покрытия BLL после рефакторинга связано с добавлением стандартных конструкторов исключений, не вызываемых в тестах; функциональное покрытие сервисов не изменилось.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Шаг 8. Рефакторинг и устранение нарушений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Что сделать: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1. Устраните нарушения, зафиксированные в протоколе инспекции.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2. Примените приёмы рефакторинга: Extract Method, Rename, Extract Interface.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3. Добавьте XML-комментарии к публичным методам.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4. Замените магические числа именованными константами.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5. Убедитесь, что после рефакторинга тесты этапа 3 проходят (регрессия).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«Химчистка», DryCleaningApp):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Выполнены приёмы Replace Conditional with Dictionary (Dispatch), Rename (параметры periodStart / periodEnd), Extract Method (ранее — вынесение проверок и расчётов из метода оформления заказа), добавление XML-комментариев и стандартных конструкторов исключений. Все автотесты этапа 3 после рефакторинга проходят.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// До рефакторинга (ConsoleMenu.Dispatch): switch по строке, сложность 38 по coverlet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private void Dispatch(string choice)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{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switch (choice)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{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    case "1": PrintPriceList(); break;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    case "2": AddService(); break;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    case "3": ServicesByCategory(); break;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    case "4": RegisterClient(); break;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    case "5": AcceptOrder(); break;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    case "6": ChangeStatus(); break;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    case "7": PrintOrders(); break;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    case "8": PrintReports(); break;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    default: Console.WriteLine("Неизвестный пункт меню."); break;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}</w:t>
      </w:r>
    </w:p>
    <w:p>
      <w:pPr>
        <w:spacing w:before="0" w:after="6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}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// После рефакторинга: таблица действий, сложность 3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private readonly Dictionary&lt;string, Action&gt; _actions;   // заполняется в конструкторе: ["1"] = PrintPriceList, ...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/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private void Dispatch(string choice)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{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if (_actions.TryGetValue(choice, out var action))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{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    action();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}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else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{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    Console.WriteLine("Неизвестный пункт меню.");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}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}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/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// Исключения до: только конструктор (string message) → CA1032.  После: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public class ServiceUnavailableException : DryCleaningException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{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public ServiceUnavailableException() : base("Услуга не оказывается.") { }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public ServiceUnavailableException(string message) : base(message) { }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public ServiceUnavailableException(string message, Exception innerException) : base(message, innerException) { }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public static ServiceUnavailableException ForService(string service) =&gt; new($"Услуга «{service}» временно не оказывается.");</w:t>
      </w:r>
    </w:p>
    <w:p>
      <w:pPr>
        <w:spacing w:before="0" w:after="6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}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Шаг 9. Оформление протокола инспекции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Что сделать: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1. Составьте протокол инспекции: дата, объект, инспектор, список замечаний.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2. Для каждого замечания укажите: файл, строка, правило, описание, статус (исправлено / в работе).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3. Приложите отчёт статического анализатора (до и после исправлений).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4. Включите таблицу метрик качества кода.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5. Сформируйте итоговый отчёт по этапу 4 и практике в целом.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«Химчистка», DryCleaningApp):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Протокол инспекции. Объект: исходный код DryCleaningApp (DataAccess, BusinessLogic, Presentation, Tests). Инспектор: Мещеряков Марк Николаевич, группа 3ИП-9-24. Дата инспекции проставляется в день проведения; отчёты анализатора до и после приведены в шагах 2 и 10.</w:t>
      </w:r>
    </w:p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8 — Протокол инспекции кода</w:t>
      </w:r>
    </w:p>
    <w:tbl>
      <w:tblPr>
        <w:tblStyle w:val="TableGrid"/>
        <w:tblW w:type="dxa" w:w="9597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365"/>
        <w:gridCol w:w="2011"/>
        <w:gridCol w:w="914"/>
        <w:gridCol w:w="1188"/>
        <w:gridCol w:w="2742"/>
        <w:gridCol w:w="2377"/>
      </w:tblGrid>
      <w:tr>
        <w:trPr>
          <w:tblHeader/>
        </w:trPr>
        <w:tc>
          <w:tcPr>
            <w:tcW w:type="dxa" w:w="365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№</w:t>
            </w:r>
          </w:p>
        </w:tc>
        <w:tc>
          <w:tcPr>
            <w:tcW w:type="dxa" w:w="2011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Файл / модуль</w:t>
            </w:r>
          </w:p>
        </w:tc>
        <w:tc>
          <w:tcPr>
            <w:tcW w:type="dxa" w:w="914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1188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Правило</w:t>
            </w:r>
          </w:p>
        </w:tc>
        <w:tc>
          <w:tcPr>
            <w:tcW w:type="dxa" w:w="274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2377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36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1</w:t>
            </w:r>
          </w:p>
        </w:tc>
        <w:tc>
          <w:tcPr>
            <w:tcW w:type="dxa" w:w="201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DryCleaningExceptions.cs / BLL</w:t>
            </w:r>
          </w:p>
        </w:tc>
        <w:tc>
          <w:tcPr>
            <w:tcW w:type="dxa" w:w="91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все классы</w:t>
            </w:r>
          </w:p>
        </w:tc>
        <w:tc>
          <w:tcPr>
            <w:tcW w:type="dxa" w:w="118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CA1032</w:t>
            </w:r>
          </w:p>
        </w:tc>
        <w:tc>
          <w:tcPr>
            <w:tcW w:type="dxa" w:w="27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Нет стандартных конструкторов исключений (12 предупреждений)</w:t>
            </w:r>
          </w:p>
        </w:tc>
        <w:tc>
          <w:tcPr>
            <w:tcW w:type="dxa" w:w="237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Исправлено (конструкторы + фабричные методы)</w:t>
            </w:r>
          </w:p>
        </w:tc>
      </w:tr>
      <w:tr>
        <w:tc>
          <w:tcPr>
            <w:tcW w:type="dxa" w:w="36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2</w:t>
            </w:r>
          </w:p>
        </w:tc>
        <w:tc>
          <w:tcPr>
            <w:tcW w:type="dxa" w:w="201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ConsoleMenu.cs / UI</w:t>
            </w:r>
          </w:p>
        </w:tc>
        <w:tc>
          <w:tcPr>
            <w:tcW w:type="dxa" w:w="91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70–84</w:t>
            </w:r>
          </w:p>
        </w:tc>
        <w:tc>
          <w:tcPr>
            <w:tcW w:type="dxa" w:w="118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CA1502 (метрика)</w:t>
            </w:r>
          </w:p>
        </w:tc>
        <w:tc>
          <w:tcPr>
            <w:tcW w:type="dxa" w:w="27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Dispatch: сложность 38</w:t>
            </w:r>
          </w:p>
        </w:tc>
        <w:tc>
          <w:tcPr>
            <w:tcW w:type="dxa" w:w="237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Исправлено (словарь действий, 3)</w:t>
            </w:r>
          </w:p>
        </w:tc>
      </w:tr>
      <w:tr>
        <w:tc>
          <w:tcPr>
            <w:tcW w:type="dxa" w:w="36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3</w:t>
            </w:r>
          </w:p>
        </w:tc>
        <w:tc>
          <w:tcPr>
            <w:tcW w:type="dxa" w:w="201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IntegrationTests.cs / Tests</w:t>
            </w:r>
          </w:p>
        </w:tc>
        <w:tc>
          <w:tcPr>
            <w:tcW w:type="dxa" w:w="91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11, 15</w:t>
            </w:r>
          </w:p>
        </w:tc>
        <w:tc>
          <w:tcPr>
            <w:tcW w:type="dxa" w:w="118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CA1063</w:t>
            </w:r>
          </w:p>
        </w:tc>
        <w:tc>
          <w:tcPr>
            <w:tcW w:type="dxa" w:w="27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IDisposable без sealed</w:t>
            </w:r>
          </w:p>
        </w:tc>
        <w:tc>
          <w:tcPr>
            <w:tcW w:type="dxa" w:w="237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Исправлено (sealed class)</w:t>
            </w:r>
          </w:p>
        </w:tc>
      </w:tr>
      <w:tr>
        <w:tc>
          <w:tcPr>
            <w:tcW w:type="dxa" w:w="36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4</w:t>
            </w:r>
          </w:p>
        </w:tc>
        <w:tc>
          <w:tcPr>
            <w:tcW w:type="dxa" w:w="201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Order.cs / DAL</w:t>
            </w:r>
          </w:p>
        </w:tc>
        <w:tc>
          <w:tcPr>
            <w:tcW w:type="dxa" w:w="91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34</w:t>
            </w:r>
          </w:p>
        </w:tc>
        <w:tc>
          <w:tcPr>
            <w:tcW w:type="dxa" w:w="118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CA1002, CA2227</w:t>
            </w:r>
          </w:p>
        </w:tc>
        <w:tc>
          <w:tcPr>
            <w:tcW w:type="dxa" w:w="27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List&lt;OrderItem&gt; с сеттером</w:t>
            </w:r>
          </w:p>
        </w:tc>
        <w:tc>
          <w:tcPr>
            <w:tcW w:type="dxa" w:w="237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Принято с обоснованием: System.Text.Json; подавлено в .editorconfig</w:t>
            </w:r>
          </w:p>
        </w:tc>
      </w:tr>
      <w:tr>
        <w:tc>
          <w:tcPr>
            <w:tcW w:type="dxa" w:w="36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5</w:t>
            </w:r>
          </w:p>
        </w:tc>
        <w:tc>
          <w:tcPr>
            <w:tcW w:type="dxa" w:w="201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JsonRepository.cs / DAL</w:t>
            </w:r>
          </w:p>
        </w:tc>
        <w:tc>
          <w:tcPr>
            <w:tcW w:type="dxa" w:w="91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28</w:t>
            </w:r>
          </w:p>
        </w:tc>
        <w:tc>
          <w:tcPr>
            <w:tcW w:type="dxa" w:w="118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CA1308</w:t>
            </w:r>
          </w:p>
        </w:tc>
        <w:tc>
          <w:tcPr>
            <w:tcW w:type="dxa" w:w="27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ToLowerInvariant для имени файла</w:t>
            </w:r>
          </w:p>
        </w:tc>
        <w:tc>
          <w:tcPr>
            <w:tcW w:type="dxa" w:w="237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Принято с обоснованием; подавлено</w:t>
            </w:r>
          </w:p>
        </w:tc>
      </w:tr>
      <w:tr>
        <w:tc>
          <w:tcPr>
            <w:tcW w:type="dxa" w:w="36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6</w:t>
            </w:r>
          </w:p>
        </w:tc>
        <w:tc>
          <w:tcPr>
            <w:tcW w:type="dxa" w:w="201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OrderService.cs / BLL</w:t>
            </w:r>
          </w:p>
        </w:tc>
        <w:tc>
          <w:tcPr>
            <w:tcW w:type="dxa" w:w="91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47–80</w:t>
            </w:r>
          </w:p>
        </w:tc>
        <w:tc>
          <w:tcPr>
            <w:tcW w:type="dxa" w:w="118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длина метода</w:t>
            </w:r>
          </w:p>
        </w:tc>
        <w:tc>
          <w:tcPr>
            <w:tcW w:type="dxa" w:w="27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AcceptOrder 30 строк, сложность 10 — на границе</w:t>
            </w:r>
          </w:p>
        </w:tc>
        <w:tc>
          <w:tcPr>
            <w:tcW w:type="dxa" w:w="237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Принято; вынесены ResolveService, CalculateProcessingDays, CalculateTotals</w:t>
            </w:r>
          </w:p>
        </w:tc>
      </w:tr>
    </w:tbl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Шаг 10. Повторная проверка и завершение этапа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Что сделать: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1. Запустите статический анализ повторно — убедитесь, что критические нарушения устранены.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2. Запустите тесты из этапа 3 — убедитесь, что рефакторинг не нарушил функциональность.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3. Зафиксируйте исправления в Git с осмысленными коммитами (refactor:, style:, docs:).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4. Сформируйте итоговый отчёт по учебной практике: объединение этапов 1–4.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5. Подготовьте материалы к защите практики.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«Химчистка», DryCleaningApp):</w:t>
      </w:r>
    </w:p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9 — Результаты повторной проверки</w:t>
      </w:r>
    </w:p>
    <w:tbl>
      <w:tblPr>
        <w:tblStyle w:val="TableGrid"/>
        <w:tblW w:type="dxa" w:w="9599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3733"/>
        <w:gridCol w:w="2666"/>
        <w:gridCol w:w="3200"/>
      </w:tblGrid>
      <w:tr>
        <w:trPr>
          <w:tblHeader/>
        </w:trPr>
        <w:tc>
          <w:tcPr>
            <w:tcW w:type="dxa" w:w="3733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2666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До исправлений</w:t>
            </w:r>
          </w:p>
        </w:tc>
        <w:tc>
          <w:tcPr>
            <w:tcW w:type="dxa" w:w="32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После исправлений</w:t>
            </w:r>
          </w:p>
        </w:tc>
      </w:tr>
      <w:tr>
        <w:tc>
          <w:tcPr>
            <w:tcW w:type="dxa" w:w="37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Статический анализ (режим All + правила стиля)</w:t>
            </w:r>
          </w:p>
        </w:tc>
        <w:tc>
          <w:tcPr>
            <w:tcW w:type="dxa" w:w="26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18 предупреждений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0 предупреждений, 0 ошибок</w:t>
            </w:r>
          </w:p>
        </w:tc>
      </w:tr>
      <w:tr>
        <w:tc>
          <w:tcPr>
            <w:tcW w:type="dxa" w:w="37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Сборка решения</w:t>
            </w:r>
          </w:p>
        </w:tc>
        <w:tc>
          <w:tcPr>
            <w:tcW w:type="dxa" w:w="26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успешна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успешна</w:t>
            </w:r>
          </w:p>
        </w:tc>
      </w:tr>
      <w:tr>
        <w:tc>
          <w:tcPr>
            <w:tcW w:type="dxa" w:w="37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Автотесты этапа 3</w:t>
            </w:r>
          </w:p>
        </w:tc>
        <w:tc>
          <w:tcPr>
            <w:tcW w:type="dxa" w:w="26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41 / 41 пройдено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41 / 41 пройдено</w:t>
            </w:r>
          </w:p>
        </w:tc>
      </w:tr>
      <w:tr>
        <w:tc>
          <w:tcPr>
            <w:tcW w:type="dxa" w:w="37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Сквозной сценарий --demo</w:t>
            </w:r>
          </w:p>
        </w:tc>
        <w:tc>
          <w:tcPr>
            <w:tcW w:type="dxa" w:w="26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выполняется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выполняется, вывод идентичен</w:t>
            </w:r>
          </w:p>
        </w:tc>
      </w:tr>
      <w:tr>
        <w:tc>
          <w:tcPr>
            <w:tcW w:type="dxa" w:w="37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Сложность ConsoleMenu.Dispatch</w:t>
            </w:r>
          </w:p>
        </w:tc>
        <w:tc>
          <w:tcPr>
            <w:tcW w:type="dxa" w:w="26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38</w:t>
            </w:r>
          </w:p>
        </w:tc>
        <w:tc>
          <w:tcPr>
            <w:tcW w:type="dxa" w:w="3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3</w:t>
            </w:r>
          </w:p>
        </w:tc>
      </w:tr>
    </w:tbl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10 — Коммиты Git (сообщения подготовлены; выполняются при размещении репозитория)</w:t>
      </w:r>
    </w:p>
    <w:tbl>
      <w:tblPr>
        <w:tblStyle w:val="TableGrid"/>
        <w:tblW w:type="dxa" w:w="9599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457"/>
        <w:gridCol w:w="9142"/>
      </w:tblGrid>
      <w:tr>
        <w:trPr>
          <w:tblHeader/>
        </w:trPr>
        <w:tc>
          <w:tcPr>
            <w:tcW w:type="dxa" w:w="457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№</w:t>
            </w:r>
          </w:p>
        </w:tc>
        <w:tc>
          <w:tcPr>
            <w:tcW w:type="dxa" w:w="914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Сообщение коммита</w:t>
            </w:r>
          </w:p>
        </w:tc>
      </w:tr>
      <w:tr>
        <w:tc>
          <w:tcPr>
            <w:tcW w:type="dxa" w:w="45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</w:t>
            </w:r>
          </w:p>
        </w:tc>
        <w:tc>
          <w:tcPr>
            <w:tcW w:type="dxa" w:w="91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feat: OrderService with injectable clock for deterministic due dates</w:t>
            </w:r>
          </w:p>
        </w:tc>
      </w:tr>
      <w:tr>
        <w:tc>
          <w:tcPr>
            <w:tcW w:type="dxa" w:w="45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2</w:t>
            </w:r>
          </w:p>
        </w:tc>
        <w:tc>
          <w:tcPr>
            <w:tcW w:type="dxa" w:w="91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refactor: replace switch in ConsoleMenu.Dispatch with action dictionary</w:t>
            </w:r>
          </w:p>
        </w:tc>
      </w:tr>
      <w:tr>
        <w:tc>
          <w:tcPr>
            <w:tcW w:type="dxa" w:w="45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3</w:t>
            </w:r>
          </w:p>
        </w:tc>
        <w:tc>
          <w:tcPr>
            <w:tcW w:type="dxa" w:w="91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refactor: add standard constructors to exceptions (CA1032), seal IntegrationTests (CA1063)</w:t>
            </w:r>
          </w:p>
        </w:tc>
      </w:tr>
      <w:tr>
        <w:tc>
          <w:tcPr>
            <w:tcW w:type="dxa" w:w="45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4</w:t>
            </w:r>
          </w:p>
        </w:tc>
        <w:tc>
          <w:tcPr>
            <w:tcW w:type="dxa" w:w="91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chore: document justified suppressions (CA1002, CA2227, CA1308) in .editorconfig</w:t>
            </w:r>
          </w:p>
        </w:tc>
      </w:tr>
    </w:tbl>
    <w:p>
      <w:pPr>
        <w:spacing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Итоговый отчёт по практике объединяет материалы этапов 1–4: паспорт и бэклог, архитектуру и код модулей, протокол тестирования и настоящий протокол инспекции. Сборка, автотесты и сквозной сценарий выполнены в среде .NET SDK 8.0.425 (Linux, командная строка dotnet); повторение в Visual Studio 2022 на Windows требуется выполнить студенту перед защитой.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sz w:val="28"/>
        </w:rPr>
        <w:t>4. КАЛЕНДАРНЫЙ ПЛАН ЭТАПА (18 ЧАСОВ)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пары</w:t>
            </w:r>
          </w:p>
        </w:tc>
        <w:tc>
          <w:tcPr>
            <w:tcW w:type="dxa" w:w="510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Содержание работы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Часы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Изучение стандартов кодирования, подготовка чек-листа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Чек-лист инспекции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Настройка Roslyn Analyzers, StyleCop, .editorconfig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Отчёт анализатора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Инспекция модуля DAL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Замечания по DAL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Инспекция модулей BLL и Presentation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Замечания по BLL и UI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Ручное ревью по дефектам этапа 3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Связка «дефект → первопричина»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Анализ code smells и метрик качества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Таблица метрик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Рефакторинг и устранение нарушений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Исправленный код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Повторный анализ, регрессионное тестирование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Протокол повторной проверки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Оформление протокола инспекции, итоговый отчёт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Итоговый отчёт по практике</w:t>
            </w:r>
          </w:p>
        </w:tc>
      </w:tr>
    </w:tbl>
    <w:p>
      <w:pPr>
        <w:keepNext/>
        <w:spacing w:before="240" w:after="120"/>
        <w:jc w:val="center"/>
      </w:pPr>
      <w:r>
        <w:rPr>
          <w:rFonts w:ascii="Times New Roman" w:hAnsi="Times New Roman"/>
          <w:b/>
          <w:sz w:val="28"/>
        </w:rPr>
        <w:t xml:space="preserve">5. ТРЕБОВАНИЯ К РЕЗУЛЬТАТУ ЭТАПА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 завершении этапа 4 студент предоставляет: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1. Чек-лист инспекции с перечнем проверяемых правил.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2. Отчёт статического анализатора (до и после исправлений).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3. Протокол инспекции кода с замечаниями, классификацией и статусом.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4. Таблицу метрик качества кода (цикломатическая сложность, длина методов, code smells, покрытие).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5. Исправленный исходный код с XML-комментариями и устранёнными нарушениями.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6. Подтверждение, что тесты этапа 3 проходят после рефакторинга (регрессия).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7. Список коммитов Git с осмысленными сообщениями (refactor:, style:, docs:, fix:).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8. Итоговый отчёт по учебной практике, объединяющий этапы 1–4.</w:t>
      </w: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sz w:val="28"/>
        </w:rPr>
        <w:t>6. КРИТЕРИИ ОЦЕНИВАНИЯ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Баллы</w:t>
            </w:r>
          </w:p>
        </w:tc>
        <w:tc>
          <w:tcPr>
            <w:tcW w:type="dxa" w:w="566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Стандарты кодирования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1–5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Код соответствует C# Coding Conventions, .editorconfig настроен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Статический анализ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1–5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Анализаторы установлены, отчёт приложен, критические нарушения устранены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Ревью и дефекты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1–5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Проведено ревью, есть связь с дефектами этапа 3, замечания оформлены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Рефакторинг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1–5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Нарушения устранены, code smells убраны, тесты проходят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Оформление и отчёт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1–5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Протокол инспекции, метрики, итоговый отчёт по практике, коммиты Git</w:t>
            </w:r>
          </w:p>
        </w:tc>
      </w:tr>
    </w:tbl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Итого: 25 баллов. Отлично — 23–25; хорошо — 18–22; удовлетворительно — 13–17; неудовлетворительно — менее 13.</w:t>
      </w: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1. ГОСТ 7.32-2017. Отчёт о научно-исследовательской работе. Структура и правила оформления.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2. ГОСТ Р 7.0.5-2008. Библиографическая ссылка. Общие требования и правила составления.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3. ГОСТ 19.101-77. Единая система программной документации. Виды программ и программных документов.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4. Microsoft. C# Coding Conventions [Электронный ресурс]. — URL: https://learn.microsoft.com/dotnet/csharp/fundamentals/coding-style/coding-conventions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5. Microsoft. .NET Analyzer Rules [Электронный ресурс]. — URL: https://learn.microsoft.com/dotnet/fundamentals/code-analysis/quality-rules/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6. StyleCop. StyleCop Analyzers Documentation [Электронный ресурс]. — URL: https://github.com/DotNetAnalyzers/StyleCopAnalyzers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7. Макконнелл С. Совершенный код. — СПб.: Питер, 2019.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8. Фаулер М. Рефакторинг. Улучшение проекта существующего кода. — М.: Вильямс, 2020.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9. Соммервилл И. Инженерия программного обеспечения. — М.: Вильямс, 2019.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10. SonarQube. Code Quality and Security Documentation [Электронный ресурс]. — URL: https://docs.sonarsource.com/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sz w:val="28"/>
        </w:rPr>
        <w:t>ПОДТВЕРЖДЕНИЕ САМОСТОЯТЕЛЬНОСТИ ВЫПОЛНЕНИЯ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Настоящим подтверждаю, что учебная практика выполнена мной самостоятельно. Использованные в работе материалы других авторов имеют соответствующие ссылки. Работа не содержит недокументированного заимствования.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Студент: ________________________ / Мещеряков М. Н. /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/>
          <w:sz w:val="28"/>
        </w:rPr>
        <w:t>(подпись)                (фамилия, имя, отчество)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Дата: «____» ______________ 20____ г.</w:t>
      </w:r>
    </w:p>
    <w:sectPr w:rsidR="00FC693F" w:rsidRPr="0006063C" w:rsidSect="00034616">
      <w:pgSz w:w="12240" w:h="15840"/>
      <w:pgMar w:top="1701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