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266"/>
          <w:sz w:val="20"/>
          <w:szCs w:val="20"/>
          <w:u w:val="none"/>
          <w:shd w:fill="f9fbf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Huiru Jiang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322596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0908" y="3780000"/>
                          <a:ext cx="631018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322596</wp:posOffset>
                </wp:positionV>
                <wp:extent cx="0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huiru_jiang@tongji.edu.cn           </w:t>
        <w:tab/>
        <w:tab/>
        <w:t xml:space="preserve">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+86-135-4102-0919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Tongji University, 1239 Siping Road, Shanghai, 200092, P. R. China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7"/>
        <w:gridCol w:w="7501"/>
        <w:tblGridChange w:id="0">
          <w:tblGrid>
            <w:gridCol w:w="2127"/>
            <w:gridCol w:w="75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Ph.D.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hydrology and water resources, Sichuan University, China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/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hydrology and water resources, Sichuan University, China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2018-2020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Ph.D.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Gothenburg University, Sweden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Working experience</w:t>
      </w:r>
    </w:p>
    <w:tbl>
      <w:tblPr>
        <w:tblStyle w:val="Table2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7506"/>
        <w:tblGridChange w:id="0">
          <w:tblGrid>
            <w:gridCol w:w="2122"/>
            <w:gridCol w:w="75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05, 2023-present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Postdoc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Tongji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7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01, 2022-04, 2023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7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Lecture, Kunming University of Science and 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7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09, 2021-12, 2021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7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assistant, Sichuan University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Permafrost; Cold-region hydrology; Numerical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Remote Sensing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Publications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482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Jiang, 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 Yi, Y., Xu, J., Chen, D., Lu, F., Li, R., ... &amp; Zhou, B. (2023). Characterizing precipitation uncertainties in a high-altitudinal permafrost watershed of the Tibetan plateau based on regional water balance and hydrological model simulations.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Hydrology: Regional Studies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 101445.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482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Jiang, 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 Zheng, G., Yi, Y., Chen, D., Zhang, W., Yang, K., &amp; Miller, C. E. (2020). Progress and challenges in studying regional permafrost in the Tibetan Plateau using satellite remote sensing and models.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Frontiers in Earth Science,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 560403.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482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Jiang, 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 Yi, Y., Zhang, W., Yang, K., &amp; Chen, D. (2020). Sensitivity of soil freeze/thaw dynamics to environmental conditions at different spatial scales in the central Tibetan Plateau.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of The Total Environment,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734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, 139261.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482" w:right="0" w:hanging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Jiang, 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 Zhang, W., Yi, Y., Yang, K., Li, G., &amp; Wang, G. (2018). The impacts of soil freeze/thaw dynamics on soil water transfer and spring phenology in the Tibetan Plateau.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Arctic, antarctic, and alpine research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(1), e1439155.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0" w:hanging="3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Liu, Li, Yi, Y.,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Jiang, 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Ran, Y., Chen, D. ERA5-Land overestimates runoff coefficient but underestimates runoff recession rate in the central Tibetan permafrost region.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of Hydrology: Regional studies,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press.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48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Guo, L., Shi, Y.,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Jiang, 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 (2022). Comparison of impact and water vapor characteristics between two types of floods in Eastern China.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Environmental Research Letters,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(2), 024039.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Projects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396" w:right="0" w:hanging="3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f8f8f8" w:val="clear"/>
          <w:vertAlign w:val="baseline"/>
          <w:rtl w:val="0"/>
        </w:rPr>
        <w:t xml:space="preserve">The Shanghai Pujiang Program, 2023-2025, PI</w:t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6" w:hanging="396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96" w:hanging="396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4746"/>
    <w:pPr>
      <w:widowControl w:val="0"/>
      <w:jc w:val="both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224746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24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2474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247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2474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2474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F2E1D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3F2E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 w:val="1"/>
    <w:rsid w:val="003F2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3F2E1D"/>
    <w:rPr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D39E0"/>
    <w:pPr>
      <w:ind w:firstLine="420" w:firstLineChars="200"/>
    </w:pPr>
  </w:style>
  <w:style w:type="character" w:styleId="Hyperlink">
    <w:name w:val="Hyperlink"/>
    <w:basedOn w:val="DefaultParagraphFont"/>
    <w:uiPriority w:val="99"/>
    <w:unhideWhenUsed w:val="1"/>
    <w:rsid w:val="00C7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8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D473B"/>
    <w:pPr>
      <w:widowControl w:val="1"/>
      <w:spacing w:after="100" w:afterAutospacing="1" w:before="100" w:beforeAutospacing="1"/>
      <w:jc w:val="left"/>
    </w:pPr>
    <w:rPr>
      <w:rFonts w:ascii="宋体" w:cs="宋体" w:eastAsia="宋体" w:hAnsi="宋体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949qALxkiph05uQlPJP9+89eg==">CgMxLjAyCGguZ2pkZ3hzMgppZC4zMGowemxsMgppZC4xZm9iOXRlMgppZC4zem55c2g3OAByITEyQi12VHFPSmtzSFgxbzRIUnRYWk9rZHBzV1VrOGUxWQ==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2023-11-23T08:22:00Z</dcterms:created>
  <dc:creator>MC SYSTEM</dc:creator>
</cp:coreProperties>
</file>