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Architecture of Trust: A Comprehensive Technical Analysis of AI Model Observability</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transition of artificial intelligence from experimental research laboratories to the core of enterprise infrastructure has necessitated a fundamental shift in how system reliability is defined and maintained. Traditional software paradigms, predicated on deterministic logic and bounded execution paths, have historically relied on monitoring to ensure uptime and performance. However, the probabilistic nature of machine learning models—where identical inputs can yield subtly different outputs and where the logic itself is learned from data rather than explicitly coded—renders classical monitoring insufficient.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technical gap has birthed the discipline of AI model observability, a multi-layered investigative approach designed to make the "black box" of artificial intelligence transparent, measurable, and controllable at an enterprise scale.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Theoretical Foundations and the Distinction from Traditional Monitoring</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conceptual evolution from monitoring to observability represents a shift from a descriptive, failure-centric practice to an investigative, behavior-centric methodology. Monitoring, a practice as old as computing itself, focuses on the collection of data and the generation of reports on specific metrics that define system health.</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It is inherently reactive, designed to notify operators when a predefined threshold has been crossed or a known failure mode has occurred.</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In the context of large-scale distributed systems, monitoring provides the "what" and "when" of a system error—answering whether an application is online, offline, or experiencing latency.</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Observability takes an investigative approach, looking closely at distributed system component interactions and data collected by monitoring to find the root cause of issues.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It is a proactive process that allows teams to infer the internal state of a system based on its outputs, such as logs, metrics, and traces.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While monitoring tracks "known knowns," observability is designed to surface "unknown unknowns"—unexpected problems that lack predefined thresholds or clear metrics.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distinction is critical in modern IT environments where the interactions between hundreds of microservices can create emergent behaviors that traditional tools cannot predict.</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Comparative Framework: Monitoring vs. Observability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Monitoring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Observability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Goal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Track known metrics to ensure system health.</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Understand internal state to perform root cause analysis.</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Focus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Individual components and predefined indicators.</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system as a whole and interrelated dependencies.</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Operational Mode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Reactive: alerts after a threshold is crossed.</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Proactive: allows for exploratory data analysis.</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Target Issues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"Known knowns" (e.g., CPU &gt; 90%, 500 errors).</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"Unknown unknowns" (e.g., semantic drift, bias).</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Question Answered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What happened and when? </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Why did it happen and how to fix it? </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System Maturity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Stage 1: Basic alerting and triage.</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Stage 2: Telemetry correlation and forensics.</w:t>
            </w:r>
            <w:r w:rsidDel="00000000" w:rsidR="00000000" w:rsidRPr="00000000">
              <w:rPr>
                <w:rFonts w:ascii="Google Sans" w:cs="Google Sans" w:eastAsia="Google Sans" w:hAnsi="Google Sans"/>
                <w:color w:val="444746"/>
                <w:sz w:val="24"/>
                <w:szCs w:val="24"/>
                <w:vertAlign w:val="superscript"/>
                <w:rtl w:val="0"/>
              </w:rPr>
              <w:t xml:space="preserve">3</w:t>
            </w:r>
          </w:p>
        </w:tc>
      </w:tr>
    </w:tbl>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domain of machine learning, this evolution continues toward AI observability, which adds predictive intelligence to the observability framework.</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AI observability utilizes machine learning models to learn from historical and real-time telemetry, identifying anomalous patterns long before they escalate into user-visible incidents.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progression allows organizations to move from reactive awareness to predictive insight, answering the question of what will happen next within the system.</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Strategic Importance and Business Case for Observability</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motivation for adopting AI model observability extends beyond technical reliability to encompass operational efficiency, risk mitigation, and regulatory compliance. Research indicates that more than 80% of AI projects fail to deliver meaningful production value—a failure rate twice that of traditional IT projects.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These failures often stem from poor data quality, infrastructure underestimation, and a lack of systematic evaluation before deployment.</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Observability provides the necessary visibility to navigate these challenges, ensuring that AI initiatives achieve a return on investment (ROI).</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Economic and Operational Drivers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business impact of untreated model degradation is significant. Organizations that track AI ROI report cost reductions of 20% and revenue growth of up to 80% in specific areas like marketing and sales.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AI observability is now recognized as a C-suite imperative because it reduces the risk of silent failures, lowers unit costs, and accelerates service delivery.</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By tying technical performance metrics like mean time to resolution (MTTR) and service level objectives (SLOs) directly to business metrics like cost per request or revenue at risk, leaders gain real-time insight into how technology performance affects financial health.</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Business 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AI Impact Example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Observability Role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Cost Savings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Café automated inventory, saving $7,500 annually.</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Tracking token usage and GPU efficiency.</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Revenue Growth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E-commerce boosted order value by 20% with recommendations.</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Monitoring recommendation drift and accuracy.</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Productivity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Contact center reduced response time from 24h to 6h.</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Identifying latency bottlenecks in agent reasoning.</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Risk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Avoiding fines for biased lending or healthcare errors.</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Bias detection and ethical guardrail monitoring.</w:t>
            </w:r>
            <w:r w:rsidDel="00000000" w:rsidR="00000000" w:rsidRPr="00000000">
              <w:rPr>
                <w:rFonts w:ascii="Google Sans" w:cs="Google Sans" w:eastAsia="Google Sans" w:hAnsi="Google Sans"/>
                <w:color w:val="444746"/>
                <w:sz w:val="24"/>
                <w:szCs w:val="24"/>
                <w:vertAlign w:val="superscript"/>
                <w:rtl w:val="0"/>
              </w:rPr>
              <w:t xml:space="preserve">14</w:t>
            </w:r>
          </w:p>
        </w:tc>
      </w:tr>
    </w:tbl>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Beyond direct financial gains, observability addresses the "tax on progress" created by infrastructure bottlenecks. GPUs often sit idle while waiting for data from retrieval-augmented generation (RAG) pipelines that were not built for high-throughput access.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Observability allows teams to correlate infrastructure signals—such as CPU load and network latency—with model behavior to ensure that hardware investments are fully utilized.</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Regulatory Compliance and Global Standards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emergence of comprehensive laws, most notably the EU AI Act, has transformed observability from a best practice into a legal obligation. The act establishes a risk-based structure that shapes how AI is regulated, with hefty fines for non-compliance reaching up to €35 million or 7% of global annual turnover.</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High-risk AI applications, including those used in critical infrastructure, medical devices, and employment screening, are subject to stringent requirements for data governance, documentation, and human oversight.</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Providers of high-risk AI must design their systems for record-keeping to enable the automatic recording of events relevant for identifying risks throughout the system's lifecycle.</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Observability facilitates this by providing auditable trails for data provenance, training sources, and model decisions.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These requirements align with established frameworks like the NIST AI Risk Management Framework (RMF), which emphasizes the functions of mapping, measuring, and managing AI risks.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Integrating observability into the secure development lifecycle (SDL) allows security teams to validate that scenarios like indirect prompt injection or tool-mediated data exfiltration are surfaced by runtime protections.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Core Pillars and Telemetry in AI Systems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Traditional observability relies on the three pillars of metrics, logs, and traces.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While these remain foundational, the probabilistic and data-centric nature of AI has necessitated an expansion of these pillars to include evaluations, annotations, and cognitive tracing.</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Redefining the Standard Pillars for AI</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traditional software, traces help understand performance bottlenecks and request-level correlation.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AI systems, particularly those involving multi-agent workflows, failures can unfold across many turns and involve massive data payloads.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average span in an AI trace can be 50kb—compared to 900 bytes in traditional monitoring—making traditional platforms struggle with the volume.</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3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Traces (Reproducible Context):</w:t>
      </w:r>
      <w:r w:rsidDel="00000000" w:rsidR="00000000" w:rsidRPr="00000000">
        <w:rPr>
          <w:rFonts w:ascii="Google Sans" w:cs="Google Sans" w:eastAsia="Google Sans" w:hAnsi="Google Sans"/>
          <w:color w:val="1f1f1f"/>
          <w:rtl w:val="0"/>
        </w:rPr>
        <w:t xml:space="preserve"> AI tracing must capture the full journey of a request, including the raw inputs/outputs, retrieved content, and specific tool calls.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requires a shift from "is it up?" to "is it good?".</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3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Evaluations (Evals):</w:t>
      </w:r>
      <w:r w:rsidDel="00000000" w:rsidR="00000000" w:rsidRPr="00000000">
        <w:rPr>
          <w:rFonts w:ascii="Google Sans" w:cs="Google Sans" w:eastAsia="Google Sans" w:hAnsi="Google Sans"/>
          <w:color w:val="1f1f1f"/>
          <w:rtl w:val="0"/>
        </w:rPr>
        <w:t xml:space="preserve"> Because AI behavior is non-deterministic, systems must be measured on a quality spectrum rather than a binary success/failure state.</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Evaluations quantify real-world performance using "scorers" that measure factual grounding, relevance, and safety.</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3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Annotation:</w:t>
      </w:r>
      <w:r w:rsidDel="00000000" w:rsidR="00000000" w:rsidRPr="00000000">
        <w:rPr>
          <w:rFonts w:ascii="Google Sans" w:cs="Google Sans" w:eastAsia="Google Sans" w:hAnsi="Google Sans"/>
          <w:color w:val="1f1f1f"/>
          <w:rtl w:val="0"/>
        </w:rPr>
        <w:t xml:space="preserve"> This pillar involves injecting human expertise and "taste" into the system.</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Traces must be mutable to allow product managers or domain experts to save corrections and query them alongside other metadata.</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Five Pillars of Enterprise AI Observability</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enterprises deploying autonomous agents, observability must deliver deep visibility across five core dimensions to ensure transparency and accountability.</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3F">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Cognition/Reasoning:</w:t>
      </w:r>
      <w:r w:rsidDel="00000000" w:rsidR="00000000" w:rsidRPr="00000000">
        <w:rPr>
          <w:rFonts w:ascii="Google Sans" w:cs="Google Sans" w:eastAsia="Google Sans" w:hAnsi="Google Sans"/>
          <w:color w:val="1f1f1f"/>
          <w:rtl w:val="0"/>
        </w:rPr>
        <w:t xml:space="preserve"> This exposes the internal decision-making process of AI systems, capturing intermediate reasoning traces, token-level probabilities, and activation patterns.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It transforms opaque reasoning into a measurable process, essential for bias detection and risk evaluation.</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4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Traceability:</w:t>
      </w:r>
      <w:r w:rsidDel="00000000" w:rsidR="00000000" w:rsidRPr="00000000">
        <w:rPr>
          <w:rFonts w:ascii="Google Sans" w:cs="Google Sans" w:eastAsia="Google Sans" w:hAnsi="Google Sans"/>
          <w:color w:val="1f1f1f"/>
          <w:rtl w:val="0"/>
        </w:rPr>
        <w:t xml:space="preserve"> This reconstructs the full execution lineage from input to final action, highlighting every tool call, API parameter, and downstream dependency.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is critical for behavioral forensics and compliance audits.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4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Performance:</w:t>
      </w:r>
      <w:r w:rsidDel="00000000" w:rsidR="00000000" w:rsidRPr="00000000">
        <w:rPr>
          <w:rFonts w:ascii="Google Sans" w:cs="Google Sans" w:eastAsia="Google Sans" w:hAnsi="Google Sans"/>
          <w:color w:val="1f1f1f"/>
          <w:rtl w:val="0"/>
        </w:rPr>
        <w:t xml:space="preserve"> This provides a correlated view of system behavior under load, quantifying retrieval relevance drift, similarity variance, and workflow-level timing across multi-agent pipelines.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4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Environment and Configuration:</w:t>
      </w:r>
      <w:r w:rsidDel="00000000" w:rsidR="00000000" w:rsidRPr="00000000">
        <w:rPr>
          <w:rFonts w:ascii="Google Sans" w:cs="Google Sans" w:eastAsia="Google Sans" w:hAnsi="Google Sans"/>
          <w:color w:val="1f1f1f"/>
          <w:rtl w:val="0"/>
        </w:rPr>
        <w:t xml:space="preserve"> Tracks every change that influences behavior, such as model version updates, prompt revisions, and guardrail modifications, creating a temporal audit trail.</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43">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Security and Access Governance:</w:t>
      </w:r>
      <w:r w:rsidDel="00000000" w:rsidR="00000000" w:rsidRPr="00000000">
        <w:rPr>
          <w:rFonts w:ascii="Google Sans" w:cs="Google Sans" w:eastAsia="Google Sans" w:hAnsi="Google Sans"/>
          <w:color w:val="1f1f1f"/>
          <w:rtl w:val="0"/>
        </w:rPr>
        <w:t xml:space="preserve"> Monitors the live attack surface to ensure agents do not surface sensitive records and that tool orchestration remains within traceable controls.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Nuances: Drift, Explainability, and Response Quality</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unique failure modes of AI models require specialized metrics that go beyond traditional uptime and latency. The core challenges include model drift, the "black box" nature of reasoning, and the variability of output quality.</w:t>
      </w:r>
    </w:p>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 Drift and its Mathematical Detection</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Model drift refers to the degradation of predictive performance over time as real-world data evolves.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It is primarily categorized into data drift and concept drift.</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Concept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Definition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Mathematical/Statistical Tool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 Drift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Change in the distribution of input data while the logic remains stable.</w:t>
            </w:r>
            <w:r w:rsidDel="00000000" w:rsidR="00000000" w:rsidRPr="00000000">
              <w:rPr>
                <w:rFonts w:ascii="Google Sans" w:cs="Google Sans" w:eastAsia="Google Sans" w:hAnsi="Google Sans"/>
                <w:color w:val="444746"/>
                <w:sz w:val="24"/>
                <w:szCs w:val="24"/>
                <w:vertAlign w:val="superscript"/>
                <w:rtl w:val="0"/>
              </w:rPr>
              <w:t xml:space="preserve">27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Jensen-Shannon Divergence, Kolmogorov-Smirnov test, PSI.</w:t>
            </w: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Concept Drift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Change in the relationship between model inputs and outputs; the rules changed.</w:t>
            </w:r>
            <w:r w:rsidDel="00000000" w:rsidR="00000000" w:rsidRPr="00000000">
              <w:rPr>
                <w:rFonts w:ascii="Google Sans" w:cs="Google Sans" w:eastAsia="Google Sans" w:hAnsi="Google Sans"/>
                <w:color w:val="444746"/>
                <w:sz w:val="24"/>
                <w:szCs w:val="24"/>
                <w:vertAlign w:val="superscript"/>
                <w:rtl w:val="0"/>
              </w:rPr>
              <w:t xml:space="preserve">27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Accuracy, Precision, Recall, F1-score monitoring over time.</w:t>
            </w: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Prediction Drift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Change in the distribution of model outputs.</w:t>
            </w:r>
            <w:r w:rsidDel="00000000" w:rsidR="00000000" w:rsidRPr="00000000">
              <w:rPr>
                <w:rFonts w:ascii="Google Sans" w:cs="Google Sans" w:eastAsia="Google Sans" w:hAnsi="Google Sans"/>
                <w:color w:val="444746"/>
                <w:sz w:val="24"/>
                <w:szCs w:val="24"/>
                <w:vertAlign w:val="superscript"/>
                <w:rtl w:val="0"/>
              </w:rPr>
              <w:t xml:space="preserve">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KL divergence, Wasserstein distance.</w:t>
            </w: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Training-Serving Skew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Mismatch between training data and production data distribution.</w:t>
            </w:r>
            <w:r w:rsidDel="00000000" w:rsidR="00000000" w:rsidRPr="00000000">
              <w:rPr>
                <w:rFonts w:ascii="Google Sans" w:cs="Google Sans" w:eastAsia="Google Sans" w:hAnsi="Google Sans"/>
                <w:color w:val="444746"/>
                <w:sz w:val="24"/>
                <w:szCs w:val="24"/>
                <w:vertAlign w:val="superscript"/>
                <w:rtl w:val="0"/>
              </w:rPr>
              <w:t xml:space="preserve">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Comparing data schemas and feature distributions at launch.</w:t>
            </w:r>
            <w:r w:rsidDel="00000000" w:rsidR="00000000" w:rsidRPr="00000000">
              <w:rPr>
                <w:rFonts w:ascii="Google Sans" w:cs="Google Sans" w:eastAsia="Google Sans" w:hAnsi="Google Sans"/>
                <w:color w:val="444746"/>
                <w:sz w:val="24"/>
                <w:szCs w:val="24"/>
                <w:vertAlign w:val="superscript"/>
                <w:rtl w:val="0"/>
              </w:rPr>
              <w:t xml:space="preserve">28</w:t>
            </w:r>
          </w:p>
        </w:tc>
      </w:tr>
    </w:tbl>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drift, also known as covariate shift, can be detected using the Population Stability Index (PSI).</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PSI measures how much a feature's distribution has shifted:</w:t>
      </w:r>
    </w:p>
    <w:p w:rsidR="00000000" w:rsidDel="00000000" w:rsidP="00000000" w:rsidRDefault="00000000" w:rsidRPr="00000000" w14:paraId="00000059">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PSI &lt; 0.1:</w:t>
      </w:r>
      <w:r w:rsidDel="00000000" w:rsidR="00000000" w:rsidRPr="00000000">
        <w:rPr>
          <w:rFonts w:ascii="Google Sans" w:cs="Google Sans" w:eastAsia="Google Sans" w:hAnsi="Google Sans"/>
          <w:color w:val="1f1f1f"/>
          <w:rtl w:val="0"/>
        </w:rPr>
        <w:t xml:space="preserve"> Stable; no action needed.</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5A">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0.1 &lt; PSI &lt; 0.25:</w:t>
      </w:r>
      <w:r w:rsidDel="00000000" w:rsidR="00000000" w:rsidRPr="00000000">
        <w:rPr>
          <w:rFonts w:ascii="Google Sans" w:cs="Google Sans" w:eastAsia="Google Sans" w:hAnsi="Google Sans"/>
          <w:color w:val="1f1f1f"/>
          <w:rtl w:val="0"/>
        </w:rPr>
        <w:t xml:space="preserve"> Minor decline; recalibrate thresholds.</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5B">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PSI &gt; 0.25:</w:t>
      </w:r>
      <w:r w:rsidDel="00000000" w:rsidR="00000000" w:rsidRPr="00000000">
        <w:rPr>
          <w:rFonts w:ascii="Google Sans" w:cs="Google Sans" w:eastAsia="Google Sans" w:hAnsi="Google Sans"/>
          <w:color w:val="1f1f1f"/>
          <w:rtl w:val="0"/>
        </w:rPr>
        <w:t xml:space="preserve"> Significant drop; trigger automated retraining.</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Concept drift is often more disruptive because a model may continue to make predictions with high confidence even when those predictions are no longer valid.</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Detection requires comparing model predictions against "ground truth" labels, which may take days or weeks to surface.</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In the absence of ground truth, teams use proxy metrics like prediction entropy or output distribution shifts.</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Explainability and Feature Attribution</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Explainability seeks to reduce the "black box" nature of AI by clarifying how a model reached a specific decision.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is vital for sectors like healthcare and finance where accountability is a legal requirement.</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Two prominent techniques for achieveing interpretability are LIME and SHAP.</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LIME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SHAP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Foundation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Local Surrogate Models.</w:t>
            </w:r>
            <w:r w:rsidDel="00000000" w:rsidR="00000000" w:rsidRPr="00000000">
              <w:rPr>
                <w:rFonts w:ascii="Google Sans" w:cs="Google Sans" w:eastAsia="Google Sans" w:hAnsi="Google Sans"/>
                <w:color w:val="444746"/>
                <w:sz w:val="24"/>
                <w:szCs w:val="24"/>
                <w:vertAlign w:val="superscript"/>
                <w:rtl w:val="0"/>
              </w:rPr>
              <w:t xml:space="preserve">34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Game Theory (Shapley Values).</w:t>
            </w:r>
            <w:r w:rsidDel="00000000" w:rsidR="00000000" w:rsidRPr="00000000">
              <w:rPr>
                <w:rFonts w:ascii="Google Sans" w:cs="Google Sans" w:eastAsia="Google Sans" w:hAnsi="Google Sans"/>
                <w:color w:val="444746"/>
                <w:sz w:val="24"/>
                <w:szCs w:val="24"/>
                <w:vertAlign w:val="superscript"/>
                <w:rtl w:val="0"/>
              </w:rPr>
              <w:t xml:space="preserve">34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Scope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Strictly Local (single prediction).</w:t>
            </w:r>
            <w:r w:rsidDel="00000000" w:rsidR="00000000" w:rsidRPr="00000000">
              <w:rPr>
                <w:rFonts w:ascii="Google Sans" w:cs="Google Sans" w:eastAsia="Google Sans" w:hAnsi="Google Sans"/>
                <w:color w:val="444746"/>
                <w:sz w:val="24"/>
                <w:szCs w:val="24"/>
                <w:vertAlign w:val="superscript"/>
                <w:rtl w:val="0"/>
              </w:rPr>
              <w:t xml:space="preserve">34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Local and Global (consistent aggregation).</w:t>
            </w:r>
            <w:r w:rsidDel="00000000" w:rsidR="00000000" w:rsidRPr="00000000">
              <w:rPr>
                <w:rFonts w:ascii="Google Sans" w:cs="Google Sans" w:eastAsia="Google Sans" w:hAnsi="Google Sans"/>
                <w:color w:val="444746"/>
                <w:sz w:val="24"/>
                <w:szCs w:val="24"/>
                <w:vertAlign w:val="superscript"/>
                <w:rtl w:val="0"/>
              </w:rPr>
              <w:t xml:space="preserve">34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Consistency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No guarantee; explanations can be unstable.</w:t>
            </w:r>
            <w:r w:rsidDel="00000000" w:rsidR="00000000" w:rsidRPr="00000000">
              <w:rPr>
                <w:rFonts w:ascii="Google Sans" w:cs="Google Sans" w:eastAsia="Google Sans" w:hAnsi="Google Sans"/>
                <w:color w:val="444746"/>
                <w:sz w:val="24"/>
                <w:szCs w:val="24"/>
                <w:vertAlign w:val="superscript"/>
                <w:rtl w:val="0"/>
              </w:rPr>
              <w:t xml:space="preserve">34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Guaranteed; feature impact increases always reflect in attribution.</w:t>
            </w:r>
            <w:r w:rsidDel="00000000" w:rsidR="00000000" w:rsidRPr="00000000">
              <w:rPr>
                <w:rFonts w:ascii="Google Sans" w:cs="Google Sans" w:eastAsia="Google Sans" w:hAnsi="Google Sans"/>
                <w:color w:val="444746"/>
                <w:sz w:val="24"/>
                <w:szCs w:val="24"/>
                <w:vertAlign w:val="superscript"/>
                <w:rtl w:val="0"/>
              </w:rPr>
              <w:t xml:space="preserve">34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Computation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Fast for single instance explanation.</w:t>
            </w:r>
            <w:r w:rsidDel="00000000" w:rsidR="00000000" w:rsidRPr="00000000">
              <w:rPr>
                <w:rFonts w:ascii="Google Sans" w:cs="Google Sans" w:eastAsia="Google Sans" w:hAnsi="Google Sans"/>
                <w:color w:val="444746"/>
                <w:sz w:val="24"/>
                <w:szCs w:val="24"/>
                <w:vertAlign w:val="superscript"/>
                <w:rtl w:val="0"/>
              </w:rPr>
              <w:t xml:space="preserve">34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Can be slow (KernelSHAP); TreeSHAP is fast for trees.</w:t>
            </w:r>
            <w:r w:rsidDel="00000000" w:rsidR="00000000" w:rsidRPr="00000000">
              <w:rPr>
                <w:rFonts w:ascii="Google Sans" w:cs="Google Sans" w:eastAsia="Google Sans" w:hAnsi="Google Sans"/>
                <w:color w:val="444746"/>
                <w:sz w:val="24"/>
                <w:szCs w:val="24"/>
                <w:vertAlign w:val="superscript"/>
                <w:rtl w:val="0"/>
              </w:rPr>
              <w:t xml:space="preserve">34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Output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Feature importance from local linear model.</w:t>
            </w:r>
            <w:r w:rsidDel="00000000" w:rsidR="00000000" w:rsidRPr="00000000">
              <w:rPr>
                <w:rFonts w:ascii="Google Sans" w:cs="Google Sans" w:eastAsia="Google Sans" w:hAnsi="Google Sans"/>
                <w:color w:val="444746"/>
                <w:sz w:val="24"/>
                <w:szCs w:val="24"/>
                <w:vertAlign w:val="superscript"/>
                <w:rtl w:val="0"/>
              </w:rPr>
              <w:t xml:space="preserve">34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Additive feature attributions (Shapley values).</w:t>
            </w:r>
            <w:r w:rsidDel="00000000" w:rsidR="00000000" w:rsidRPr="00000000">
              <w:rPr>
                <w:rFonts w:ascii="Google Sans" w:cs="Google Sans" w:eastAsia="Google Sans" w:hAnsi="Google Sans"/>
                <w:color w:val="444746"/>
                <w:sz w:val="24"/>
                <w:szCs w:val="24"/>
                <w:vertAlign w:val="superscript"/>
                <w:rtl w:val="0"/>
              </w:rPr>
              <w:t xml:space="preserve">34</w:t>
            </w:r>
          </w:p>
        </w:tc>
      </w:tr>
    </w:tbl>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SHAP (SHapley Additive exPlanations) ensures that the sum of feature attributions equals the model's prediction, providing a fair distribution of the prediction difference from the baseline.</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LIME (Local Interpretable Model-agnostic Explanations) generates an interpretable model locally around a specific data point by learning from surrounding perturbations.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Organizations often use LIME for quick single-prediction explanations and SHAP for understanding entire model dependencies.</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7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Response Quality and Generative AI Metrics</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Monitoring the quality of AI outputs is essential for maintaining trust and compliance.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Generative AI systems are probabilistic, meaning identical inputs can yield different responses, necessitating metrics that assess accuracy, completeness, and relevance.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75">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Hallucination Rate:</w:t>
      </w:r>
      <w:r w:rsidDel="00000000" w:rsidR="00000000" w:rsidRPr="00000000">
        <w:rPr>
          <w:rFonts w:ascii="Google Sans" w:cs="Google Sans" w:eastAsia="Google Sans" w:hAnsi="Google Sans"/>
          <w:color w:val="1f1f1f"/>
          <w:rtl w:val="0"/>
        </w:rPr>
        <w:t xml:space="preserve"> Tracks the frequency of ungrounded or false content generated by the model.</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76">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Groundedness:</w:t>
      </w:r>
      <w:r w:rsidDel="00000000" w:rsidR="00000000" w:rsidRPr="00000000">
        <w:rPr>
          <w:rFonts w:ascii="Google Sans" w:cs="Google Sans" w:eastAsia="Google Sans" w:hAnsi="Google Sans"/>
          <w:color w:val="1f1f1f"/>
          <w:rtl w:val="0"/>
        </w:rPr>
        <w:t xml:space="preserve"> Measures whether an answer is backed by retrieved sources or tool outputs.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77">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Factual Accuracy:</w:t>
      </w:r>
      <w:r w:rsidDel="00000000" w:rsidR="00000000" w:rsidRPr="00000000">
        <w:rPr>
          <w:rFonts w:ascii="Google Sans" w:cs="Google Sans" w:eastAsia="Google Sans" w:hAnsi="Google Sans"/>
          <w:color w:val="1f1f1f"/>
          <w:rtl w:val="0"/>
        </w:rPr>
        <w:t xml:space="preserve"> The correctness of responses, which often requires human oversight or LLM-as-a-judge rubrics.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78">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Toxicity and Safety:</w:t>
      </w:r>
      <w:r w:rsidDel="00000000" w:rsidR="00000000" w:rsidRPr="00000000">
        <w:rPr>
          <w:rFonts w:ascii="Google Sans" w:cs="Google Sans" w:eastAsia="Google Sans" w:hAnsi="Google Sans"/>
          <w:color w:val="1f1f1f"/>
          <w:rtl w:val="0"/>
        </w:rPr>
        <w:t xml:space="preserve"> Identifies harmful content, bias, or privacy concerns (PII) in real-time interactions.</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79">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Token Efficiency:</w:t>
      </w:r>
      <w:r w:rsidDel="00000000" w:rsidR="00000000" w:rsidRPr="00000000">
        <w:rPr>
          <w:rFonts w:ascii="Google Sans" w:cs="Google Sans" w:eastAsia="Google Sans" w:hAnsi="Google Sans"/>
          <w:color w:val="1f1f1f"/>
          <w:rtl w:val="0"/>
        </w:rPr>
        <w:t xml:space="preserve"> Tracks token consumption rates to quantify operational expenses and identify "wasted token" patterns.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7A">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MLOps Architectures and Automated Workflows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AI observability is not a standalone tool but a core component of the MLOps lifecycle, orchestrating the entire journey from data ingestion to continuous improvement.</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7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End-to-End MLOps Pipeline</w:t>
      </w:r>
    </w:p>
    <w:p w:rsidR="00000000" w:rsidDel="00000000" w:rsidP="00000000" w:rsidRDefault="00000000" w:rsidRPr="00000000" w14:paraId="0000007D">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Project Initiation and Problem Definition:</w:t>
      </w:r>
      <w:r w:rsidDel="00000000" w:rsidR="00000000" w:rsidRPr="00000000">
        <w:rPr>
          <w:rFonts w:ascii="Google Sans" w:cs="Google Sans" w:eastAsia="Google Sans" w:hAnsi="Google Sans"/>
          <w:color w:val="1f1f1f"/>
          <w:rtl w:val="0"/>
        </w:rPr>
        <w:t xml:space="preserve"> Aligning business problems with success metrics and regulatory considerations.</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7E">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Data Ingestion and Feature Engineering:</w:t>
      </w:r>
      <w:r w:rsidDel="00000000" w:rsidR="00000000" w:rsidRPr="00000000">
        <w:rPr>
          <w:rFonts w:ascii="Google Sans" w:cs="Google Sans" w:eastAsia="Google Sans" w:hAnsi="Google Sans"/>
          <w:color w:val="1f1f1f"/>
          <w:rtl w:val="0"/>
        </w:rPr>
        <w:t xml:space="preserve"> Collecting, cleansing, and versioning data using tools like LakeFS or DVC.</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7F">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Experimentation and Training:</w:t>
      </w:r>
      <w:r w:rsidDel="00000000" w:rsidR="00000000" w:rsidRPr="00000000">
        <w:rPr>
          <w:rFonts w:ascii="Google Sans" w:cs="Google Sans" w:eastAsia="Google Sans" w:hAnsi="Google Sans"/>
          <w:color w:val="1f1f1f"/>
          <w:rtl w:val="0"/>
        </w:rPr>
        <w:t xml:space="preserve"> Tracking hyperparameters and metrics using experiment trackers like MLflow or Weights &amp; Biases.</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80">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Model Evaluation and Selection:</w:t>
      </w:r>
      <w:r w:rsidDel="00000000" w:rsidR="00000000" w:rsidRPr="00000000">
        <w:rPr>
          <w:rFonts w:ascii="Google Sans" w:cs="Google Sans" w:eastAsia="Google Sans" w:hAnsi="Google Sans"/>
          <w:color w:val="1f1f1f"/>
          <w:rtl w:val="0"/>
        </w:rPr>
        <w:t xml:space="preserve"> Testing for fairness, accuracy, and risk before registering the model in a registry.</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81">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CI/CD and Packaging:</w:t>
      </w:r>
      <w:r w:rsidDel="00000000" w:rsidR="00000000" w:rsidRPr="00000000">
        <w:rPr>
          <w:rFonts w:ascii="Google Sans" w:cs="Google Sans" w:eastAsia="Google Sans" w:hAnsi="Google Sans"/>
          <w:color w:val="1f1f1f"/>
          <w:rtl w:val="0"/>
        </w:rPr>
        <w:t xml:space="preserve"> Automating the build, unit testing, and containerization of models for production.</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82">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Monitoring and Feedback Loops:</w:t>
      </w:r>
      <w:r w:rsidDel="00000000" w:rsidR="00000000" w:rsidRPr="00000000">
        <w:rPr>
          <w:rFonts w:ascii="Google Sans" w:cs="Google Sans" w:eastAsia="Google Sans" w:hAnsi="Google Sans"/>
          <w:color w:val="1f1f1f"/>
          <w:rtl w:val="0"/>
        </w:rPr>
        <w:t xml:space="preserve"> Real-time tracking of drift and performance to trigger automated updates.</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83">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Event-Driven vs. Scheduled Retraining</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traditional model maintenance relies on predefined retraining intervals, mature MLOps environments utilize event-driven retraining triggered by observability alerts.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Scheduled retraining can be wasteful, burning compute resources when the model is still performing well, or insufficient if data shifts dramatically between intervals.</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an event-driven architecture (e.g., on GCP with Vertex AI), model monitoring detects drift and sends alerts to a notification channel.</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This alert triggers a serverless function (Cloud Function) that evaluates the drift severity and automatically kicks off a retraining pipeline.</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The pipeline fetches fresh data, trains a new model version, and compares it against the current production model, deploying the update only if it demonstrates better performance.</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This "self-healing" paradigm reduces incident detection time by up to 60%.</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8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Tooling and Platform Landscape</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Selecting the right observability platform involves matching the tool's capabilities with organizational maturity and the specific types of AI workloads being deployed.</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8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Specialized and General-Purpose Platforms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Platform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Best For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Features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Braintrust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Systematic improvement loops and high-scale tracing.</w:t>
            </w:r>
            <w:r w:rsidDel="00000000" w:rsidR="00000000" w:rsidRPr="00000000">
              <w:rPr>
                <w:rFonts w:ascii="Google Sans" w:cs="Google Sans" w:eastAsia="Google Sans" w:hAnsi="Google Sans"/>
                <w:color w:val="444746"/>
                <w:sz w:val="24"/>
                <w:szCs w:val="24"/>
                <w:vertAlign w:val="superscript"/>
                <w:rtl w:val="0"/>
              </w:rPr>
              <w:t xml:space="preserve">46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10GB+ trace support, built-in annotation, custom LLM scorers.</w:t>
            </w:r>
            <w:r w:rsidDel="00000000" w:rsidR="00000000" w:rsidRPr="00000000">
              <w:rPr>
                <w:rFonts w:ascii="Google Sans" w:cs="Google Sans" w:eastAsia="Google Sans" w:hAnsi="Google Sans"/>
                <w:color w:val="444746"/>
                <w:sz w:val="24"/>
                <w:szCs w:val="24"/>
                <w:vertAlign w:val="superscript"/>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Maxim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End-to-end AI evaluation and multi-agent simulation.</w:t>
            </w:r>
            <w:r w:rsidDel="00000000" w:rsidR="00000000" w:rsidRPr="00000000">
              <w:rPr>
                <w:rFonts w:ascii="Google Sans" w:cs="Google Sans" w:eastAsia="Google Sans" w:hAnsi="Google Sans"/>
                <w:color w:val="444746"/>
                <w:sz w:val="24"/>
                <w:szCs w:val="24"/>
                <w:vertAlign w:val="superscript"/>
                <w:rtl w:val="0"/>
              </w:rPr>
              <w:t xml:space="preserve">46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Scenario simulation across hundreds of personas, prompt management UI.</w:t>
            </w:r>
            <w:r w:rsidDel="00000000" w:rsidR="00000000" w:rsidRPr="00000000">
              <w:rPr>
                <w:rFonts w:ascii="Google Sans" w:cs="Google Sans" w:eastAsia="Google Sans" w:hAnsi="Google Sans"/>
                <w:color w:val="444746"/>
                <w:sz w:val="24"/>
                <w:szCs w:val="24"/>
                <w:vertAlign w:val="superscript"/>
                <w:rtl w:val="0"/>
              </w:rPr>
              <w:t xml:space="preserve">47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Datadog LLM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Teams already integrated into the Datadog ecosystem.</w:t>
            </w:r>
            <w:r w:rsidDel="00000000" w:rsidR="00000000" w:rsidRPr="00000000">
              <w:rPr>
                <w:rFonts w:ascii="Google Sans" w:cs="Google Sans" w:eastAsia="Google Sans" w:hAnsi="Google Sans"/>
                <w:color w:val="444746"/>
                <w:sz w:val="24"/>
                <w:szCs w:val="24"/>
                <w:vertAlign w:val="superscript"/>
                <w:rtl w:val="0"/>
              </w:rPr>
              <w:t xml:space="preserve">47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End-to-end tracing of LLM chains, PII redaction, OTel support.</w:t>
            </w:r>
            <w:r w:rsidDel="00000000" w:rsidR="00000000" w:rsidRPr="00000000">
              <w:rPr>
                <w:rFonts w:ascii="Google Sans" w:cs="Google Sans" w:eastAsia="Google Sans" w:hAnsi="Google Sans"/>
                <w:color w:val="444746"/>
                <w:sz w:val="24"/>
                <w:szCs w:val="24"/>
                <w:vertAlign w:val="superscript"/>
                <w:rtl w:val="0"/>
              </w:rPr>
              <w:t xml:space="preserve">47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Langfuse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Open-source enthusiasts and data control.</w:t>
            </w:r>
            <w:r w:rsidDel="00000000" w:rsidR="00000000" w:rsidRPr="00000000">
              <w:rPr>
                <w:rFonts w:ascii="Google Sans" w:cs="Google Sans" w:eastAsia="Google Sans" w:hAnsi="Google Sans"/>
                <w:color w:val="444746"/>
                <w:sz w:val="24"/>
                <w:szCs w:val="24"/>
                <w:vertAlign w:val="superscript"/>
                <w:rtl w:val="0"/>
              </w:rPr>
              <w:t xml:space="preserve">46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MIT license, self-hostable, automatic token cost analysis.</w:t>
            </w:r>
            <w:r w:rsidDel="00000000" w:rsidR="00000000" w:rsidRPr="00000000">
              <w:rPr>
                <w:rFonts w:ascii="Google Sans" w:cs="Google Sans" w:eastAsia="Google Sans" w:hAnsi="Google Sans"/>
                <w:color w:val="444746"/>
                <w:sz w:val="24"/>
                <w:szCs w:val="24"/>
                <w:vertAlign w:val="superscript"/>
                <w:rtl w:val="0"/>
              </w:rPr>
              <w:t xml:space="preserve">45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Arize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Traditional ML focus and unstructured data analysis.</w:t>
            </w:r>
            <w:r w:rsidDel="00000000" w:rsidR="00000000" w:rsidRPr="00000000">
              <w:rPr>
                <w:rFonts w:ascii="Google Sans" w:cs="Google Sans" w:eastAsia="Google Sans" w:hAnsi="Google Sans"/>
                <w:color w:val="444746"/>
                <w:sz w:val="24"/>
                <w:szCs w:val="24"/>
                <w:vertAlign w:val="superscript"/>
                <w:rtl w:val="0"/>
              </w:rPr>
              <w:t xml:space="preserve">47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UMAP embedding clustering, bias tracing, data drift detection.</w:t>
            </w:r>
            <w:r w:rsidDel="00000000" w:rsidR="00000000" w:rsidRPr="00000000">
              <w:rPr>
                <w:rFonts w:ascii="Google Sans" w:cs="Google Sans" w:eastAsia="Google Sans" w:hAnsi="Google Sans"/>
                <w:color w:val="444746"/>
                <w:sz w:val="24"/>
                <w:szCs w:val="24"/>
                <w:vertAlign w:val="superscript"/>
                <w:rtl w:val="0"/>
              </w:rPr>
              <w:t xml:space="preserve">48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Fiddler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Regulated industries requiring unified ML/GenAI visibility.</w:t>
            </w:r>
            <w:r w:rsidDel="00000000" w:rsidR="00000000" w:rsidRPr="00000000">
              <w:rPr>
                <w:rFonts w:ascii="Google Sans" w:cs="Google Sans" w:eastAsia="Google Sans" w:hAnsi="Google Sans"/>
                <w:color w:val="444746"/>
                <w:sz w:val="24"/>
                <w:szCs w:val="24"/>
                <w:vertAlign w:val="superscript"/>
                <w:rtl w:val="0"/>
              </w:rPr>
              <w:t xml:space="preserve">46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Explainable AI features (Shapley values), LLM guardrails.</w:t>
            </w:r>
            <w:r w:rsidDel="00000000" w:rsidR="00000000" w:rsidRPr="00000000">
              <w:rPr>
                <w:rFonts w:ascii="Google Sans" w:cs="Google Sans" w:eastAsia="Google Sans" w:hAnsi="Google Sans"/>
                <w:color w:val="444746"/>
                <w:sz w:val="24"/>
                <w:szCs w:val="24"/>
                <w:vertAlign w:val="superscript"/>
                <w:rtl w:val="0"/>
              </w:rPr>
              <w:t xml:space="preserve">46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Monte Carlo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Data and AI reliability across the warehouse/lakehouse.</w:t>
            </w:r>
            <w:r w:rsidDel="00000000" w:rsidR="00000000" w:rsidRPr="00000000">
              <w:rPr>
                <w:rFonts w:ascii="Google Sans" w:cs="Google Sans" w:eastAsia="Google Sans" w:hAnsi="Google Sans"/>
                <w:color w:val="444746"/>
                <w:sz w:val="24"/>
                <w:szCs w:val="24"/>
                <w:vertAlign w:val="superscript"/>
                <w:rtl w:val="0"/>
              </w:rPr>
              <w:t xml:space="preserve">48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End-to-end lineage tracking, automated root-cause analysis.</w:t>
            </w:r>
            <w:r w:rsidDel="00000000" w:rsidR="00000000" w:rsidRPr="00000000">
              <w:rPr>
                <w:rFonts w:ascii="Google Sans" w:cs="Google Sans" w:eastAsia="Google Sans" w:hAnsi="Google Sans"/>
                <w:color w:val="444746"/>
                <w:sz w:val="24"/>
                <w:szCs w:val="24"/>
                <w:vertAlign w:val="superscript"/>
                <w:rtl w:val="0"/>
              </w:rPr>
              <w:t xml:space="preserve">48</w:t>
            </w:r>
          </w:p>
        </w:tc>
      </w:tr>
    </w:tbl>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Platform selection criteria must include support for open standards like OpenTelemetry (OTel), as this avoids vendor lock-in and allows traces to flow into existing enterprise backends.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Security controls, such as regional data residency, PII redaction, and SOC 2 compliance, are equally critical for enterprise deployments.</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A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Beginner's Path to Mastery: Prerequisites and Checklists</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individuals entering the field of AI observability, success requires a blend of foundational mathematics, programming proficiency, and an "observability mindset".</w:t>
      </w:r>
      <w:r w:rsidDel="00000000" w:rsidR="00000000" w:rsidRPr="00000000">
        <w:rPr>
          <w:rFonts w:ascii="Google Sans" w:cs="Google Sans" w:eastAsia="Google Sans" w:hAnsi="Google Sans"/>
          <w:color w:val="444746"/>
          <w:sz w:val="24"/>
          <w:szCs w:val="24"/>
          <w:vertAlign w:val="superscript"/>
          <w:rtl w:val="0"/>
        </w:rPr>
        <w:t xml:space="preserve">50</w:t>
      </w:r>
    </w:p>
    <w:p w:rsidR="00000000" w:rsidDel="00000000" w:rsidP="00000000" w:rsidRDefault="00000000" w:rsidRPr="00000000" w14:paraId="000000A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Essential Foundational Skills</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core mathematical disciplines for AI include linear algebra for data representation, probability and statistics for uncertainty modeling, and calculus for optimization.</w:t>
      </w:r>
      <w:r w:rsidDel="00000000" w:rsidR="00000000" w:rsidRPr="00000000">
        <w:rPr>
          <w:rFonts w:ascii="Google Sans" w:cs="Google Sans" w:eastAsia="Google Sans" w:hAnsi="Google Sans"/>
          <w:color w:val="444746"/>
          <w:sz w:val="24"/>
          <w:szCs w:val="24"/>
          <w:vertAlign w:val="superscript"/>
          <w:rtl w:val="0"/>
        </w:rPr>
        <w:t xml:space="preserve">50</w:t>
      </w:r>
    </w:p>
    <w:p w:rsidR="00000000" w:rsidDel="00000000" w:rsidP="00000000" w:rsidRDefault="00000000" w:rsidRPr="00000000" w14:paraId="000000A7">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Linear Algebra:</w:t>
      </w:r>
      <w:r w:rsidDel="00000000" w:rsidR="00000000" w:rsidRPr="00000000">
        <w:rPr>
          <w:rFonts w:ascii="Google Sans" w:cs="Google Sans" w:eastAsia="Google Sans" w:hAnsi="Google Sans"/>
          <w:color w:val="1f1f1f"/>
          <w:rtl w:val="0"/>
        </w:rPr>
        <w:t xml:space="preserve"> Understanding vectors and matrices is critical for working with embeddings and neural network forward passes.</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Key concepts include matrix multiplication and eigenvalues.</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A8">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Statistics and Probability:</w:t>
      </w:r>
      <w:r w:rsidDel="00000000" w:rsidR="00000000" w:rsidRPr="00000000">
        <w:rPr>
          <w:rFonts w:ascii="Google Sans" w:cs="Google Sans" w:eastAsia="Google Sans" w:hAnsi="Google Sans"/>
          <w:color w:val="1f1f1f"/>
          <w:rtl w:val="0"/>
        </w:rPr>
        <w:t xml:space="preserve"> This is the backbone of ML, enabling practitioners to model uncertainty and validate results with confidence.</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Mastery of distributions (normal, binomial), p-values, and hypothesis testing is required.</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A9">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Calculus:</w:t>
      </w:r>
      <w:r w:rsidDel="00000000" w:rsidR="00000000" w:rsidRPr="00000000">
        <w:rPr>
          <w:rFonts w:ascii="Google Sans" w:cs="Google Sans" w:eastAsia="Google Sans" w:hAnsi="Google Sans"/>
          <w:color w:val="1f1f1f"/>
          <w:rtl w:val="0"/>
        </w:rPr>
        <w:t xml:space="preserve"> Gradients and derivatives are essential for understanding how models minimize loss functions through iterative improvement (e.g., gradient descent).</w:t>
      </w:r>
      <w:r w:rsidDel="00000000" w:rsidR="00000000" w:rsidRPr="00000000">
        <w:rPr>
          <w:rFonts w:ascii="Google Sans" w:cs="Google Sans" w:eastAsia="Google Sans" w:hAnsi="Google Sans"/>
          <w:color w:val="444746"/>
          <w:sz w:val="24"/>
          <w:szCs w:val="24"/>
          <w:vertAlign w:val="superscript"/>
          <w:rtl w:val="0"/>
        </w:rPr>
        <w:t xml:space="preserve">50</w:t>
      </w:r>
    </w:p>
    <w:p w:rsidR="00000000" w:rsidDel="00000000" w:rsidP="00000000" w:rsidRDefault="00000000" w:rsidRPr="00000000" w14:paraId="000000AA">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Programming (Python):</w:t>
      </w:r>
      <w:r w:rsidDel="00000000" w:rsidR="00000000" w:rsidRPr="00000000">
        <w:rPr>
          <w:rFonts w:ascii="Google Sans" w:cs="Google Sans" w:eastAsia="Google Sans" w:hAnsi="Google Sans"/>
          <w:color w:val="1f1f1f"/>
          <w:rtl w:val="0"/>
        </w:rPr>
        <w:t xml:space="preserve"> Python is the gold standard for AI/ML.</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 Beginners should focus on data structures (lists, dictionaries), modular coding, and scientific libraries like NumPy and Pandas.</w:t>
      </w:r>
      <w:r w:rsidDel="00000000" w:rsidR="00000000" w:rsidRPr="00000000">
        <w:rPr>
          <w:rFonts w:ascii="Google Sans" w:cs="Google Sans" w:eastAsia="Google Sans" w:hAnsi="Google Sans"/>
          <w:color w:val="444746"/>
          <w:sz w:val="24"/>
          <w:szCs w:val="24"/>
          <w:vertAlign w:val="superscript"/>
          <w:rtl w:val="0"/>
        </w:rPr>
        <w:t xml:space="preserve">53</w:t>
      </w:r>
    </w:p>
    <w:p w:rsidR="00000000" w:rsidDel="00000000" w:rsidP="00000000" w:rsidRDefault="00000000" w:rsidRPr="00000000" w14:paraId="000000AB">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Beginner's Implementation Checklist</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Before deploying a model, practitioners should establish a baseline and identify critical checkpoints in their workflow.</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AD">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Establish Baselines:</w:t>
      </w:r>
      <w:r w:rsidDel="00000000" w:rsidR="00000000" w:rsidRPr="00000000">
        <w:rPr>
          <w:rFonts w:ascii="Google Sans" w:cs="Google Sans" w:eastAsia="Google Sans" w:hAnsi="Google Sans"/>
          <w:color w:val="1f1f1f"/>
          <w:rtl w:val="0"/>
        </w:rPr>
        <w:t xml:space="preserve"> Document model performance during a stable 2-4 week production period to define "normal" behavior.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AE">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Instrument from the Start:</w:t>
      </w:r>
      <w:r w:rsidDel="00000000" w:rsidR="00000000" w:rsidRPr="00000000">
        <w:rPr>
          <w:rFonts w:ascii="Google Sans" w:cs="Google Sans" w:eastAsia="Google Sans" w:hAnsi="Google Sans"/>
          <w:color w:val="1f1f1f"/>
          <w:rtl w:val="0"/>
        </w:rPr>
        <w:t xml:space="preserve"> Build AI-native telemetry into the system at design time rather than retrofitting it after failure.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AF">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Capture Minimum Telemetry:</w:t>
      </w:r>
      <w:r w:rsidDel="00000000" w:rsidR="00000000" w:rsidRPr="00000000">
        <w:rPr>
          <w:rFonts w:ascii="Google Sans" w:cs="Google Sans" w:eastAsia="Google Sans" w:hAnsi="Google Sans"/>
          <w:color w:val="1f1f1f"/>
          <w:rtl w:val="0"/>
        </w:rPr>
        <w:t xml:space="preserve"> At a minimum, capture user/system prompts, model version, token usage, tool function calls, and cost metadata.</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B0">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Monitor the Data Cycle:</w:t>
      </w:r>
      <w:r w:rsidDel="00000000" w:rsidR="00000000" w:rsidRPr="00000000">
        <w:rPr>
          <w:rFonts w:ascii="Google Sans" w:cs="Google Sans" w:eastAsia="Google Sans" w:hAnsi="Google Sans"/>
          <w:color w:val="1f1f1f"/>
          <w:rtl w:val="0"/>
        </w:rPr>
        <w:t xml:space="preserve"> Track input quality (missing values, schema changes) alongside model behavior (accuracy, latency).</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B1">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Establish Response Protocols:</w:t>
      </w:r>
      <w:r w:rsidDel="00000000" w:rsidR="00000000" w:rsidRPr="00000000">
        <w:rPr>
          <w:rFonts w:ascii="Google Sans" w:cs="Google Sans" w:eastAsia="Google Sans" w:hAnsi="Google Sans"/>
          <w:color w:val="1f1f1f"/>
          <w:rtl w:val="0"/>
        </w:rPr>
        <w:t xml:space="preserve"> Define clear roles and escalation paths for different types of incidents (e.g., data quality vs. model bias).</w:t>
      </w:r>
      <w:r w:rsidDel="00000000" w:rsidR="00000000" w:rsidRPr="00000000">
        <w:rPr>
          <w:rFonts w:ascii="Google Sans" w:cs="Google Sans" w:eastAsia="Google Sans" w:hAnsi="Google Sans"/>
          <w:color w:val="444746"/>
          <w:sz w:val="24"/>
          <w:szCs w:val="24"/>
          <w:vertAlign w:val="superscript"/>
          <w:rtl w:val="0"/>
        </w:rPr>
        <w:t xml:space="preserve">58</w:t>
      </w:r>
    </w:p>
    <w:p w:rsidR="00000000" w:rsidDel="00000000" w:rsidP="00000000" w:rsidRDefault="00000000" w:rsidRPr="00000000" w14:paraId="000000B2">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Practical Outline for an Educational Website</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effectively teach these concepts, an educational platform should be structured to guide users from foundational theory to production-ready implementation.</w:t>
      </w:r>
    </w:p>
    <w:p w:rsidR="00000000" w:rsidDel="00000000" w:rsidP="00000000" w:rsidRDefault="00000000" w:rsidRPr="00000000" w14:paraId="000000B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Website Structure and Module Curriculum</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Module 1: Introduction to AI Reliability</w:t>
      </w:r>
    </w:p>
    <w:p w:rsidR="00000000" w:rsidDel="00000000" w:rsidP="00000000" w:rsidRDefault="00000000" w:rsidRPr="00000000" w14:paraId="000000B6">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What is Observability?</w:t>
      </w:r>
      <w:r w:rsidDel="00000000" w:rsidR="00000000" w:rsidRPr="00000000">
        <w:rPr>
          <w:rFonts w:ascii="Google Sans" w:cs="Google Sans" w:eastAsia="Google Sans" w:hAnsi="Google Sans"/>
          <w:color w:val="1f1f1f"/>
          <w:rtl w:val="0"/>
        </w:rPr>
        <w:t xml:space="preserve"> Distinguishing it from monitoring and explainability.</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B7">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Why it Matters:</w:t>
      </w:r>
      <w:r w:rsidDel="00000000" w:rsidR="00000000" w:rsidRPr="00000000">
        <w:rPr>
          <w:rFonts w:ascii="Google Sans" w:cs="Google Sans" w:eastAsia="Google Sans" w:hAnsi="Google Sans"/>
          <w:color w:val="1f1f1f"/>
          <w:rtl w:val="0"/>
        </w:rPr>
        <w:t xml:space="preserve"> The business case, ROI, and regulatory landscape (EU AI Act).</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B8">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Core Concepts:</w:t>
      </w:r>
      <w:r w:rsidDel="00000000" w:rsidR="00000000" w:rsidRPr="00000000">
        <w:rPr>
          <w:rFonts w:ascii="Google Sans" w:cs="Google Sans" w:eastAsia="Google Sans" w:hAnsi="Google Sans"/>
          <w:color w:val="1f1f1f"/>
          <w:rtl w:val="0"/>
        </w:rPr>
        <w:t xml:space="preserve"> Introduction to probabilistic systems and silent failures.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Module 2: The Metrics of Intelligence</w:t>
      </w:r>
    </w:p>
    <w:p w:rsidR="00000000" w:rsidDel="00000000" w:rsidP="00000000" w:rsidRDefault="00000000" w:rsidRPr="00000000" w14:paraId="000000BA">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Standard Telemetry:</w:t>
      </w:r>
      <w:r w:rsidDel="00000000" w:rsidR="00000000" w:rsidRPr="00000000">
        <w:rPr>
          <w:rFonts w:ascii="Google Sans" w:cs="Google Sans" w:eastAsia="Google Sans" w:hAnsi="Google Sans"/>
          <w:color w:val="1f1f1f"/>
          <w:rtl w:val="0"/>
        </w:rPr>
        <w:t xml:space="preserve"> Logs, metrics, and traces in an AI context.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BB">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New Pillars:</w:t>
      </w:r>
      <w:r w:rsidDel="00000000" w:rsidR="00000000" w:rsidRPr="00000000">
        <w:rPr>
          <w:rFonts w:ascii="Google Sans" w:cs="Google Sans" w:eastAsia="Google Sans" w:hAnsi="Google Sans"/>
          <w:color w:val="1f1f1f"/>
          <w:rtl w:val="0"/>
        </w:rPr>
        <w:t xml:space="preserve"> Evaluations (Evals), Annotation, and AI-native tracing.</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BC">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GenAI Specifics:</w:t>
      </w:r>
      <w:r w:rsidDel="00000000" w:rsidR="00000000" w:rsidRPr="00000000">
        <w:rPr>
          <w:rFonts w:ascii="Google Sans" w:cs="Google Sans" w:eastAsia="Google Sans" w:hAnsi="Google Sans"/>
          <w:color w:val="1f1f1f"/>
          <w:rtl w:val="0"/>
        </w:rPr>
        <w:t xml:space="preserve"> Groundedness, relevance, hallucination rates, and token efficiency.</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Module 3: Managing Model Degradation</w:t>
      </w:r>
    </w:p>
    <w:p w:rsidR="00000000" w:rsidDel="00000000" w:rsidP="00000000" w:rsidRDefault="00000000" w:rsidRPr="00000000" w14:paraId="000000BE">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Drift Deep Dive:</w:t>
      </w:r>
      <w:r w:rsidDel="00000000" w:rsidR="00000000" w:rsidRPr="00000000">
        <w:rPr>
          <w:rFonts w:ascii="Google Sans" w:cs="Google Sans" w:eastAsia="Google Sans" w:hAnsi="Google Sans"/>
          <w:color w:val="1f1f1f"/>
          <w:rtl w:val="0"/>
        </w:rPr>
        <w:t xml:space="preserve"> Data drift vs. concept drift with mathematical detection methods.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BF">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Retraining Strategies:</w:t>
      </w:r>
      <w:r w:rsidDel="00000000" w:rsidR="00000000" w:rsidRPr="00000000">
        <w:rPr>
          <w:rFonts w:ascii="Google Sans" w:cs="Google Sans" w:eastAsia="Google Sans" w:hAnsi="Google Sans"/>
          <w:color w:val="1f1f1f"/>
          <w:rtl w:val="0"/>
        </w:rPr>
        <w:t xml:space="preserve"> Scheduled vs. event-driven loops and MLOps integration.</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C0">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Root Cause Analysis:</w:t>
      </w:r>
      <w:r w:rsidDel="00000000" w:rsidR="00000000" w:rsidRPr="00000000">
        <w:rPr>
          <w:rFonts w:ascii="Google Sans" w:cs="Google Sans" w:eastAsia="Google Sans" w:hAnsi="Google Sans"/>
          <w:color w:val="1f1f1f"/>
          <w:rtl w:val="0"/>
        </w:rPr>
        <w:t xml:space="preserve"> Techniques for tracing failures through RAG pipelines and tool calls.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Module 4: Explainability and Ethics</w:t>
      </w:r>
    </w:p>
    <w:p w:rsidR="00000000" w:rsidDel="00000000" w:rsidP="00000000" w:rsidRDefault="00000000" w:rsidRPr="00000000" w14:paraId="000000C2">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Feature Attribution:</w:t>
      </w:r>
      <w:r w:rsidDel="00000000" w:rsidR="00000000" w:rsidRPr="00000000">
        <w:rPr>
          <w:rFonts w:ascii="Google Sans" w:cs="Google Sans" w:eastAsia="Google Sans" w:hAnsi="Google Sans"/>
          <w:color w:val="1f1f1f"/>
          <w:rtl w:val="0"/>
        </w:rPr>
        <w:t xml:space="preserve"> SHAP vs. LIME for interpreting predictions.</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C3">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Bias and Fairness:</w:t>
      </w:r>
      <w:r w:rsidDel="00000000" w:rsidR="00000000" w:rsidRPr="00000000">
        <w:rPr>
          <w:rFonts w:ascii="Google Sans" w:cs="Google Sans" w:eastAsia="Google Sans" w:hAnsi="Google Sans"/>
          <w:color w:val="1f1f1f"/>
          <w:rtl w:val="0"/>
        </w:rPr>
        <w:t xml:space="preserve"> Monitoring for disparate outcomes and proxy variables.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C4">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Guardrailing:</w:t>
      </w:r>
      <w:r w:rsidDel="00000000" w:rsidR="00000000" w:rsidRPr="00000000">
        <w:rPr>
          <w:rFonts w:ascii="Google Sans" w:cs="Google Sans" w:eastAsia="Google Sans" w:hAnsi="Google Sans"/>
          <w:color w:val="1f1f1f"/>
          <w:rtl w:val="0"/>
        </w:rPr>
        <w:t xml:space="preserve"> Implementing runtime protection and safety filters.</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Module 5: Hands-on Implementation</w:t>
      </w:r>
    </w:p>
    <w:p w:rsidR="00000000" w:rsidDel="00000000" w:rsidP="00000000" w:rsidRDefault="00000000" w:rsidRPr="00000000" w14:paraId="000000C6">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Tooling Landscape:</w:t>
      </w:r>
      <w:r w:rsidDel="00000000" w:rsidR="00000000" w:rsidRPr="00000000">
        <w:rPr>
          <w:rFonts w:ascii="Google Sans" w:cs="Google Sans" w:eastAsia="Google Sans" w:hAnsi="Google Sans"/>
          <w:color w:val="1f1f1f"/>
          <w:rtl w:val="0"/>
        </w:rPr>
        <w:t xml:space="preserve"> Comparing Maxim, Braintrust, Langfuse, and Datadog.</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C7">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Building Your First Dashboard:</w:t>
      </w:r>
      <w:r w:rsidDel="00000000" w:rsidR="00000000" w:rsidRPr="00000000">
        <w:rPr>
          <w:rFonts w:ascii="Google Sans" w:cs="Google Sans" w:eastAsia="Google Sans" w:hAnsi="Google Sans"/>
          <w:color w:val="1f1f1f"/>
          <w:rtl w:val="0"/>
        </w:rPr>
        <w:t xml:space="preserve"> Design best practices and "Golden Signal" visualization.</w:t>
      </w:r>
      <w:r w:rsidDel="00000000" w:rsidR="00000000" w:rsidRPr="00000000">
        <w:rPr>
          <w:rFonts w:ascii="Google Sans" w:cs="Google Sans" w:eastAsia="Google Sans" w:hAnsi="Google Sans"/>
          <w:color w:val="444746"/>
          <w:sz w:val="24"/>
          <w:szCs w:val="24"/>
          <w:vertAlign w:val="superscript"/>
          <w:rtl w:val="0"/>
        </w:rPr>
        <w:t xml:space="preserve">59</w:t>
      </w:r>
    </w:p>
    <w:p w:rsidR="00000000" w:rsidDel="00000000" w:rsidP="00000000" w:rsidRDefault="00000000" w:rsidRPr="00000000" w14:paraId="000000C8">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Case Study Forensics:</w:t>
      </w:r>
      <w:r w:rsidDel="00000000" w:rsidR="00000000" w:rsidRPr="00000000">
        <w:rPr>
          <w:rFonts w:ascii="Google Sans" w:cs="Google Sans" w:eastAsia="Google Sans" w:hAnsi="Google Sans"/>
          <w:color w:val="1f1f1f"/>
          <w:rtl w:val="0"/>
        </w:rPr>
        <w:t xml:space="preserve"> Analyzing real-world AI failures to build better safeguards.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C9">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Dashboard Design and Visualization Best Practices</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 observability dashboard must serve multiple audiences, from data scientists to business stakeholders.</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 Effective visualization works with the data's inherent structure rather than against it.</w:t>
      </w:r>
      <w:r w:rsidDel="00000000" w:rsidR="00000000" w:rsidRPr="00000000">
        <w:rPr>
          <w:rFonts w:ascii="Google Sans" w:cs="Google Sans" w:eastAsia="Google Sans" w:hAnsi="Google Sans"/>
          <w:color w:val="444746"/>
          <w:sz w:val="24"/>
          <w:szCs w:val="24"/>
          <w:vertAlign w:val="superscript"/>
          <w:rtl w:val="0"/>
        </w:rPr>
        <w:t xml:space="preserve">59</w:t>
      </w:r>
    </w:p>
    <w:p w:rsidR="00000000" w:rsidDel="00000000" w:rsidP="00000000" w:rsidRDefault="00000000" w:rsidRPr="00000000" w14:paraId="000000CB">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Progressive Disclosure:</w:t>
      </w:r>
      <w:r w:rsidDel="00000000" w:rsidR="00000000" w:rsidRPr="00000000">
        <w:rPr>
          <w:rFonts w:ascii="Google Sans" w:cs="Google Sans" w:eastAsia="Google Sans" w:hAnsi="Google Sans"/>
          <w:color w:val="1f1f1f"/>
          <w:rtl w:val="0"/>
        </w:rPr>
        <w:t xml:space="preserve"> Lead with high-level SLO charts and allow for drill-down into per-service or per-endpoint details.</w:t>
      </w:r>
      <w:r w:rsidDel="00000000" w:rsidR="00000000" w:rsidRPr="00000000">
        <w:rPr>
          <w:rFonts w:ascii="Google Sans" w:cs="Google Sans" w:eastAsia="Google Sans" w:hAnsi="Google Sans"/>
          <w:color w:val="444746"/>
          <w:sz w:val="24"/>
          <w:szCs w:val="24"/>
          <w:vertAlign w:val="superscript"/>
          <w:rtl w:val="0"/>
        </w:rPr>
        <w:t xml:space="preserve">60</w:t>
      </w:r>
    </w:p>
    <w:p w:rsidR="00000000" w:rsidDel="00000000" w:rsidP="00000000" w:rsidRDefault="00000000" w:rsidRPr="00000000" w14:paraId="000000CC">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"Golden Signals":</w:t>
      </w:r>
      <w:r w:rsidDel="00000000" w:rsidR="00000000" w:rsidRPr="00000000">
        <w:rPr>
          <w:rFonts w:ascii="Google Sans" w:cs="Google Sans" w:eastAsia="Google Sans" w:hAnsi="Google Sans"/>
          <w:color w:val="1f1f1f"/>
          <w:rtl w:val="0"/>
        </w:rPr>
        <w:t xml:space="preserve"> Prioritize error rates, p95 latency, throughput, and token costs.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CD">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Eye Tracking and Eyeflow:</w:t>
      </w:r>
      <w:r w:rsidDel="00000000" w:rsidR="00000000" w:rsidRPr="00000000">
        <w:rPr>
          <w:rFonts w:ascii="Google Sans" w:cs="Google Sans" w:eastAsia="Google Sans" w:hAnsi="Google Sans"/>
          <w:color w:val="1f1f1f"/>
          <w:rtl w:val="0"/>
        </w:rPr>
        <w:t xml:space="preserve"> Place critical KPIs at the top-left or centered for immediate situational awareness.</w:t>
      </w:r>
      <w:r w:rsidDel="00000000" w:rsidR="00000000" w:rsidRPr="00000000">
        <w:rPr>
          <w:rFonts w:ascii="Google Sans" w:cs="Google Sans" w:eastAsia="Google Sans" w:hAnsi="Google Sans"/>
          <w:color w:val="444746"/>
          <w:sz w:val="24"/>
          <w:szCs w:val="24"/>
          <w:vertAlign w:val="superscript"/>
          <w:rtl w:val="0"/>
        </w:rPr>
        <w:t xml:space="preserve">61</w:t>
      </w:r>
    </w:p>
    <w:p w:rsidR="00000000" w:rsidDel="00000000" w:rsidP="00000000" w:rsidRDefault="00000000" w:rsidRPr="00000000" w14:paraId="000000CE">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Simplicity and Consistency:</w:t>
      </w:r>
      <w:r w:rsidDel="00000000" w:rsidR="00000000" w:rsidRPr="00000000">
        <w:rPr>
          <w:rFonts w:ascii="Google Sans" w:cs="Google Sans" w:eastAsia="Google Sans" w:hAnsi="Google Sans"/>
          <w:color w:val="1f1f1f"/>
          <w:rtl w:val="0"/>
        </w:rPr>
        <w:t xml:space="preserve"> Avoid unnecessary complexity; reuse colors, fonts, and chart styles to build muscle memory in on-call engineers.</w:t>
      </w:r>
      <w:r w:rsidDel="00000000" w:rsidR="00000000" w:rsidRPr="00000000">
        <w:rPr>
          <w:rFonts w:ascii="Google Sans" w:cs="Google Sans" w:eastAsia="Google Sans" w:hAnsi="Google Sans"/>
          <w:color w:val="444746"/>
          <w:sz w:val="24"/>
          <w:szCs w:val="24"/>
          <w:vertAlign w:val="superscript"/>
          <w:rtl w:val="0"/>
        </w:rPr>
        <w:t xml:space="preserve">59</w:t>
      </w:r>
    </w:p>
    <w:p w:rsidR="00000000" w:rsidDel="00000000" w:rsidP="00000000" w:rsidRDefault="00000000" w:rsidRPr="00000000" w14:paraId="000000CF">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Accessibility:</w:t>
      </w:r>
      <w:r w:rsidDel="00000000" w:rsidR="00000000" w:rsidRPr="00000000">
        <w:rPr>
          <w:rFonts w:ascii="Google Sans" w:cs="Google Sans" w:eastAsia="Google Sans" w:hAnsi="Google Sans"/>
          <w:color w:val="1f1f1f"/>
          <w:rtl w:val="0"/>
        </w:rPr>
        <w:t xml:space="preserve"> Use color-blind-friendly palettes and offer text alternatives to ensure the dashboard is usable by everyone.</w:t>
      </w:r>
      <w:r w:rsidDel="00000000" w:rsidR="00000000" w:rsidRPr="00000000">
        <w:rPr>
          <w:rFonts w:ascii="Google Sans" w:cs="Google Sans" w:eastAsia="Google Sans" w:hAnsi="Google Sans"/>
          <w:color w:val="444746"/>
          <w:sz w:val="24"/>
          <w:szCs w:val="24"/>
          <w:vertAlign w:val="superscript"/>
          <w:rtl w:val="0"/>
        </w:rPr>
        <w:t xml:space="preserve">59</w:t>
      </w:r>
    </w:p>
    <w:p w:rsidR="00000000" w:rsidDel="00000000" w:rsidP="00000000" w:rsidRDefault="00000000" w:rsidRPr="00000000" w14:paraId="000000D0">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Future Outlook: Toward Self-Adaptive and Agentic Systems</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AI architectures evolve from static models to dynamic, multi-agent workflows, observability will become the "scaffolding" required for autonomous decision-making.</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future of the field lies in "self-adaptive" pipelines that utilize MAPE-K loops to monitor performance, analyze drift, and execute updates autonomously.</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In this paradigm, observability is no longer just about identifying errors but about providing the intelligence layer necessary for AI to self-correct and self-optimize within a secure, policy-gated framework.</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journey from "is it working?" to "how is it reasoning?" marks the next frontier in the architecture of trust.</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D2">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D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Observability for AI Systems: Strengthening visibility for proactive ..., accessed March 19, 2026, </w:t>
      </w:r>
      <w:hyperlink r:id="rId6">
        <w:r w:rsidDel="00000000" w:rsidR="00000000" w:rsidRPr="00000000">
          <w:rPr>
            <w:rFonts w:ascii="Google Sans" w:cs="Google Sans" w:eastAsia="Google Sans" w:hAnsi="Google Sans"/>
            <w:color w:val="0000ee"/>
            <w:sz w:val="24"/>
            <w:szCs w:val="24"/>
            <w:u w:val="single"/>
            <w:rtl w:val="0"/>
          </w:rPr>
          <w:t xml:space="preserve">https://www.microsoft.com/en-us/security/blog/2026/03/18/observability-ai-systems-strengthening-visibility-proactive-risk-detection/</w:t>
        </w:r>
      </w:hyperlink>
      <w:r w:rsidDel="00000000" w:rsidR="00000000" w:rsidRPr="00000000">
        <w:rPr>
          <w:rtl w:val="0"/>
        </w:rPr>
      </w:r>
    </w:p>
    <w:p w:rsidR="00000000" w:rsidDel="00000000" w:rsidP="00000000" w:rsidRDefault="00000000" w:rsidRPr="00000000" w14:paraId="000000D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AI Observability? | IBM, accessed March 19, 2026, </w:t>
      </w:r>
      <w:hyperlink r:id="rId7">
        <w:r w:rsidDel="00000000" w:rsidR="00000000" w:rsidRPr="00000000">
          <w:rPr>
            <w:rFonts w:ascii="Google Sans" w:cs="Google Sans" w:eastAsia="Google Sans" w:hAnsi="Google Sans"/>
            <w:color w:val="0000ee"/>
            <w:sz w:val="24"/>
            <w:szCs w:val="24"/>
            <w:u w:val="single"/>
            <w:rtl w:val="0"/>
          </w:rPr>
          <w:t xml:space="preserve">https://www.ibm.com/think/topics/ai-observability</w:t>
        </w:r>
      </w:hyperlink>
      <w:r w:rsidDel="00000000" w:rsidR="00000000" w:rsidRPr="00000000">
        <w:rPr>
          <w:rtl w:val="0"/>
        </w:rPr>
      </w:r>
    </w:p>
    <w:p w:rsidR="00000000" w:rsidDel="00000000" w:rsidP="00000000" w:rsidRDefault="00000000" w:rsidRPr="00000000" w14:paraId="000000D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Observability vs Monitoring: Key Differences and When Each Approach Matters, accessed March 19, 2026, </w:t>
      </w:r>
      <w:hyperlink r:id="rId8">
        <w:r w:rsidDel="00000000" w:rsidR="00000000" w:rsidRPr="00000000">
          <w:rPr>
            <w:rFonts w:ascii="Google Sans" w:cs="Google Sans" w:eastAsia="Google Sans" w:hAnsi="Google Sans"/>
            <w:color w:val="0000ee"/>
            <w:sz w:val="24"/>
            <w:szCs w:val="24"/>
            <w:u w:val="single"/>
            <w:rtl w:val="0"/>
          </w:rPr>
          <w:t xml:space="preserve">https://insightfinder.com/blog/ai-observability-vs-monitoring/</w:t>
        </w:r>
      </w:hyperlink>
      <w:r w:rsidDel="00000000" w:rsidR="00000000" w:rsidRPr="00000000">
        <w:rPr>
          <w:rtl w:val="0"/>
        </w:rPr>
      </w:r>
    </w:p>
    <w:p w:rsidR="00000000" w:rsidDel="00000000" w:rsidP="00000000" w:rsidRDefault="00000000" w:rsidRPr="00000000" w14:paraId="000000D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observability: monitoring and governing autonomous AI agents, accessed March 19, 2026, </w:t>
      </w:r>
      <w:hyperlink r:id="rId9">
        <w:r w:rsidDel="00000000" w:rsidR="00000000" w:rsidRPr="00000000">
          <w:rPr>
            <w:rFonts w:ascii="Google Sans" w:cs="Google Sans" w:eastAsia="Google Sans" w:hAnsi="Google Sans"/>
            <w:color w:val="0000ee"/>
            <w:sz w:val="24"/>
            <w:szCs w:val="24"/>
            <w:u w:val="single"/>
            <w:rtl w:val="0"/>
          </w:rPr>
          <w:t xml:space="preserve">https://www.kore.ai/blog/what-is-ai-observability</w:t>
        </w:r>
      </w:hyperlink>
      <w:r w:rsidDel="00000000" w:rsidR="00000000" w:rsidRPr="00000000">
        <w:rPr>
          <w:rtl w:val="0"/>
        </w:rPr>
      </w:r>
    </w:p>
    <w:p w:rsidR="00000000" w:rsidDel="00000000" w:rsidP="00000000" w:rsidRDefault="00000000" w:rsidRPr="00000000" w14:paraId="000000D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Observability vs Monitoring - Difference Between Data-Based Processes - AWS, accessed March 19, 2026, </w:t>
      </w:r>
      <w:hyperlink r:id="rId10">
        <w:r w:rsidDel="00000000" w:rsidR="00000000" w:rsidRPr="00000000">
          <w:rPr>
            <w:rFonts w:ascii="Google Sans" w:cs="Google Sans" w:eastAsia="Google Sans" w:hAnsi="Google Sans"/>
            <w:color w:val="0000ee"/>
            <w:sz w:val="24"/>
            <w:szCs w:val="24"/>
            <w:u w:val="single"/>
            <w:rtl w:val="0"/>
          </w:rPr>
          <w:t xml:space="preserve">https://aws.amazon.com/compare/the-difference-between-monitoring-and-observability/</w:t>
        </w:r>
      </w:hyperlink>
      <w:r w:rsidDel="00000000" w:rsidR="00000000" w:rsidRPr="00000000">
        <w:rPr>
          <w:rtl w:val="0"/>
        </w:rPr>
      </w:r>
    </w:p>
    <w:p w:rsidR="00000000" w:rsidDel="00000000" w:rsidP="00000000" w:rsidRDefault="00000000" w:rsidRPr="00000000" w14:paraId="000000D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Observability vs. Monitoring: What's the Difference? - New Relic, accessed March 19, 2026, </w:t>
      </w:r>
      <w:hyperlink r:id="rId11">
        <w:r w:rsidDel="00000000" w:rsidR="00000000" w:rsidRPr="00000000">
          <w:rPr>
            <w:rFonts w:ascii="Google Sans" w:cs="Google Sans" w:eastAsia="Google Sans" w:hAnsi="Google Sans"/>
            <w:color w:val="0000ee"/>
            <w:sz w:val="24"/>
            <w:szCs w:val="24"/>
            <w:u w:val="single"/>
            <w:rtl w:val="0"/>
          </w:rPr>
          <w:t xml:space="preserve">https://newrelic.com/blog/observability/observability-vs-monitoring</w:t>
        </w:r>
      </w:hyperlink>
      <w:r w:rsidDel="00000000" w:rsidR="00000000" w:rsidRPr="00000000">
        <w:rPr>
          <w:rtl w:val="0"/>
        </w:rPr>
      </w:r>
    </w:p>
    <w:p w:rsidR="00000000" w:rsidDel="00000000" w:rsidP="00000000" w:rsidRDefault="00000000" w:rsidRPr="00000000" w14:paraId="000000D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Observability vs Monitoring: 5 Key Differences and Key Synergies - Selector AI, accessed March 19, 2026, </w:t>
      </w:r>
      <w:hyperlink r:id="rId12">
        <w:r w:rsidDel="00000000" w:rsidR="00000000" w:rsidRPr="00000000">
          <w:rPr>
            <w:rFonts w:ascii="Google Sans" w:cs="Google Sans" w:eastAsia="Google Sans" w:hAnsi="Google Sans"/>
            <w:color w:val="0000ee"/>
            <w:sz w:val="24"/>
            <w:szCs w:val="24"/>
            <w:u w:val="single"/>
            <w:rtl w:val="0"/>
          </w:rPr>
          <w:t xml:space="preserve">https://www.selector.ai/learning-center/observability-vs-monitoring-5-key-differences-and-key-synergies/</w:t>
        </w:r>
      </w:hyperlink>
      <w:r w:rsidDel="00000000" w:rsidR="00000000" w:rsidRPr="00000000">
        <w:rPr>
          <w:rtl w:val="0"/>
        </w:rPr>
      </w:r>
    </w:p>
    <w:p w:rsidR="00000000" w:rsidDel="00000000" w:rsidP="00000000" w:rsidRDefault="00000000" w:rsidRPr="00000000" w14:paraId="000000D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Observability vs. Monitoring: What's the Difference? - IBM, accessed March 19, 2026, </w:t>
      </w:r>
      <w:hyperlink r:id="rId13">
        <w:r w:rsidDel="00000000" w:rsidR="00000000" w:rsidRPr="00000000">
          <w:rPr>
            <w:rFonts w:ascii="Google Sans" w:cs="Google Sans" w:eastAsia="Google Sans" w:hAnsi="Google Sans"/>
            <w:color w:val="0000ee"/>
            <w:sz w:val="24"/>
            <w:szCs w:val="24"/>
            <w:u w:val="single"/>
            <w:rtl w:val="0"/>
          </w:rPr>
          <w:t xml:space="preserve">https://www.ibm.com/think/topics/observability-vs-monitoring</w:t>
        </w:r>
      </w:hyperlink>
      <w:r w:rsidDel="00000000" w:rsidR="00000000" w:rsidRPr="00000000">
        <w:rPr>
          <w:rtl w:val="0"/>
        </w:rPr>
      </w:r>
    </w:p>
    <w:p w:rsidR="00000000" w:rsidDel="00000000" w:rsidP="00000000" w:rsidRDefault="00000000" w:rsidRPr="00000000" w14:paraId="000000D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Production AI Reality Check: Why 80% of AI Projects Fail to Reach Production - Medium, accessed March 19, 2026, </w:t>
      </w:r>
      <w:hyperlink r:id="rId14">
        <w:r w:rsidDel="00000000" w:rsidR="00000000" w:rsidRPr="00000000">
          <w:rPr>
            <w:rFonts w:ascii="Google Sans" w:cs="Google Sans" w:eastAsia="Google Sans" w:hAnsi="Google Sans"/>
            <w:color w:val="0000ee"/>
            <w:sz w:val="24"/>
            <w:szCs w:val="24"/>
            <w:u w:val="single"/>
            <w:rtl w:val="0"/>
          </w:rPr>
          <w:t xml:space="preserve">https://medium.com/@archie.kandala/the-production-ai-reality-check-why-80-of-ai-projects-fail-to-reach-production-849daa80b0f3</w:t>
        </w:r>
      </w:hyperlink>
      <w:r w:rsidDel="00000000" w:rsidR="00000000" w:rsidRPr="00000000">
        <w:rPr>
          <w:rtl w:val="0"/>
        </w:rPr>
      </w:r>
    </w:p>
    <w:p w:rsidR="00000000" w:rsidDel="00000000" w:rsidP="00000000" w:rsidRDefault="00000000" w:rsidRPr="00000000" w14:paraId="000000D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MLOps Guide to Transform Model Failures Into Production Success - Galileo AI, accessed March 19, 2026, </w:t>
      </w:r>
      <w:hyperlink r:id="rId15">
        <w:r w:rsidDel="00000000" w:rsidR="00000000" w:rsidRPr="00000000">
          <w:rPr>
            <w:rFonts w:ascii="Google Sans" w:cs="Google Sans" w:eastAsia="Google Sans" w:hAnsi="Google Sans"/>
            <w:color w:val="0000ee"/>
            <w:sz w:val="24"/>
            <w:szCs w:val="24"/>
            <w:u w:val="single"/>
            <w:rtl w:val="0"/>
          </w:rPr>
          <w:t xml:space="preserve">https://galileo.ai/blog/mlops-operationalizing-machine-learning</w:t>
        </w:r>
      </w:hyperlink>
      <w:r w:rsidDel="00000000" w:rsidR="00000000" w:rsidRPr="00000000">
        <w:rPr>
          <w:rtl w:val="0"/>
        </w:rPr>
      </w:r>
    </w:p>
    <w:p w:rsidR="00000000" w:rsidDel="00000000" w:rsidP="00000000" w:rsidRDefault="00000000" w:rsidRPr="00000000" w14:paraId="000000D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causes poor AI model performance? - BlueGen AI, accessed March 19, 2026, </w:t>
      </w:r>
      <w:hyperlink r:id="rId16">
        <w:r w:rsidDel="00000000" w:rsidR="00000000" w:rsidRPr="00000000">
          <w:rPr>
            <w:rFonts w:ascii="Google Sans" w:cs="Google Sans" w:eastAsia="Google Sans" w:hAnsi="Google Sans"/>
            <w:color w:val="0000ee"/>
            <w:sz w:val="24"/>
            <w:szCs w:val="24"/>
            <w:u w:val="single"/>
            <w:rtl w:val="0"/>
          </w:rPr>
          <w:t xml:space="preserve">https://bluegen.ai/what-causes-poor-ai-model-performance/</w:t>
        </w:r>
      </w:hyperlink>
      <w:r w:rsidDel="00000000" w:rsidR="00000000" w:rsidRPr="00000000">
        <w:rPr>
          <w:rtl w:val="0"/>
        </w:rPr>
      </w:r>
    </w:p>
    <w:p w:rsidR="00000000" w:rsidDel="00000000" w:rsidP="00000000" w:rsidRDefault="00000000" w:rsidRPr="00000000" w14:paraId="000000D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ROI Metrics for Small Businesses - Lucid, accessed March 19, 2026, </w:t>
      </w:r>
      <w:hyperlink r:id="rId17">
        <w:r w:rsidDel="00000000" w:rsidR="00000000" w:rsidRPr="00000000">
          <w:rPr>
            <w:rFonts w:ascii="Google Sans" w:cs="Google Sans" w:eastAsia="Google Sans" w:hAnsi="Google Sans"/>
            <w:color w:val="0000ee"/>
            <w:sz w:val="24"/>
            <w:szCs w:val="24"/>
            <w:u w:val="single"/>
            <w:rtl w:val="0"/>
          </w:rPr>
          <w:t xml:space="preserve">https://www.lucid.now/blog/ai-roi-metrics-for-small-businesses/</w:t>
        </w:r>
      </w:hyperlink>
      <w:r w:rsidDel="00000000" w:rsidR="00000000" w:rsidRPr="00000000">
        <w:rPr>
          <w:rtl w:val="0"/>
        </w:rPr>
      </w:r>
    </w:p>
    <w:p w:rsidR="00000000" w:rsidDel="00000000" w:rsidP="00000000" w:rsidRDefault="00000000" w:rsidRPr="00000000" w14:paraId="000000D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State of Observability 2025: Unlocking AI Trust and ROI - Dynatrace, accessed March 19, 2026, </w:t>
      </w:r>
      <w:hyperlink r:id="rId18">
        <w:r w:rsidDel="00000000" w:rsidR="00000000" w:rsidRPr="00000000">
          <w:rPr>
            <w:rFonts w:ascii="Google Sans" w:cs="Google Sans" w:eastAsia="Google Sans" w:hAnsi="Google Sans"/>
            <w:color w:val="0000ee"/>
            <w:sz w:val="24"/>
            <w:szCs w:val="24"/>
            <w:u w:val="single"/>
            <w:rtl w:val="0"/>
          </w:rPr>
          <w:t xml:space="preserve">https://www.dynatrace.com/news/blog/state-of-observability-2025-ai-trust-roi/</w:t>
        </w:r>
      </w:hyperlink>
      <w:r w:rsidDel="00000000" w:rsidR="00000000" w:rsidRPr="00000000">
        <w:rPr>
          <w:rtl w:val="0"/>
        </w:rPr>
      </w:r>
    </w:p>
    <w:p w:rsidR="00000000" w:rsidDel="00000000" w:rsidP="00000000" w:rsidRDefault="00000000" w:rsidRPr="00000000" w14:paraId="000000E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Observability for AI Workloads: A New Paradigm for a New Era, accessed March 19, 2026, </w:t>
      </w:r>
      <w:hyperlink r:id="rId19">
        <w:r w:rsidDel="00000000" w:rsidR="00000000" w:rsidRPr="00000000">
          <w:rPr>
            <w:rFonts w:ascii="Google Sans" w:cs="Google Sans" w:eastAsia="Google Sans" w:hAnsi="Google Sans"/>
            <w:color w:val="0000ee"/>
            <w:sz w:val="24"/>
            <w:szCs w:val="24"/>
            <w:u w:val="single"/>
            <w:rtl w:val="0"/>
          </w:rPr>
          <w:t xml:space="preserve">https://horovits.medium.com/observability-for-ai-workloads-a-new-paradigm-for-a-new-era-b8972ba1b6ba</w:t>
        </w:r>
      </w:hyperlink>
      <w:r w:rsidDel="00000000" w:rsidR="00000000" w:rsidRPr="00000000">
        <w:rPr>
          <w:rtl w:val="0"/>
        </w:rPr>
      </w:r>
    </w:p>
    <w:p w:rsidR="00000000" w:rsidDel="00000000" w:rsidP="00000000" w:rsidRDefault="00000000" w:rsidRPr="00000000" w14:paraId="000000E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Data Drift vs. Concept Drift in Machine Learning - InsightFinder AI, accessed March 19, 2026, </w:t>
      </w:r>
      <w:hyperlink r:id="rId20">
        <w:r w:rsidDel="00000000" w:rsidR="00000000" w:rsidRPr="00000000">
          <w:rPr>
            <w:rFonts w:ascii="Google Sans" w:cs="Google Sans" w:eastAsia="Google Sans" w:hAnsi="Google Sans"/>
            <w:color w:val="0000ee"/>
            <w:sz w:val="24"/>
            <w:szCs w:val="24"/>
            <w:u w:val="single"/>
            <w:rtl w:val="0"/>
          </w:rPr>
          <w:t xml:space="preserve">https://insightfinder.com/blog/machine-learning-data-drift-vs-concept-drift/</w:t>
        </w:r>
      </w:hyperlink>
      <w:r w:rsidDel="00000000" w:rsidR="00000000" w:rsidRPr="00000000">
        <w:rPr>
          <w:rtl w:val="0"/>
        </w:rPr>
      </w:r>
    </w:p>
    <w:p w:rsidR="00000000" w:rsidDel="00000000" w:rsidP="00000000" w:rsidRDefault="00000000" w:rsidRPr="00000000" w14:paraId="000000E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Observability: What You Need to Know - Knostic, accessed March 19, 2026, </w:t>
      </w:r>
      <w:hyperlink r:id="rId21">
        <w:r w:rsidDel="00000000" w:rsidR="00000000" w:rsidRPr="00000000">
          <w:rPr>
            <w:rFonts w:ascii="Google Sans" w:cs="Google Sans" w:eastAsia="Google Sans" w:hAnsi="Google Sans"/>
            <w:color w:val="0000ee"/>
            <w:sz w:val="24"/>
            <w:szCs w:val="24"/>
            <w:u w:val="single"/>
            <w:rtl w:val="0"/>
          </w:rPr>
          <w:t xml:space="preserve">https://www.knostic.ai/blog/ai-observability</w:t>
        </w:r>
      </w:hyperlink>
      <w:r w:rsidDel="00000000" w:rsidR="00000000" w:rsidRPr="00000000">
        <w:rPr>
          <w:rtl w:val="0"/>
        </w:rPr>
      </w:r>
    </w:p>
    <w:p w:rsidR="00000000" w:rsidDel="00000000" w:rsidP="00000000" w:rsidRDefault="00000000" w:rsidRPr="00000000" w14:paraId="000000E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NIST vs EU AI Act: Which AI Risk Framework Should You Follow? - MagicMirror, accessed March 19, 2026, </w:t>
      </w:r>
      <w:hyperlink r:id="rId22">
        <w:r w:rsidDel="00000000" w:rsidR="00000000" w:rsidRPr="00000000">
          <w:rPr>
            <w:rFonts w:ascii="Google Sans" w:cs="Google Sans" w:eastAsia="Google Sans" w:hAnsi="Google Sans"/>
            <w:color w:val="0000ee"/>
            <w:sz w:val="24"/>
            <w:szCs w:val="24"/>
            <w:u w:val="single"/>
            <w:rtl w:val="0"/>
          </w:rPr>
          <w:t xml:space="preserve">https://www.magicmirror.team/blog/nist-vs-eu-ai-act-which-ai-risk-framework-should-you-follow</w:t>
        </w:r>
      </w:hyperlink>
      <w:r w:rsidDel="00000000" w:rsidR="00000000" w:rsidRPr="00000000">
        <w:rPr>
          <w:rtl w:val="0"/>
        </w:rPr>
      </w:r>
    </w:p>
    <w:p w:rsidR="00000000" w:rsidDel="00000000" w:rsidP="00000000" w:rsidRDefault="00000000" w:rsidRPr="00000000" w14:paraId="000000E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Biggest AI Fails of 2025: Lessons from Billions in Losses - NineTwoThree Studio, accessed March 19, 2026, </w:t>
      </w:r>
      <w:hyperlink r:id="rId23">
        <w:r w:rsidDel="00000000" w:rsidR="00000000" w:rsidRPr="00000000">
          <w:rPr>
            <w:rFonts w:ascii="Google Sans" w:cs="Google Sans" w:eastAsia="Google Sans" w:hAnsi="Google Sans"/>
            <w:color w:val="0000ee"/>
            <w:sz w:val="24"/>
            <w:szCs w:val="24"/>
            <w:u w:val="single"/>
            <w:rtl w:val="0"/>
          </w:rPr>
          <w:t xml:space="preserve">https://www.ninetwothree.co/blog/ai-fails</w:t>
        </w:r>
      </w:hyperlink>
      <w:r w:rsidDel="00000000" w:rsidR="00000000" w:rsidRPr="00000000">
        <w:rPr>
          <w:rtl w:val="0"/>
        </w:rPr>
      </w:r>
    </w:p>
    <w:p w:rsidR="00000000" w:rsidDel="00000000" w:rsidP="00000000" w:rsidRDefault="00000000" w:rsidRPr="00000000" w14:paraId="000000E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What’s observability? And why should I care if I’ve got AI?, accessed March 19, 2026, </w:t>
      </w:r>
      <w:hyperlink r:id="rId24">
        <w:r w:rsidDel="00000000" w:rsidR="00000000" w:rsidRPr="00000000">
          <w:rPr>
            <w:rFonts w:ascii="Google Sans" w:cs="Google Sans" w:eastAsia="Google Sans" w:hAnsi="Google Sans"/>
            <w:color w:val="0000ee"/>
            <w:sz w:val="24"/>
            <w:szCs w:val="24"/>
            <w:u w:val="single"/>
            <w:rtl w:val="0"/>
          </w:rPr>
          <w:t xml:space="preserve">https://technative.io/whats-observability-and-why-should-i-care-if-ive-got-ai/</w:t>
        </w:r>
      </w:hyperlink>
      <w:r w:rsidDel="00000000" w:rsidR="00000000" w:rsidRPr="00000000">
        <w:rPr>
          <w:rtl w:val="0"/>
        </w:rPr>
      </w:r>
    </w:p>
    <w:p w:rsidR="00000000" w:rsidDel="00000000" w:rsidP="00000000" w:rsidRDefault="00000000" w:rsidRPr="00000000" w14:paraId="000000E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 ISO 42001 &amp; NIST AI RMF to Help with the EU AI Act - Cloud Security Alliance (CSA), accessed March 19, 2026, </w:t>
      </w:r>
      <w:hyperlink r:id="rId25">
        <w:r w:rsidDel="00000000" w:rsidR="00000000" w:rsidRPr="00000000">
          <w:rPr>
            <w:rFonts w:ascii="Google Sans" w:cs="Google Sans" w:eastAsia="Google Sans" w:hAnsi="Google Sans"/>
            <w:color w:val="0000ee"/>
            <w:sz w:val="24"/>
            <w:szCs w:val="24"/>
            <w:u w:val="single"/>
            <w:rtl w:val="0"/>
          </w:rPr>
          <w:t xml:space="preserve">https://cloudsecurityalliance.org/blog/2025/01/29/how-can-iso-iec-42001-nist-ai-rmf-help-comply-with-the-eu-ai-act</w:t>
        </w:r>
      </w:hyperlink>
      <w:r w:rsidDel="00000000" w:rsidR="00000000" w:rsidRPr="00000000">
        <w:rPr>
          <w:rtl w:val="0"/>
        </w:rPr>
      </w:r>
    </w:p>
    <w:p w:rsidR="00000000" w:rsidDel="00000000" w:rsidP="00000000" w:rsidRDefault="00000000" w:rsidRPr="00000000" w14:paraId="000000E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March 19, 2026, </w:t>
      </w:r>
      <w:hyperlink r:id="rId26">
        <w:r w:rsidDel="00000000" w:rsidR="00000000" w:rsidRPr="00000000">
          <w:rPr>
            <w:rFonts w:ascii="Google Sans" w:cs="Google Sans" w:eastAsia="Google Sans" w:hAnsi="Google Sans"/>
            <w:color w:val="0000ee"/>
            <w:sz w:val="24"/>
            <w:szCs w:val="24"/>
            <w:u w:val="single"/>
            <w:rtl w:val="0"/>
          </w:rPr>
          <w:t xml:space="preserve">https://www.eccouncil.org/cybersecurity-exchange/responsible-ai-governance/eu-ai-act-nist-ai-rmf-and-iso-iec-42001-a-plain-english-comparison/#:~:text=Providers%20and%20users%20of%20high,risk%20AI%20on%20the%20market.</w:t>
        </w:r>
      </w:hyperlink>
      <w:r w:rsidDel="00000000" w:rsidR="00000000" w:rsidRPr="00000000">
        <w:rPr>
          <w:rtl w:val="0"/>
        </w:rPr>
      </w:r>
    </w:p>
    <w:p w:rsidR="00000000" w:rsidDel="00000000" w:rsidP="00000000" w:rsidRDefault="00000000" w:rsidRPr="00000000" w14:paraId="000000E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EU AI Act, NIST RMF and ISO/IEC 42000: A Plain English Comparison - EC-Council, accessed March 19, 2026, </w:t>
      </w:r>
      <w:hyperlink r:id="rId27">
        <w:r w:rsidDel="00000000" w:rsidR="00000000" w:rsidRPr="00000000">
          <w:rPr>
            <w:rFonts w:ascii="Google Sans" w:cs="Google Sans" w:eastAsia="Google Sans" w:hAnsi="Google Sans"/>
            <w:color w:val="0000ee"/>
            <w:sz w:val="24"/>
            <w:szCs w:val="24"/>
            <w:u w:val="single"/>
            <w:rtl w:val="0"/>
          </w:rPr>
          <w:t xml:space="preserve">https://www.eccouncil.org/cybersecurity-exchange/responsible-ai-governance/eu-ai-act-nist-ai-rmf-and-iso-iec-42001-a-plain-english-comparison/</w:t>
        </w:r>
      </w:hyperlink>
      <w:r w:rsidDel="00000000" w:rsidR="00000000" w:rsidRPr="00000000">
        <w:rPr>
          <w:rtl w:val="0"/>
        </w:rPr>
      </w:r>
    </w:p>
    <w:p w:rsidR="00000000" w:rsidDel="00000000" w:rsidP="00000000" w:rsidRDefault="00000000" w:rsidRPr="00000000" w14:paraId="000000E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High-level summary of the AI Act | EU Artificial Intelligence Act, accessed March 19, 2026, </w:t>
      </w:r>
      <w:hyperlink r:id="rId28">
        <w:r w:rsidDel="00000000" w:rsidR="00000000" w:rsidRPr="00000000">
          <w:rPr>
            <w:rFonts w:ascii="Google Sans" w:cs="Google Sans" w:eastAsia="Google Sans" w:hAnsi="Google Sans"/>
            <w:color w:val="0000ee"/>
            <w:sz w:val="24"/>
            <w:szCs w:val="24"/>
            <w:u w:val="single"/>
            <w:rtl w:val="0"/>
          </w:rPr>
          <w:t xml:space="preserve">https://artificialintelligenceact.eu/high-level-summary/</w:t>
        </w:r>
      </w:hyperlink>
      <w:r w:rsidDel="00000000" w:rsidR="00000000" w:rsidRPr="00000000">
        <w:rPr>
          <w:rtl w:val="0"/>
        </w:rPr>
      </w:r>
    </w:p>
    <w:p w:rsidR="00000000" w:rsidDel="00000000" w:rsidP="00000000" w:rsidRDefault="00000000" w:rsidRPr="00000000" w14:paraId="000000E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Observability Tools: Top 10 Software Observability Tools of 2025 - vFunction, accessed March 19, 2026, </w:t>
      </w:r>
      <w:hyperlink r:id="rId29">
        <w:r w:rsidDel="00000000" w:rsidR="00000000" w:rsidRPr="00000000">
          <w:rPr>
            <w:rFonts w:ascii="Google Sans" w:cs="Google Sans" w:eastAsia="Google Sans" w:hAnsi="Google Sans"/>
            <w:color w:val="0000ee"/>
            <w:sz w:val="24"/>
            <w:szCs w:val="24"/>
            <w:u w:val="single"/>
            <w:rtl w:val="0"/>
          </w:rPr>
          <w:t xml:space="preserve">https://vfunction.com/blog/software-observability-tools/</w:t>
        </w:r>
      </w:hyperlink>
      <w:r w:rsidDel="00000000" w:rsidR="00000000" w:rsidRPr="00000000">
        <w:rPr>
          <w:rtl w:val="0"/>
        </w:rPr>
      </w:r>
    </w:p>
    <w:p w:rsidR="00000000" w:rsidDel="00000000" w:rsidP="00000000" w:rsidRDefault="00000000" w:rsidRPr="00000000" w14:paraId="000000E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three pillars of AI observability - Blog - Braintrust, accessed March 19, 2026, </w:t>
      </w:r>
      <w:hyperlink r:id="rId30">
        <w:r w:rsidDel="00000000" w:rsidR="00000000" w:rsidRPr="00000000">
          <w:rPr>
            <w:rFonts w:ascii="Google Sans" w:cs="Google Sans" w:eastAsia="Google Sans" w:hAnsi="Google Sans"/>
            <w:color w:val="0000ee"/>
            <w:sz w:val="24"/>
            <w:szCs w:val="24"/>
            <w:u w:val="single"/>
            <w:rtl w:val="0"/>
          </w:rPr>
          <w:t xml:space="preserve">https://www.braintrust.dev/blog/three-pillars-ai-observability</w:t>
        </w:r>
      </w:hyperlink>
      <w:r w:rsidDel="00000000" w:rsidR="00000000" w:rsidRPr="00000000">
        <w:rPr>
          <w:rtl w:val="0"/>
        </w:rPr>
      </w:r>
    </w:p>
    <w:p w:rsidR="00000000" w:rsidDel="00000000" w:rsidP="00000000" w:rsidRDefault="00000000" w:rsidRPr="00000000" w14:paraId="000000E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observability: Why traditional monitoring isn't enough - Articles ..., accessed March 19, 2026, </w:t>
      </w:r>
      <w:hyperlink r:id="rId31">
        <w:r w:rsidDel="00000000" w:rsidR="00000000" w:rsidRPr="00000000">
          <w:rPr>
            <w:rFonts w:ascii="Google Sans" w:cs="Google Sans" w:eastAsia="Google Sans" w:hAnsi="Google Sans"/>
            <w:color w:val="0000ee"/>
            <w:sz w:val="24"/>
            <w:szCs w:val="24"/>
            <w:u w:val="single"/>
            <w:rtl w:val="0"/>
          </w:rPr>
          <w:t xml:space="preserve">https://www.braintrust.dev/articles/ai-observability-monitoring</w:t>
        </w:r>
      </w:hyperlink>
      <w:r w:rsidDel="00000000" w:rsidR="00000000" w:rsidRPr="00000000">
        <w:rPr>
          <w:rtl w:val="0"/>
        </w:rPr>
      </w:r>
    </w:p>
    <w:p w:rsidR="00000000" w:rsidDel="00000000" w:rsidP="00000000" w:rsidRDefault="00000000" w:rsidRPr="00000000" w14:paraId="000000E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Drift vs. Concept Drift: What Is the Difference? - Dataversity, accessed March 19, 2026, </w:t>
      </w:r>
      <w:hyperlink r:id="rId32">
        <w:r w:rsidDel="00000000" w:rsidR="00000000" w:rsidRPr="00000000">
          <w:rPr>
            <w:rFonts w:ascii="Google Sans" w:cs="Google Sans" w:eastAsia="Google Sans" w:hAnsi="Google Sans"/>
            <w:color w:val="0000ee"/>
            <w:sz w:val="24"/>
            <w:szCs w:val="24"/>
            <w:u w:val="single"/>
            <w:rtl w:val="0"/>
          </w:rPr>
          <w:t xml:space="preserve">https://www.dataversity.net/articles/data-drift-vs-concept-drift-what-is-the-difference/</w:t>
        </w:r>
      </w:hyperlink>
      <w:r w:rsidDel="00000000" w:rsidR="00000000" w:rsidRPr="00000000">
        <w:rPr>
          <w:rtl w:val="0"/>
        </w:rPr>
      </w:r>
    </w:p>
    <w:p w:rsidR="00000000" w:rsidDel="00000000" w:rsidP="00000000" w:rsidRDefault="00000000" w:rsidRPr="00000000" w14:paraId="000000E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data drift in ML, and how to detect and handle it - Evidently AI, accessed March 19, 2026, </w:t>
      </w:r>
      <w:hyperlink r:id="rId33">
        <w:r w:rsidDel="00000000" w:rsidR="00000000" w:rsidRPr="00000000">
          <w:rPr>
            <w:rFonts w:ascii="Google Sans" w:cs="Google Sans" w:eastAsia="Google Sans" w:hAnsi="Google Sans"/>
            <w:color w:val="0000ee"/>
            <w:sz w:val="24"/>
            <w:szCs w:val="24"/>
            <w:u w:val="single"/>
            <w:rtl w:val="0"/>
          </w:rPr>
          <w:t xml:space="preserve">https://www.evidentlyai.com/ml-in-production/data-drift</w:t>
        </w:r>
      </w:hyperlink>
      <w:r w:rsidDel="00000000" w:rsidR="00000000" w:rsidRPr="00000000">
        <w:rPr>
          <w:rtl w:val="0"/>
        </w:rPr>
      </w:r>
    </w:p>
    <w:p w:rsidR="00000000" w:rsidDel="00000000" w:rsidP="00000000" w:rsidRDefault="00000000" w:rsidRPr="00000000" w14:paraId="000000E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Comparing Model vs Data Drift and Best Detection Practices | Galileo, accessed March 19, 2026, </w:t>
      </w:r>
      <w:hyperlink r:id="rId34">
        <w:r w:rsidDel="00000000" w:rsidR="00000000" w:rsidRPr="00000000">
          <w:rPr>
            <w:rFonts w:ascii="Google Sans" w:cs="Google Sans" w:eastAsia="Google Sans" w:hAnsi="Google Sans"/>
            <w:color w:val="0000ee"/>
            <w:sz w:val="24"/>
            <w:szCs w:val="24"/>
            <w:u w:val="single"/>
            <w:rtl w:val="0"/>
          </w:rPr>
          <w:t xml:space="preserve">https://galileo.ai/blog/model-vs-data-drift-detection</w:t>
        </w:r>
      </w:hyperlink>
      <w:r w:rsidDel="00000000" w:rsidR="00000000" w:rsidRPr="00000000">
        <w:rPr>
          <w:rtl w:val="0"/>
        </w:rPr>
      </w:r>
    </w:p>
    <w:p w:rsidR="00000000" w:rsidDel="00000000" w:rsidP="00000000" w:rsidRDefault="00000000" w:rsidRPr="00000000" w14:paraId="000000F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Model Drift &amp; Retraining: A Guide for ML System Maintenance - SmartDev, accessed March 19, 2026, </w:t>
      </w:r>
      <w:hyperlink r:id="rId35">
        <w:r w:rsidDel="00000000" w:rsidR="00000000" w:rsidRPr="00000000">
          <w:rPr>
            <w:rFonts w:ascii="Google Sans" w:cs="Google Sans" w:eastAsia="Google Sans" w:hAnsi="Google Sans"/>
            <w:color w:val="0000ee"/>
            <w:sz w:val="24"/>
            <w:szCs w:val="24"/>
            <w:u w:val="single"/>
            <w:rtl w:val="0"/>
          </w:rPr>
          <w:t xml:space="preserve">https://smartdev.com/ai-model-drift-retraining-a-guide-for-ml-system-maintenance/</w:t>
        </w:r>
      </w:hyperlink>
      <w:r w:rsidDel="00000000" w:rsidR="00000000" w:rsidRPr="00000000">
        <w:rPr>
          <w:rtl w:val="0"/>
        </w:rPr>
      </w:r>
    </w:p>
    <w:p w:rsidR="00000000" w:rsidDel="00000000" w:rsidP="00000000" w:rsidRDefault="00000000" w:rsidRPr="00000000" w14:paraId="000000F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Continuous Evaluation and Drift Monitoring - Agility at Scale, accessed March 19, 2026, </w:t>
      </w:r>
      <w:hyperlink r:id="rId36">
        <w:r w:rsidDel="00000000" w:rsidR="00000000" w:rsidRPr="00000000">
          <w:rPr>
            <w:rFonts w:ascii="Google Sans" w:cs="Google Sans" w:eastAsia="Google Sans" w:hAnsi="Google Sans"/>
            <w:color w:val="0000ee"/>
            <w:sz w:val="24"/>
            <w:szCs w:val="24"/>
            <w:u w:val="single"/>
            <w:rtl w:val="0"/>
          </w:rPr>
          <w:t xml:space="preserve">https://agility-at-scale.com/ai/generative/continuous-evaluation-and-drift-monitoring/</w:t>
        </w:r>
      </w:hyperlink>
      <w:r w:rsidDel="00000000" w:rsidR="00000000" w:rsidRPr="00000000">
        <w:rPr>
          <w:rtl w:val="0"/>
        </w:rPr>
      </w:r>
    </w:p>
    <w:p w:rsidR="00000000" w:rsidDel="00000000" w:rsidP="00000000" w:rsidRDefault="00000000" w:rsidRPr="00000000" w14:paraId="000000F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Observability: A Complete Guide for 2026 - UptimeRobot Knowledge Hub, accessed March 19, 2026, </w:t>
      </w:r>
      <w:hyperlink r:id="rId37">
        <w:r w:rsidDel="00000000" w:rsidR="00000000" w:rsidRPr="00000000">
          <w:rPr>
            <w:rFonts w:ascii="Google Sans" w:cs="Google Sans" w:eastAsia="Google Sans" w:hAnsi="Google Sans"/>
            <w:color w:val="0000ee"/>
            <w:sz w:val="24"/>
            <w:szCs w:val="24"/>
            <w:u w:val="single"/>
            <w:rtl w:val="0"/>
          </w:rPr>
          <w:t xml:space="preserve">https://uptimerobot.com/knowledge-hub/observability/ai-observability-the-complete-guide/</w:t>
        </w:r>
      </w:hyperlink>
      <w:r w:rsidDel="00000000" w:rsidR="00000000" w:rsidRPr="00000000">
        <w:rPr>
          <w:rtl w:val="0"/>
        </w:rPr>
      </w:r>
    </w:p>
    <w:p w:rsidR="00000000" w:rsidDel="00000000" w:rsidP="00000000" w:rsidRDefault="00000000" w:rsidRPr="00000000" w14:paraId="000000F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Observability: Key Components, Challenges &amp; Best Practices - Coralogix, accessed March 19, 2026, </w:t>
      </w:r>
      <w:hyperlink r:id="rId38">
        <w:r w:rsidDel="00000000" w:rsidR="00000000" w:rsidRPr="00000000">
          <w:rPr>
            <w:rFonts w:ascii="Google Sans" w:cs="Google Sans" w:eastAsia="Google Sans" w:hAnsi="Google Sans"/>
            <w:color w:val="0000ee"/>
            <w:sz w:val="24"/>
            <w:szCs w:val="24"/>
            <w:u w:val="single"/>
            <w:rtl w:val="0"/>
          </w:rPr>
          <w:t xml:space="preserve">https://coralogix.com/guides/aiops/ai-observability/</w:t>
        </w:r>
      </w:hyperlink>
      <w:r w:rsidDel="00000000" w:rsidR="00000000" w:rsidRPr="00000000">
        <w:rPr>
          <w:rtl w:val="0"/>
        </w:rPr>
      </w:r>
    </w:p>
    <w:p w:rsidR="00000000" w:rsidDel="00000000" w:rsidP="00000000" w:rsidRDefault="00000000" w:rsidRPr="00000000" w14:paraId="000000F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LIME vs SHAP: What's the Difference for Model Interpretability? - ApX Machine Learning, accessed March 19, 2026, </w:t>
      </w:r>
      <w:hyperlink r:id="rId39">
        <w:r w:rsidDel="00000000" w:rsidR="00000000" w:rsidRPr="00000000">
          <w:rPr>
            <w:rFonts w:ascii="Google Sans" w:cs="Google Sans" w:eastAsia="Google Sans" w:hAnsi="Google Sans"/>
            <w:color w:val="0000ee"/>
            <w:sz w:val="24"/>
            <w:szCs w:val="24"/>
            <w:u w:val="single"/>
            <w:rtl w:val="0"/>
          </w:rPr>
          <w:t xml:space="preserve">https://apxml.com/posts/lime-vs-shap-difference-interpretability</w:t>
        </w:r>
      </w:hyperlink>
      <w:r w:rsidDel="00000000" w:rsidR="00000000" w:rsidRPr="00000000">
        <w:rPr>
          <w:rtl w:val="0"/>
        </w:rPr>
      </w:r>
    </w:p>
    <w:p w:rsidR="00000000" w:rsidDel="00000000" w:rsidP="00000000" w:rsidRDefault="00000000" w:rsidRPr="00000000" w14:paraId="000000F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 you explain the difference between SHAP and LIME in feature attribution? - Infermatic, accessed March 19, 2026, </w:t>
      </w:r>
      <w:hyperlink r:id="rId40">
        <w:r w:rsidDel="00000000" w:rsidR="00000000" w:rsidRPr="00000000">
          <w:rPr>
            <w:rFonts w:ascii="Google Sans" w:cs="Google Sans" w:eastAsia="Google Sans" w:hAnsi="Google Sans"/>
            <w:color w:val="0000ee"/>
            <w:sz w:val="24"/>
            <w:szCs w:val="24"/>
            <w:u w:val="single"/>
            <w:rtl w:val="0"/>
          </w:rPr>
          <w:t xml:space="preserve">https://infermatic.ai/ask/?question=Can%20you%20explain%20the%20difference%20between%20SHAP%20and%20LIME%20in%20feature%20attribution?</w:t>
        </w:r>
      </w:hyperlink>
      <w:r w:rsidDel="00000000" w:rsidR="00000000" w:rsidRPr="00000000">
        <w:rPr>
          <w:rtl w:val="0"/>
        </w:rPr>
      </w:r>
    </w:p>
    <w:p w:rsidR="00000000" w:rsidDel="00000000" w:rsidP="00000000" w:rsidRDefault="00000000" w:rsidRPr="00000000" w14:paraId="000000F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March 19, 2026, </w:t>
      </w:r>
      <w:hyperlink r:id="rId41">
        <w:r w:rsidDel="00000000" w:rsidR="00000000" w:rsidRPr="00000000">
          <w:rPr>
            <w:rFonts w:ascii="Google Sans" w:cs="Google Sans" w:eastAsia="Google Sans" w:hAnsi="Google Sans"/>
            <w:color w:val="0000ee"/>
            <w:sz w:val="24"/>
            <w:szCs w:val="24"/>
            <w:u w:val="single"/>
            <w:rtl w:val="0"/>
          </w:rPr>
          <w:t xml:space="preserve">https://infermatic.ai/ask/?question=Can%20you%20explain%20the%20difference%20between%20SHAP%20and%20LIME%20in%20feature%20attribution?#:~:text=SHAP%20and%20LIME%20are%20both,explanations%20and%20is%20model%2Dagnostic.</w:t>
        </w:r>
      </w:hyperlink>
      <w:r w:rsidDel="00000000" w:rsidR="00000000" w:rsidRPr="00000000">
        <w:rPr>
          <w:rtl w:val="0"/>
        </w:rPr>
      </w:r>
    </w:p>
    <w:p w:rsidR="00000000" w:rsidDel="00000000" w:rsidP="00000000" w:rsidRDefault="00000000" w:rsidRPr="00000000" w14:paraId="000000F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Explainability In Machine Learning: Top Techniques - Arize AI, accessed March 19, 2026, </w:t>
      </w:r>
      <w:hyperlink r:id="rId42">
        <w:r w:rsidDel="00000000" w:rsidR="00000000" w:rsidRPr="00000000">
          <w:rPr>
            <w:rFonts w:ascii="Google Sans" w:cs="Google Sans" w:eastAsia="Google Sans" w:hAnsi="Google Sans"/>
            <w:color w:val="0000ee"/>
            <w:sz w:val="24"/>
            <w:szCs w:val="24"/>
            <w:u w:val="single"/>
            <w:rtl w:val="0"/>
          </w:rPr>
          <w:t xml:space="preserve">https://arize.com/blog-course/explainability-techniques-shap/</w:t>
        </w:r>
      </w:hyperlink>
      <w:r w:rsidDel="00000000" w:rsidR="00000000" w:rsidRPr="00000000">
        <w:rPr>
          <w:rtl w:val="0"/>
        </w:rPr>
      </w:r>
    </w:p>
    <w:p w:rsidR="00000000" w:rsidDel="00000000" w:rsidP="00000000" w:rsidRDefault="00000000" w:rsidRPr="00000000" w14:paraId="000000F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Complete Guide to AI Observability - Galileo AI: The AI ..., accessed March 19, 2026, </w:t>
      </w:r>
      <w:hyperlink r:id="rId43">
        <w:r w:rsidDel="00000000" w:rsidR="00000000" w:rsidRPr="00000000">
          <w:rPr>
            <w:rFonts w:ascii="Google Sans" w:cs="Google Sans" w:eastAsia="Google Sans" w:hAnsi="Google Sans"/>
            <w:color w:val="0000ee"/>
            <w:sz w:val="24"/>
            <w:szCs w:val="24"/>
            <w:u w:val="single"/>
            <w:rtl w:val="0"/>
          </w:rPr>
          <w:t xml:space="preserve">https://galileo.ai/learn/ai-observability</w:t>
        </w:r>
      </w:hyperlink>
      <w:r w:rsidDel="00000000" w:rsidR="00000000" w:rsidRPr="00000000">
        <w:rPr>
          <w:rtl w:val="0"/>
        </w:rPr>
      </w:r>
    </w:p>
    <w:p w:rsidR="00000000" w:rsidDel="00000000" w:rsidP="00000000" w:rsidRDefault="00000000" w:rsidRPr="00000000" w14:paraId="000000F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Complete Guide to AI Agent Observability and Monitoring - StackAI, accessed March 19, 2026, </w:t>
      </w:r>
      <w:hyperlink r:id="rId44">
        <w:r w:rsidDel="00000000" w:rsidR="00000000" w:rsidRPr="00000000">
          <w:rPr>
            <w:rFonts w:ascii="Google Sans" w:cs="Google Sans" w:eastAsia="Google Sans" w:hAnsi="Google Sans"/>
            <w:color w:val="0000ee"/>
            <w:sz w:val="24"/>
            <w:szCs w:val="24"/>
            <w:u w:val="single"/>
            <w:rtl w:val="0"/>
          </w:rPr>
          <w:t xml:space="preserve">https://www.stack-ai.com/insights/the-complete-guide-to-ai-agent-observability-and-monitoring</w:t>
        </w:r>
      </w:hyperlink>
      <w:r w:rsidDel="00000000" w:rsidR="00000000" w:rsidRPr="00000000">
        <w:rPr>
          <w:rtl w:val="0"/>
        </w:rPr>
      </w:r>
    </w:p>
    <w:p w:rsidR="00000000" w:rsidDel="00000000" w:rsidP="00000000" w:rsidRDefault="00000000" w:rsidRPr="00000000" w14:paraId="000000F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End-to-End MLOps Architecture &amp; Workflow | Clarifai 2025 Guide, accessed March 19, 2026, </w:t>
      </w:r>
      <w:hyperlink r:id="rId45">
        <w:r w:rsidDel="00000000" w:rsidR="00000000" w:rsidRPr="00000000">
          <w:rPr>
            <w:rFonts w:ascii="Google Sans" w:cs="Google Sans" w:eastAsia="Google Sans" w:hAnsi="Google Sans"/>
            <w:color w:val="0000ee"/>
            <w:sz w:val="24"/>
            <w:szCs w:val="24"/>
            <w:u w:val="single"/>
            <w:rtl w:val="0"/>
          </w:rPr>
          <w:t xml:space="preserve">https://www.clarifai.com/blog/end-to-end-mlops</w:t>
        </w:r>
      </w:hyperlink>
      <w:r w:rsidDel="00000000" w:rsidR="00000000" w:rsidRPr="00000000">
        <w:rPr>
          <w:rtl w:val="0"/>
        </w:rPr>
      </w:r>
    </w:p>
    <w:p w:rsidR="00000000" w:rsidDel="00000000" w:rsidP="00000000" w:rsidRDefault="00000000" w:rsidRPr="00000000" w14:paraId="000000F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MLOps? | IBM, accessed March 19, 2026, </w:t>
      </w:r>
      <w:hyperlink r:id="rId46">
        <w:r w:rsidDel="00000000" w:rsidR="00000000" w:rsidRPr="00000000">
          <w:rPr>
            <w:rFonts w:ascii="Google Sans" w:cs="Google Sans" w:eastAsia="Google Sans" w:hAnsi="Google Sans"/>
            <w:color w:val="0000ee"/>
            <w:sz w:val="24"/>
            <w:szCs w:val="24"/>
            <w:u w:val="single"/>
            <w:rtl w:val="0"/>
          </w:rPr>
          <w:t xml:space="preserve">https://www.ibm.com/think/topics/mlops</w:t>
        </w:r>
      </w:hyperlink>
      <w:r w:rsidDel="00000000" w:rsidR="00000000" w:rsidRPr="00000000">
        <w:rPr>
          <w:rtl w:val="0"/>
        </w:rPr>
      </w:r>
    </w:p>
    <w:p w:rsidR="00000000" w:rsidDel="00000000" w:rsidP="00000000" w:rsidRDefault="00000000" w:rsidRPr="00000000" w14:paraId="000000F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MLOps Lifecycle: Ultimate Guide &amp; Key Benefits - Talentica Software, accessed March 19, 2026, </w:t>
      </w:r>
      <w:hyperlink r:id="rId47">
        <w:r w:rsidDel="00000000" w:rsidR="00000000" w:rsidRPr="00000000">
          <w:rPr>
            <w:rFonts w:ascii="Google Sans" w:cs="Google Sans" w:eastAsia="Google Sans" w:hAnsi="Google Sans"/>
            <w:color w:val="0000ee"/>
            <w:sz w:val="24"/>
            <w:szCs w:val="24"/>
            <w:u w:val="single"/>
            <w:rtl w:val="0"/>
          </w:rPr>
          <w:t xml:space="preserve">https://www.talentica.com/blogs/mlops-life-cycle-guide/</w:t>
        </w:r>
      </w:hyperlink>
      <w:r w:rsidDel="00000000" w:rsidR="00000000" w:rsidRPr="00000000">
        <w:rPr>
          <w:rtl w:val="0"/>
        </w:rPr>
      </w:r>
    </w:p>
    <w:p w:rsidR="00000000" w:rsidDel="00000000" w:rsidP="00000000" w:rsidRDefault="00000000" w:rsidRPr="00000000" w14:paraId="000000F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Configure Automated Model Retraining Triggered by Data Drift Alerts - OneUptime, accessed March 19, 2026, </w:t>
      </w:r>
      <w:hyperlink r:id="rId48">
        <w:r w:rsidDel="00000000" w:rsidR="00000000" w:rsidRPr="00000000">
          <w:rPr>
            <w:rFonts w:ascii="Google Sans" w:cs="Google Sans" w:eastAsia="Google Sans" w:hAnsi="Google Sans"/>
            <w:color w:val="0000ee"/>
            <w:sz w:val="24"/>
            <w:szCs w:val="24"/>
            <w:u w:val="single"/>
            <w:rtl w:val="0"/>
          </w:rPr>
          <w:t xml:space="preserve">https://oneuptime.com/blog/post/2026-02-17-how-to-configure-automated-model-retraining-triggered-by-data-drift-alerts-on-gcp/view</w:t>
        </w:r>
      </w:hyperlink>
      <w:r w:rsidDel="00000000" w:rsidR="00000000" w:rsidRPr="00000000">
        <w:rPr>
          <w:rtl w:val="0"/>
        </w:rPr>
      </w:r>
    </w:p>
    <w:p w:rsidR="00000000" w:rsidDel="00000000" w:rsidP="00000000" w:rsidRDefault="00000000" w:rsidRPr="00000000" w14:paraId="000000F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Drift Triggers, Retraining Prioritisation, and Reduced Data Preparation Time through Automated Orchestration - UL Open Access, accessed March 19, 2026, </w:t>
      </w:r>
      <w:hyperlink r:id="rId49">
        <w:r w:rsidDel="00000000" w:rsidR="00000000" w:rsidRPr="00000000">
          <w:rPr>
            <w:rFonts w:ascii="Google Sans" w:cs="Google Sans" w:eastAsia="Google Sans" w:hAnsi="Google Sans"/>
            <w:color w:val="0000ee"/>
            <w:sz w:val="24"/>
            <w:szCs w:val="24"/>
            <w:u w:val="single"/>
            <w:rtl w:val="0"/>
          </w:rPr>
          <w:t xml:space="preserve">https://ulopenaccess.com/papers/ULIRS_V03I01/ULIRS20260301_013.pdf</w:t>
        </w:r>
      </w:hyperlink>
      <w:r w:rsidDel="00000000" w:rsidR="00000000" w:rsidRPr="00000000">
        <w:rPr>
          <w:rtl w:val="0"/>
        </w:rPr>
      </w:r>
    </w:p>
    <w:p w:rsidR="00000000" w:rsidDel="00000000" w:rsidP="00000000" w:rsidRDefault="00000000" w:rsidRPr="00000000" w14:paraId="000000F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9 LLM Observability Tools in 2025 - Logz.io, accessed March 19, 2026, </w:t>
      </w:r>
      <w:hyperlink r:id="rId50">
        <w:r w:rsidDel="00000000" w:rsidR="00000000" w:rsidRPr="00000000">
          <w:rPr>
            <w:rFonts w:ascii="Google Sans" w:cs="Google Sans" w:eastAsia="Google Sans" w:hAnsi="Google Sans"/>
            <w:color w:val="0000ee"/>
            <w:sz w:val="24"/>
            <w:szCs w:val="24"/>
            <w:u w:val="single"/>
            <w:rtl w:val="0"/>
          </w:rPr>
          <w:t xml:space="preserve">https://logz.io/blog/top-llm-observability-tools/</w:t>
        </w:r>
      </w:hyperlink>
      <w:r w:rsidDel="00000000" w:rsidR="00000000" w:rsidRPr="00000000">
        <w:rPr>
          <w:rtl w:val="0"/>
        </w:rPr>
      </w:r>
    </w:p>
    <w:p w:rsidR="00000000" w:rsidDel="00000000" w:rsidP="00000000" w:rsidRDefault="00000000" w:rsidRPr="00000000" w14:paraId="0000010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 best AI observability platforms for LLMs in 2025 - Articles - Braintrust, accessed March 19, 2026, </w:t>
      </w:r>
      <w:hyperlink r:id="rId51">
        <w:r w:rsidDel="00000000" w:rsidR="00000000" w:rsidRPr="00000000">
          <w:rPr>
            <w:rFonts w:ascii="Google Sans" w:cs="Google Sans" w:eastAsia="Google Sans" w:hAnsi="Google Sans"/>
            <w:color w:val="0000ee"/>
            <w:sz w:val="24"/>
            <w:szCs w:val="24"/>
            <w:u w:val="single"/>
            <w:rtl w:val="0"/>
          </w:rPr>
          <w:t xml:space="preserve">https://www.braintrust.dev/articles/best-ai-observability-platforms-2025</w:t>
        </w:r>
      </w:hyperlink>
      <w:r w:rsidDel="00000000" w:rsidR="00000000" w:rsidRPr="00000000">
        <w:rPr>
          <w:rtl w:val="0"/>
        </w:rPr>
      </w:r>
    </w:p>
    <w:p w:rsidR="00000000" w:rsidDel="00000000" w:rsidP="00000000" w:rsidRDefault="00000000" w:rsidRPr="00000000" w14:paraId="0000010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5 Tools for Monitoring AI Applications in 2025 - Maxim AI, accessed March 19, 2026, </w:t>
      </w:r>
      <w:hyperlink r:id="rId52">
        <w:r w:rsidDel="00000000" w:rsidR="00000000" w:rsidRPr="00000000">
          <w:rPr>
            <w:rFonts w:ascii="Google Sans" w:cs="Google Sans" w:eastAsia="Google Sans" w:hAnsi="Google Sans"/>
            <w:color w:val="0000ee"/>
            <w:sz w:val="24"/>
            <w:szCs w:val="24"/>
            <w:u w:val="single"/>
            <w:rtl w:val="0"/>
          </w:rPr>
          <w:t xml:space="preserve">https://www.getmaxim.ai/articles/top-5-tools-for-monitoring-ai-applications-in-2025/</w:t>
        </w:r>
      </w:hyperlink>
      <w:r w:rsidDel="00000000" w:rsidR="00000000" w:rsidRPr="00000000">
        <w:rPr>
          <w:rtl w:val="0"/>
        </w:rPr>
      </w:r>
    </w:p>
    <w:p w:rsidR="00000000" w:rsidDel="00000000" w:rsidP="00000000" w:rsidRDefault="00000000" w:rsidRPr="00000000" w14:paraId="0000010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17 Best AI Observability Tools In December 2025 - Monte Carlo Data, accessed March 19, 2026, </w:t>
      </w:r>
      <w:hyperlink r:id="rId53">
        <w:r w:rsidDel="00000000" w:rsidR="00000000" w:rsidRPr="00000000">
          <w:rPr>
            <w:rFonts w:ascii="Google Sans" w:cs="Google Sans" w:eastAsia="Google Sans" w:hAnsi="Google Sans"/>
            <w:color w:val="0000ee"/>
            <w:sz w:val="24"/>
            <w:szCs w:val="24"/>
            <w:u w:val="single"/>
            <w:rtl w:val="0"/>
          </w:rPr>
          <w:t xml:space="preserve">https://www.montecarlodata.com/blog-best-ai-observability-tools/</w:t>
        </w:r>
      </w:hyperlink>
      <w:r w:rsidDel="00000000" w:rsidR="00000000" w:rsidRPr="00000000">
        <w:rPr>
          <w:rtl w:val="0"/>
        </w:rPr>
      </w:r>
    </w:p>
    <w:p w:rsidR="00000000" w:rsidDel="00000000" w:rsidP="00000000" w:rsidRDefault="00000000" w:rsidRPr="00000000" w14:paraId="0000010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ML Observability Fundamentals - Arize AI, accessed March 19, 2026, </w:t>
      </w:r>
      <w:hyperlink r:id="rId54">
        <w:r w:rsidDel="00000000" w:rsidR="00000000" w:rsidRPr="00000000">
          <w:rPr>
            <w:rFonts w:ascii="Google Sans" w:cs="Google Sans" w:eastAsia="Google Sans" w:hAnsi="Google Sans"/>
            <w:color w:val="0000ee"/>
            <w:sz w:val="24"/>
            <w:szCs w:val="24"/>
            <w:u w:val="single"/>
            <w:rtl w:val="0"/>
          </w:rPr>
          <w:t xml:space="preserve">https://arize.com/ml-observability-fundamentals/</w:t>
        </w:r>
      </w:hyperlink>
      <w:r w:rsidDel="00000000" w:rsidR="00000000" w:rsidRPr="00000000">
        <w:rPr>
          <w:rtl w:val="0"/>
        </w:rPr>
      </w:r>
    </w:p>
    <w:p w:rsidR="00000000" w:rsidDel="00000000" w:rsidP="00000000" w:rsidRDefault="00000000" w:rsidRPr="00000000" w14:paraId="0000010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Essential Math You Need for AI and Machine Learning (With Roadmap and Resources) | by Pravin More | Medium, accessed March 19, 2026, </w:t>
      </w:r>
      <w:hyperlink r:id="rId55">
        <w:r w:rsidDel="00000000" w:rsidR="00000000" w:rsidRPr="00000000">
          <w:rPr>
            <w:rFonts w:ascii="Google Sans" w:cs="Google Sans" w:eastAsia="Google Sans" w:hAnsi="Google Sans"/>
            <w:color w:val="0000ee"/>
            <w:sz w:val="24"/>
            <w:szCs w:val="24"/>
            <w:u w:val="single"/>
            <w:rtl w:val="0"/>
          </w:rPr>
          <w:t xml:space="preserve">https://medium.com/@morepravin1989/the-essential-math-you-need-for-ai-and-machine-learning-with-roadmap-and-resources-0a7d332466bb</w:t>
        </w:r>
      </w:hyperlink>
      <w:r w:rsidDel="00000000" w:rsidR="00000000" w:rsidRPr="00000000">
        <w:rPr>
          <w:rtl w:val="0"/>
        </w:rPr>
      </w:r>
    </w:p>
    <w:p w:rsidR="00000000" w:rsidDel="00000000" w:rsidP="00000000" w:rsidRDefault="00000000" w:rsidRPr="00000000" w14:paraId="0000010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Beginner's Guide to Observability - CDW UK, accessed March 19, 2026, </w:t>
      </w:r>
      <w:hyperlink r:id="rId56">
        <w:r w:rsidDel="00000000" w:rsidR="00000000" w:rsidRPr="00000000">
          <w:rPr>
            <w:rFonts w:ascii="Google Sans" w:cs="Google Sans" w:eastAsia="Google Sans" w:hAnsi="Google Sans"/>
            <w:color w:val="0000ee"/>
            <w:sz w:val="24"/>
            <w:szCs w:val="24"/>
            <w:u w:val="single"/>
            <w:rtl w:val="0"/>
          </w:rPr>
          <w:t xml:space="preserve">https://www.uk.cdw.com/media/bign0otq/beginners-guide-to-observability0923.pdf</w:t>
        </w:r>
      </w:hyperlink>
      <w:r w:rsidDel="00000000" w:rsidR="00000000" w:rsidRPr="00000000">
        <w:rPr>
          <w:rtl w:val="0"/>
        </w:rPr>
      </w:r>
    </w:p>
    <w:p w:rsidR="00000000" w:rsidDel="00000000" w:rsidP="00000000" w:rsidRDefault="00000000" w:rsidRPr="00000000" w14:paraId="0000010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Learning Roadmap: From Beginner to Expert (2026) - Coursera, accessed March 19, 2026, </w:t>
      </w:r>
      <w:hyperlink r:id="rId57">
        <w:r w:rsidDel="00000000" w:rsidR="00000000" w:rsidRPr="00000000">
          <w:rPr>
            <w:rFonts w:ascii="Google Sans" w:cs="Google Sans" w:eastAsia="Google Sans" w:hAnsi="Google Sans"/>
            <w:color w:val="0000ee"/>
            <w:sz w:val="24"/>
            <w:szCs w:val="24"/>
            <w:u w:val="single"/>
            <w:rtl w:val="0"/>
          </w:rPr>
          <w:t xml:space="preserve">https://www.coursera.org/resources/ai-learning-roadmap</w:t>
        </w:r>
      </w:hyperlink>
      <w:r w:rsidDel="00000000" w:rsidR="00000000" w:rsidRPr="00000000">
        <w:rPr>
          <w:rtl w:val="0"/>
        </w:rPr>
      </w:r>
    </w:p>
    <w:p w:rsidR="00000000" w:rsidDel="00000000" w:rsidP="00000000" w:rsidRDefault="00000000" w:rsidRPr="00000000" w14:paraId="0000010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Engineering Subjects: Complete List of What You'll Study (2026 Curriculum) - Scaler, accessed March 19, 2026, </w:t>
      </w:r>
      <w:hyperlink r:id="rId58">
        <w:r w:rsidDel="00000000" w:rsidR="00000000" w:rsidRPr="00000000">
          <w:rPr>
            <w:rFonts w:ascii="Google Sans" w:cs="Google Sans" w:eastAsia="Google Sans" w:hAnsi="Google Sans"/>
            <w:color w:val="0000ee"/>
            <w:sz w:val="24"/>
            <w:szCs w:val="24"/>
            <w:u w:val="single"/>
            <w:rtl w:val="0"/>
          </w:rPr>
          <w:t xml:space="preserve">https://www.scaler.com/topics/ai-engineering-subjects-complete-curriculum/</w:t>
        </w:r>
      </w:hyperlink>
      <w:r w:rsidDel="00000000" w:rsidR="00000000" w:rsidRPr="00000000">
        <w:rPr>
          <w:rtl w:val="0"/>
        </w:rPr>
      </w:r>
    </w:p>
    <w:p w:rsidR="00000000" w:rsidDel="00000000" w:rsidP="00000000" w:rsidRDefault="00000000" w:rsidRPr="00000000" w14:paraId="0000010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Ultimate AI/ML Roadmap For Beginners | Towards Data Science, accessed March 19, 2026, </w:t>
      </w:r>
      <w:hyperlink r:id="rId59">
        <w:r w:rsidDel="00000000" w:rsidR="00000000" w:rsidRPr="00000000">
          <w:rPr>
            <w:rFonts w:ascii="Google Sans" w:cs="Google Sans" w:eastAsia="Google Sans" w:hAnsi="Google Sans"/>
            <w:color w:val="0000ee"/>
            <w:sz w:val="24"/>
            <w:szCs w:val="24"/>
            <w:u w:val="single"/>
            <w:rtl w:val="0"/>
          </w:rPr>
          <w:t xml:space="preserve">https://towardsdatascience.com/the-ultimate-ai-ml-roadmap-for-beginners/</w:t>
        </w:r>
      </w:hyperlink>
      <w:r w:rsidDel="00000000" w:rsidR="00000000" w:rsidRPr="00000000">
        <w:rPr>
          <w:rtl w:val="0"/>
        </w:rPr>
      </w:r>
    </w:p>
    <w:p w:rsidR="00000000" w:rsidDel="00000000" w:rsidP="00000000" w:rsidRDefault="00000000" w:rsidRPr="00000000" w14:paraId="0000010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Machine Learning Roadmap For Beginners (2026) - igmGuru, accessed March 19, 2026, </w:t>
      </w:r>
      <w:hyperlink r:id="rId60">
        <w:r w:rsidDel="00000000" w:rsidR="00000000" w:rsidRPr="00000000">
          <w:rPr>
            <w:rFonts w:ascii="Google Sans" w:cs="Google Sans" w:eastAsia="Google Sans" w:hAnsi="Google Sans"/>
            <w:color w:val="0000ee"/>
            <w:sz w:val="24"/>
            <w:szCs w:val="24"/>
            <w:u w:val="single"/>
            <w:rtl w:val="0"/>
          </w:rPr>
          <w:t xml:space="preserve">https://www.igmguru.com/blog/machine-learning-roadmap</w:t>
        </w:r>
      </w:hyperlink>
      <w:r w:rsidDel="00000000" w:rsidR="00000000" w:rsidRPr="00000000">
        <w:rPr>
          <w:rtl w:val="0"/>
        </w:rPr>
      </w:r>
    </w:p>
    <w:p w:rsidR="00000000" w:rsidDel="00000000" w:rsidP="00000000" w:rsidRDefault="00000000" w:rsidRPr="00000000" w14:paraId="0000010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Engineering Course Curriculum - ITLearning, accessed March 19, 2026, </w:t>
      </w:r>
      <w:hyperlink r:id="rId61">
        <w:r w:rsidDel="00000000" w:rsidR="00000000" w:rsidRPr="00000000">
          <w:rPr>
            <w:rFonts w:ascii="Google Sans" w:cs="Google Sans" w:eastAsia="Google Sans" w:hAnsi="Google Sans"/>
            <w:color w:val="0000ee"/>
            <w:sz w:val="24"/>
            <w:szCs w:val="24"/>
            <w:u w:val="single"/>
            <w:rtl w:val="0"/>
          </w:rPr>
          <w:t xml:space="preserve">https://itlearning.ng/ai-engineering-course-curriculum/</w:t>
        </w:r>
      </w:hyperlink>
      <w:r w:rsidDel="00000000" w:rsidR="00000000" w:rsidRPr="00000000">
        <w:rPr>
          <w:rtl w:val="0"/>
        </w:rPr>
      </w:r>
    </w:p>
    <w:p w:rsidR="00000000" w:rsidDel="00000000" w:rsidP="00000000" w:rsidRDefault="00000000" w:rsidRPr="00000000" w14:paraId="0000010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Observability: A critical ingredient in making AI and agents work for you - PwC, accessed March 19, 2026, </w:t>
      </w:r>
      <w:hyperlink r:id="rId62">
        <w:r w:rsidDel="00000000" w:rsidR="00000000" w:rsidRPr="00000000">
          <w:rPr>
            <w:rFonts w:ascii="Google Sans" w:cs="Google Sans" w:eastAsia="Google Sans" w:hAnsi="Google Sans"/>
            <w:color w:val="0000ee"/>
            <w:sz w:val="24"/>
            <w:szCs w:val="24"/>
            <w:u w:val="single"/>
            <w:rtl w:val="0"/>
          </w:rPr>
          <w:t xml:space="preserve">https://www.pwc.com/us/en/tech-effect/ai-analytics/ai-observability.html</w:t>
        </w:r>
      </w:hyperlink>
      <w:r w:rsidDel="00000000" w:rsidR="00000000" w:rsidRPr="00000000">
        <w:rPr>
          <w:rtl w:val="0"/>
        </w:rPr>
      </w:r>
    </w:p>
    <w:p w:rsidR="00000000" w:rsidDel="00000000" w:rsidP="00000000" w:rsidRDefault="00000000" w:rsidRPr="00000000" w14:paraId="0000010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Observability: Complete Guide to Intelligent Monitoring (2025) - IR, accessed March 19, 2026, </w:t>
      </w:r>
      <w:hyperlink r:id="rId63">
        <w:r w:rsidDel="00000000" w:rsidR="00000000" w:rsidRPr="00000000">
          <w:rPr>
            <w:rFonts w:ascii="Google Sans" w:cs="Google Sans" w:eastAsia="Google Sans" w:hAnsi="Google Sans"/>
            <w:color w:val="0000ee"/>
            <w:sz w:val="24"/>
            <w:szCs w:val="24"/>
            <w:u w:val="single"/>
            <w:rtl w:val="0"/>
          </w:rPr>
          <w:t xml:space="preserve">https://www.ir.com/guides/ai-observability-complete-guide-to-intelligent-monitoring-2025</w:t>
        </w:r>
      </w:hyperlink>
      <w:r w:rsidDel="00000000" w:rsidR="00000000" w:rsidRPr="00000000">
        <w:rPr>
          <w:rtl w:val="0"/>
        </w:rPr>
      </w:r>
    </w:p>
    <w:p w:rsidR="00000000" w:rsidDel="00000000" w:rsidP="00000000" w:rsidRDefault="00000000" w:rsidRPr="00000000" w14:paraId="0000010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Making Sense of Complex Data in Observability Tools - Selector AI, accessed March 19, 2026, </w:t>
      </w:r>
      <w:hyperlink r:id="rId64">
        <w:r w:rsidDel="00000000" w:rsidR="00000000" w:rsidRPr="00000000">
          <w:rPr>
            <w:rFonts w:ascii="Google Sans" w:cs="Google Sans" w:eastAsia="Google Sans" w:hAnsi="Google Sans"/>
            <w:color w:val="0000ee"/>
            <w:sz w:val="24"/>
            <w:szCs w:val="24"/>
            <w:u w:val="single"/>
            <w:rtl w:val="0"/>
          </w:rPr>
          <w:t xml:space="preserve">https://www.selector.ai/blog/making-sense-of-complex-data-in-observability-tools/</w:t>
        </w:r>
      </w:hyperlink>
      <w:r w:rsidDel="00000000" w:rsidR="00000000" w:rsidRPr="00000000">
        <w:rPr>
          <w:rtl w:val="0"/>
        </w:rPr>
      </w:r>
    </w:p>
    <w:p w:rsidR="00000000" w:rsidDel="00000000" w:rsidP="00000000" w:rsidRDefault="00000000" w:rsidRPr="00000000" w14:paraId="0000010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Observability Dashboards: What to Show and How to Build Them - OpenObserve, accessed March 19, 2026, </w:t>
      </w:r>
      <w:hyperlink r:id="rId65">
        <w:r w:rsidDel="00000000" w:rsidR="00000000" w:rsidRPr="00000000">
          <w:rPr>
            <w:rFonts w:ascii="Google Sans" w:cs="Google Sans" w:eastAsia="Google Sans" w:hAnsi="Google Sans"/>
            <w:color w:val="0000ee"/>
            <w:sz w:val="24"/>
            <w:szCs w:val="24"/>
            <w:u w:val="single"/>
            <w:rtl w:val="0"/>
          </w:rPr>
          <w:t xml:space="preserve">https://openobserve.ai/blog/observability-dashboards/</w:t>
        </w:r>
      </w:hyperlink>
      <w:r w:rsidDel="00000000" w:rsidR="00000000" w:rsidRPr="00000000">
        <w:rPr>
          <w:rtl w:val="0"/>
        </w:rPr>
      </w:r>
    </w:p>
    <w:p w:rsidR="00000000" w:rsidDel="00000000" w:rsidP="00000000" w:rsidRDefault="00000000" w:rsidRPr="00000000" w14:paraId="0000010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the best practices in dashboard designing learnt/developed by you after a long experience? : r/PowerBI - Reddit, accessed March 19, 2026, </w:t>
      </w:r>
      <w:hyperlink r:id="rId66">
        <w:r w:rsidDel="00000000" w:rsidR="00000000" w:rsidRPr="00000000">
          <w:rPr>
            <w:rFonts w:ascii="Google Sans" w:cs="Google Sans" w:eastAsia="Google Sans" w:hAnsi="Google Sans"/>
            <w:color w:val="0000ee"/>
            <w:sz w:val="24"/>
            <w:szCs w:val="24"/>
            <w:u w:val="single"/>
            <w:rtl w:val="0"/>
          </w:rPr>
          <w:t xml:space="preserve">https://www.reddit.com/r/PowerBI/comments/1htzl6b/what_are_the_best_practices_in_dashboard/</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infermatic.ai/ask/?question=Can+you+explain+the+difference+between+SHAP+and+LIME+in+feature+attribution?" TargetMode="External"/><Relationship Id="rId42" Type="http://schemas.openxmlformats.org/officeDocument/2006/relationships/hyperlink" Target="https://arize.com/blog-course/explainability-techniques-shap/" TargetMode="External"/><Relationship Id="rId41" Type="http://schemas.openxmlformats.org/officeDocument/2006/relationships/hyperlink" Target="https://infermatic.ai/ask/?question=Can+you+explain+the+difference+between+SHAP+and+LIME+in+feature+attribution?#:~:text=SHAP%20and%20LIME%20are%20both,explanations%20and%20is%20model%2Dagnostic." TargetMode="External"/><Relationship Id="rId44" Type="http://schemas.openxmlformats.org/officeDocument/2006/relationships/hyperlink" Target="https://www.stack-ai.com/insights/the-complete-guide-to-ai-agent-observability-and-monitoring" TargetMode="External"/><Relationship Id="rId43" Type="http://schemas.openxmlformats.org/officeDocument/2006/relationships/hyperlink" Target="https://galileo.ai/learn/ai-observability" TargetMode="External"/><Relationship Id="rId46" Type="http://schemas.openxmlformats.org/officeDocument/2006/relationships/hyperlink" Target="https://www.ibm.com/think/topics/mlops" TargetMode="External"/><Relationship Id="rId45" Type="http://schemas.openxmlformats.org/officeDocument/2006/relationships/hyperlink" Target="https://www.clarifai.com/blog/end-to-end-mlop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kore.ai/blog/what-is-ai-observability" TargetMode="External"/><Relationship Id="rId48" Type="http://schemas.openxmlformats.org/officeDocument/2006/relationships/hyperlink" Target="https://oneuptime.com/blog/post/2026-02-17-how-to-configure-automated-model-retraining-triggered-by-data-drift-alerts-on-gcp/view" TargetMode="External"/><Relationship Id="rId47" Type="http://schemas.openxmlformats.org/officeDocument/2006/relationships/hyperlink" Target="https://www.talentica.com/blogs/mlops-life-cycle-guide/" TargetMode="External"/><Relationship Id="rId49" Type="http://schemas.openxmlformats.org/officeDocument/2006/relationships/hyperlink" Target="https://ulopenaccess.com/papers/ULIRS_V03I01/ULIRS20260301_013.pdf" TargetMode="External"/><Relationship Id="rId5" Type="http://schemas.openxmlformats.org/officeDocument/2006/relationships/styles" Target="styles.xml"/><Relationship Id="rId6" Type="http://schemas.openxmlformats.org/officeDocument/2006/relationships/hyperlink" Target="https://www.microsoft.com/en-us/security/blog/2026/03/18/observability-ai-systems-strengthening-visibility-proactive-risk-detection/" TargetMode="External"/><Relationship Id="rId7" Type="http://schemas.openxmlformats.org/officeDocument/2006/relationships/hyperlink" Target="https://www.ibm.com/think/topics/ai-observability" TargetMode="External"/><Relationship Id="rId8" Type="http://schemas.openxmlformats.org/officeDocument/2006/relationships/hyperlink" Target="https://insightfinder.com/blog/ai-observability-vs-monitoring/" TargetMode="External"/><Relationship Id="rId31" Type="http://schemas.openxmlformats.org/officeDocument/2006/relationships/hyperlink" Target="https://www.braintrust.dev/articles/ai-observability-monitoring" TargetMode="External"/><Relationship Id="rId30" Type="http://schemas.openxmlformats.org/officeDocument/2006/relationships/hyperlink" Target="https://www.braintrust.dev/blog/three-pillars-ai-observability" TargetMode="External"/><Relationship Id="rId33" Type="http://schemas.openxmlformats.org/officeDocument/2006/relationships/hyperlink" Target="https://www.evidentlyai.com/ml-in-production/data-drift" TargetMode="External"/><Relationship Id="rId32" Type="http://schemas.openxmlformats.org/officeDocument/2006/relationships/hyperlink" Target="https://www.dataversity.net/articles/data-drift-vs-concept-drift-what-is-the-difference/" TargetMode="External"/><Relationship Id="rId35" Type="http://schemas.openxmlformats.org/officeDocument/2006/relationships/hyperlink" Target="https://smartdev.com/ai-model-drift-retraining-a-guide-for-ml-system-maintenance/" TargetMode="External"/><Relationship Id="rId34" Type="http://schemas.openxmlformats.org/officeDocument/2006/relationships/hyperlink" Target="https://galileo.ai/blog/model-vs-data-drift-detection" TargetMode="External"/><Relationship Id="rId37" Type="http://schemas.openxmlformats.org/officeDocument/2006/relationships/hyperlink" Target="https://uptimerobot.com/knowledge-hub/observability/ai-observability-the-complete-guide/" TargetMode="External"/><Relationship Id="rId36" Type="http://schemas.openxmlformats.org/officeDocument/2006/relationships/hyperlink" Target="https://agility-at-scale.com/ai/generative/continuous-evaluation-and-drift-monitoring/" TargetMode="External"/><Relationship Id="rId39" Type="http://schemas.openxmlformats.org/officeDocument/2006/relationships/hyperlink" Target="https://apxml.com/posts/lime-vs-shap-difference-interpretability" TargetMode="External"/><Relationship Id="rId38" Type="http://schemas.openxmlformats.org/officeDocument/2006/relationships/hyperlink" Target="https://coralogix.com/guides/aiops/ai-observability/" TargetMode="External"/><Relationship Id="rId62" Type="http://schemas.openxmlformats.org/officeDocument/2006/relationships/hyperlink" Target="https://www.pwc.com/us/en/tech-effect/ai-analytics/ai-observability.html" TargetMode="External"/><Relationship Id="rId61" Type="http://schemas.openxmlformats.org/officeDocument/2006/relationships/hyperlink" Target="https://itlearning.ng/ai-engineering-course-curriculum/" TargetMode="External"/><Relationship Id="rId20" Type="http://schemas.openxmlformats.org/officeDocument/2006/relationships/hyperlink" Target="https://insightfinder.com/blog/machine-learning-data-drift-vs-concept-drift/" TargetMode="External"/><Relationship Id="rId64" Type="http://schemas.openxmlformats.org/officeDocument/2006/relationships/hyperlink" Target="https://www.selector.ai/blog/making-sense-of-complex-data-in-observability-tools/" TargetMode="External"/><Relationship Id="rId63" Type="http://schemas.openxmlformats.org/officeDocument/2006/relationships/hyperlink" Target="https://www.ir.com/guides/ai-observability-complete-guide-to-intelligent-monitoring-2025" TargetMode="External"/><Relationship Id="rId22" Type="http://schemas.openxmlformats.org/officeDocument/2006/relationships/hyperlink" Target="https://www.magicmirror.team/blog/nist-vs-eu-ai-act-which-ai-risk-framework-should-you-follow" TargetMode="External"/><Relationship Id="rId66" Type="http://schemas.openxmlformats.org/officeDocument/2006/relationships/hyperlink" Target="https://www.reddit.com/r/PowerBI/comments/1htzl6b/what_are_the_best_practices_in_dashboard/" TargetMode="External"/><Relationship Id="rId21" Type="http://schemas.openxmlformats.org/officeDocument/2006/relationships/hyperlink" Target="https://www.knostic.ai/blog/ai-observability" TargetMode="External"/><Relationship Id="rId65" Type="http://schemas.openxmlformats.org/officeDocument/2006/relationships/hyperlink" Target="https://openobserve.ai/blog/observability-dashboards/" TargetMode="External"/><Relationship Id="rId24" Type="http://schemas.openxmlformats.org/officeDocument/2006/relationships/hyperlink" Target="https://technative.io/whats-observability-and-why-should-i-care-if-ive-got-ai/" TargetMode="External"/><Relationship Id="rId23" Type="http://schemas.openxmlformats.org/officeDocument/2006/relationships/hyperlink" Target="https://www.ninetwothree.co/blog/ai-fails" TargetMode="External"/><Relationship Id="rId60" Type="http://schemas.openxmlformats.org/officeDocument/2006/relationships/hyperlink" Target="https://www.igmguru.com/blog/machine-learning-roadmap" TargetMode="External"/><Relationship Id="rId26" Type="http://schemas.openxmlformats.org/officeDocument/2006/relationships/hyperlink" Target="https://www.eccouncil.org/cybersecurity-exchange/responsible-ai-governance/eu-ai-act-nist-ai-rmf-and-iso-iec-42001-a-plain-english-comparison/#:~:text=Providers%20and%20users%20of%20high,risk%20AI%20on%20the%20market." TargetMode="External"/><Relationship Id="rId25" Type="http://schemas.openxmlformats.org/officeDocument/2006/relationships/hyperlink" Target="https://cloudsecurityalliance.org/blog/2025/01/29/how-can-iso-iec-42001-nist-ai-rmf-help-comply-with-the-eu-ai-act" TargetMode="External"/><Relationship Id="rId28" Type="http://schemas.openxmlformats.org/officeDocument/2006/relationships/hyperlink" Target="https://artificialintelligenceact.eu/high-level-summary/" TargetMode="External"/><Relationship Id="rId27" Type="http://schemas.openxmlformats.org/officeDocument/2006/relationships/hyperlink" Target="https://www.eccouncil.org/cybersecurity-exchange/responsible-ai-governance/eu-ai-act-nist-ai-rmf-and-iso-iec-42001-a-plain-english-comparison/" TargetMode="External"/><Relationship Id="rId29" Type="http://schemas.openxmlformats.org/officeDocument/2006/relationships/hyperlink" Target="https://vfunction.com/blog/software-observability-tools/" TargetMode="External"/><Relationship Id="rId51" Type="http://schemas.openxmlformats.org/officeDocument/2006/relationships/hyperlink" Target="https://www.braintrust.dev/articles/best-ai-observability-platforms-2025" TargetMode="External"/><Relationship Id="rId50" Type="http://schemas.openxmlformats.org/officeDocument/2006/relationships/hyperlink" Target="https://logz.io/blog/top-llm-observability-tools/" TargetMode="External"/><Relationship Id="rId53" Type="http://schemas.openxmlformats.org/officeDocument/2006/relationships/hyperlink" Target="https://www.montecarlodata.com/blog-best-ai-observability-tools/" TargetMode="External"/><Relationship Id="rId52" Type="http://schemas.openxmlformats.org/officeDocument/2006/relationships/hyperlink" Target="https://www.getmaxim.ai/articles/top-5-tools-for-monitoring-ai-applications-in-2025/" TargetMode="External"/><Relationship Id="rId11" Type="http://schemas.openxmlformats.org/officeDocument/2006/relationships/hyperlink" Target="https://newrelic.com/blog/observability/observability-vs-monitoring" TargetMode="External"/><Relationship Id="rId55" Type="http://schemas.openxmlformats.org/officeDocument/2006/relationships/hyperlink" Target="https://medium.com/@morepravin1989/the-essential-math-you-need-for-ai-and-machine-learning-with-roadmap-and-resources-0a7d332466bb" TargetMode="External"/><Relationship Id="rId10" Type="http://schemas.openxmlformats.org/officeDocument/2006/relationships/hyperlink" Target="https://aws.amazon.com/compare/the-difference-between-monitoring-and-observability/" TargetMode="External"/><Relationship Id="rId54" Type="http://schemas.openxmlformats.org/officeDocument/2006/relationships/hyperlink" Target="https://arize.com/ml-observability-fundamentals/" TargetMode="External"/><Relationship Id="rId13" Type="http://schemas.openxmlformats.org/officeDocument/2006/relationships/hyperlink" Target="https://www.ibm.com/think/topics/observability-vs-monitoring" TargetMode="External"/><Relationship Id="rId57" Type="http://schemas.openxmlformats.org/officeDocument/2006/relationships/hyperlink" Target="https://www.coursera.org/resources/ai-learning-roadmap" TargetMode="External"/><Relationship Id="rId12" Type="http://schemas.openxmlformats.org/officeDocument/2006/relationships/hyperlink" Target="https://www.selector.ai/learning-center/observability-vs-monitoring-5-key-differences-and-key-synergies/" TargetMode="External"/><Relationship Id="rId56" Type="http://schemas.openxmlformats.org/officeDocument/2006/relationships/hyperlink" Target="https://www.uk.cdw.com/media/bign0otq/beginners-guide-to-observability0923.pdf" TargetMode="External"/><Relationship Id="rId15" Type="http://schemas.openxmlformats.org/officeDocument/2006/relationships/hyperlink" Target="https://galileo.ai/blog/mlops-operationalizing-machine-learning" TargetMode="External"/><Relationship Id="rId59" Type="http://schemas.openxmlformats.org/officeDocument/2006/relationships/hyperlink" Target="https://towardsdatascience.com/the-ultimate-ai-ml-roadmap-for-beginners/" TargetMode="External"/><Relationship Id="rId14" Type="http://schemas.openxmlformats.org/officeDocument/2006/relationships/hyperlink" Target="https://medium.com/@archie.kandala/the-production-ai-reality-check-why-80-of-ai-projects-fail-to-reach-production-849daa80b0f3" TargetMode="External"/><Relationship Id="rId58" Type="http://schemas.openxmlformats.org/officeDocument/2006/relationships/hyperlink" Target="https://www.scaler.com/topics/ai-engineering-subjects-complete-curriculum/" TargetMode="External"/><Relationship Id="rId17" Type="http://schemas.openxmlformats.org/officeDocument/2006/relationships/hyperlink" Target="https://www.lucid.now/blog/ai-roi-metrics-for-small-businesses/" TargetMode="External"/><Relationship Id="rId16" Type="http://schemas.openxmlformats.org/officeDocument/2006/relationships/hyperlink" Target="https://bluegen.ai/what-causes-poor-ai-model-performance/" TargetMode="External"/><Relationship Id="rId19" Type="http://schemas.openxmlformats.org/officeDocument/2006/relationships/hyperlink" Target="https://horovits.medium.com/observability-for-ai-workloads-a-new-paradigm-for-a-new-era-b8972ba1b6ba" TargetMode="External"/><Relationship Id="rId18" Type="http://schemas.openxmlformats.org/officeDocument/2006/relationships/hyperlink" Target="https://www.dynatrace.com/news/blog/state-of-observability-2025-ai-trust-ro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