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3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  <w:lang w:val="ru-RU"/>
        </w:rPr>
        <w:t>онтологическая модель «Киберспорт (Dota 2)»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Студент, гр ИВТИИбд-1</w:t>
      </w:r>
      <w:r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                                                                  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  <w:lang w:val="ru-RU"/>
        </w:rPr>
        <w:t xml:space="preserve">ыпко 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>Т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Преподаватель                                                                                Хайруллин И.Д.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Ульяновск 2026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Моделируется участие команд по Dota 2 в двух чемпионатах мира The International. В модель вводятся только исходные факты: составы команд и победители. Остальные знания система выводит сама.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OG выиграла The International 2019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OG участвовала в The International 2021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Team Spirit выиграла The International 2021.В TI9 Team Spirit не участвовала.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OG играют N0tail и Topson, за Team Spirit — Yatoro и Collapse.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Игроки выбраны так, чтобы каждый был в составе своей команды на обоих турнирах. Это важно, потому что модель не учитывает время (см. ограничения в разделе 2).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Задача вывода: система должна самостоятельно определить, кто из игроков стал чемпионом какого турнира, кто в каких турнирах участвовал и кто с кем является тиммейтом.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Связь с теорией систем: онтология является системой, где элементы — игроки, команды и турниры, а взаимосвязи — объектные свойства. Выведенный факт, например «N0tail — чемпион TI2019», не записан ни у одного элемента по отдельности. Он возникает только из связей между ними, что иллюстрирует свойство эмерджентности.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модели в Protégé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>Модель реализована в Protégé 5.6 на языке OWL.</w:t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 корневым классом owl:Thing созданы три класса одного уровня: игрок, команда, турнир. Все три класса объявлены попарно несовместимыми (Disjoint With). Это значит, что один экземпляр не может одновременно принадлежать двум классам, и при ошибке в связях ризонер сообщит о противоречии.</w:t>
      </w:r>
    </w:p>
    <w:p>
      <w:pPr>
        <w:pStyle w:val="Normal"/>
        <w:rPr>
          <w:i/>
          <w:i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20320</wp:posOffset>
            </wp:positionH>
            <wp:positionV relativeFrom="paragraph">
              <wp:posOffset>1905</wp:posOffset>
            </wp:positionV>
            <wp:extent cx="2762250" cy="13049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Свойства данных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0" w:val="04a0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Свойство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Domain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Range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Смысл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hasNickname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xsd:string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никнейм игрока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hasTeamName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команда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xsd:string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название команды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hasPrizePool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турнир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xsd:integer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призовой фонд, $</w:t>
            </w:r>
          </w:p>
        </w:tc>
      </w:tr>
    </w:tbl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Объектные свойства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0" w:val="04a0"/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Свойство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Domain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Range</w:t>
            </w:r>
          </w:p>
        </w:tc>
        <w:tc>
          <w:tcPr>
            <w:tcW w:w="23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Источник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playsFor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команда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задано вручную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won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команда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турнир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задано вручную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participatesIn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команда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турнир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вручную и выводом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hasPlayer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команда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обратное к playsFor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isChampionOf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турнир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выводится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playedIn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турнир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выводится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isTea</w:t>
            </w:r>
            <w: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455295</wp:posOffset>
                  </wp:positionH>
                  <wp:positionV relativeFrom="paragraph">
                    <wp:posOffset>551180</wp:posOffset>
                  </wp:positionV>
                  <wp:extent cx="3778885" cy="2766695"/>
                  <wp:effectExtent l="0" t="0" r="0" b="0"/>
                  <wp:wrapSquare wrapText="largest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8885" cy="276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mmateOf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выводится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Экземпляры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0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Экземпляр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Класс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Значение свойства данных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OG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команда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hasTeamName "OG"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TeamSpirit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команда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hasTeamName "Team Spirit"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N0tail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hasNickname "N0tail"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Topson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hasNickname "Topson"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Yatoro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hasNickname "Yatoro"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Collapse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игрок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hasNickname "Collapse"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TI2019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турнир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hasPrizePool 34330068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TI2021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турнир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hasPrizePool 40018195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четыре игрока объявлены различными (Different Individuals). OWL работает в предположении открытого мира и не считает объекты с разными именами разными автоматически. Без этого не сработает правило о тиммейтах.</w:t>
      </w:r>
    </w:p>
    <w:p>
      <w:pPr>
        <w:pStyle w:val="Normal"/>
        <w:rPr>
          <w:i/>
          <w:i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-74295</wp:posOffset>
            </wp:positionH>
            <wp:positionV relativeFrom="paragraph">
              <wp:posOffset>42545</wp:posOffset>
            </wp:positionV>
            <wp:extent cx="3281680" cy="220218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80" cy="220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Правила SWRL</w:t>
      </w:r>
    </w:p>
    <w:p>
      <w:pPr>
        <w:pStyle w:val="Cod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WinnerParticipated:</w:t>
        <w:br/>
        <w:t>won(?t, ?tr) -&gt; participatesIn(?t, ?tr)</w:t>
        <w:br/>
        <w:br/>
        <w:t>ChampionRule:</w:t>
        <w:br/>
        <w:t>playsFor(?p, ?t) ^ won(?t, ?tr) -&gt; isChampionOf(?p, ?tr)</w:t>
        <w:br/>
        <w:br/>
        <w:t>PlayedInRule:</w:t>
        <w:br/>
        <w:t>playsFor(?p, ?t) ^ participatesIn(?t, ?tr) -&gt; playedIn(?p, ?tr)</w:t>
        <w:br/>
        <w:br/>
        <w:t>TeammateRule:</w:t>
        <w:br/>
        <w:t>playsFor(?a, ?t) ^ playsFor(?b, ?t) ^ differentFrom(?a, ?b) -&gt; isTeammateOf(?a, ?b)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WinnerParticipated:</w:t>
      </w:r>
      <w:r>
        <w:rPr>
          <w:rFonts w:ascii="Times New Roman" w:hAnsi="Times New Roman"/>
          <w:sz w:val="28"/>
          <w:szCs w:val="28"/>
        </w:rPr>
        <w:t xml:space="preserve"> команда-победитель турнира считается его участником.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ChampionRule:</w:t>
      </w:r>
      <w:r>
        <w:rPr>
          <w:rFonts w:ascii="Times New Roman" w:hAnsi="Times New Roman"/>
          <w:sz w:val="28"/>
          <w:szCs w:val="28"/>
        </w:rPr>
        <w:t xml:space="preserve"> игрок команды-победителя является чемпионом турнира.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PlayedInRule:</w:t>
      </w:r>
      <w:r>
        <w:rPr>
          <w:rFonts w:ascii="Times New Roman" w:hAnsi="Times New Roman"/>
          <w:sz w:val="28"/>
          <w:szCs w:val="28"/>
        </w:rPr>
        <w:t xml:space="preserve"> игрок команды-участницы является участником турнира. Правило использует результат правила 1, то есть вывод идёт в два этапа.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TeammateRule:</w:t>
      </w:r>
      <w:r>
        <w:rPr>
          <w:rFonts w:ascii="Times New Roman" w:hAnsi="Times New Roman"/>
          <w:sz w:val="28"/>
          <w:szCs w:val="28"/>
        </w:rPr>
        <w:t xml:space="preserve"> два разных игрока одной команды являются тиммейтами. Условие differentFrom исключает вывод «игрок — тиммейт самого себя».</w:t>
      </w:r>
    </w:p>
    <w:p>
      <w:pPr>
        <w:pStyle w:val="Normal"/>
        <w:rPr>
          <w:i/>
          <w:i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1757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вывода и результат</w:t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0" w:val="04a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Выведенный факт</w:t>
            </w:r>
          </w:p>
        </w:tc>
        <w:tc>
          <w:tcPr>
            <w:tcW w:w="467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Основание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OG participatesIn TI2019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OG выиграла TI2019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TeamSpirit participatesIn TI2021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Team Spirit выиграла TI2021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N0tail, Topson isChampionOf TI2019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играют за OG, OG выиграла TI2019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Yatoro, Collapse isChampionOf TI2021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играют за Team Spirit, она выиграла TI2021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N0tail, Topson playedIn TI2019 и TI2021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OG участвовала в обоих турнирах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Yatoro, Collapse playedIn TI2021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Team Spirit участвовала только в TI2021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N0tail ↔ Topson, Yatoro ↔ Collapse isTeammateOf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играют за одну команду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OG hasPlayer N0tail, Topson; TeamSpirit hasPlayer Yatoro, Collapse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imes New Roman" w:hAnsi="Times New Roman" w:eastAsia="Calibri" w:cs="Calibri"/>
                <w:kern w:val="0"/>
                <w:sz w:val="28"/>
                <w:szCs w:val="28"/>
                <w:lang w:val="en-US"/>
              </w:rPr>
            </w:pPr>
            <w:r>
              <w:rPr>
                <w:rFonts w:eastAsia="Calibri" w:cs="Calibri" w:ascii="Times New Roman" w:hAnsi="Times New Roman"/>
                <w:kern w:val="0"/>
                <w:sz w:val="28"/>
                <w:szCs w:val="28"/>
                <w:lang w:val="en-US"/>
              </w:rPr>
              <w:t>обратное свойство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Контрольная проверка: у Topson есть playedIn TI2021, но нет isChampionOf TI2021, а у Yatoro нет фактов о TI2019. Правила различают участие и победу и не связывают все объекты подряд.</w:t>
      </w:r>
    </w:p>
    <w:p>
      <w:pPr>
        <w:pStyle w:val="Normal"/>
        <w:rPr>
          <w:i/>
          <w:i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-260350</wp:posOffset>
            </wp:positionH>
            <wp:positionV relativeFrom="paragraph">
              <wp:posOffset>149225</wp:posOffset>
            </wp:positionV>
            <wp:extent cx="5858510" cy="544893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544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Онтологическая модель «Киберспорт (Dota 2)» построена и реализована в двух инструментах. Из 7 введённых вручную фактов система вывела 20 новых связей: участие команд, чемпионов турниров, участие игроков и тиммейтов.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Оба инструмента дали одинаковый результат, но разными способами. Protégé подходит для строгого описания предметной области и автоматического вывода с проверкой противоречий. Neo4j удобнее для хранения больших связанных данных и их визуализации.</w:t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показала свойство эмерджентности на практике: знания о чемпионах и тиммейтах не содержатся ни в одном элементе модели и возникают только из связей между элементами.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7</Pages>
  <Words>660</Words>
  <Characters>4278</Characters>
  <CharactersWithSpaces>4957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node/fb584de2-f44e@7 docx-w6</dc:description>
  <dc:language>ru-RU</dc:language>
  <cp:lastModifiedBy/>
  <dcterms:modified xsi:type="dcterms:W3CDTF">2026-10-06T16:48:55Z</dcterms:modified>
  <cp:revision>8</cp:revision>
  <dc:subject/>
  <dc:title>Отчёт по лабораторной работе №3 онтологическая модель «Киберспорт (Dota 2)»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