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12"/>
        <w:ind w:firstLine="482" w:left="-420" w:right="0"/>
        <w:jc w:val="center"/>
        <w:rPr>
          <w:rFonts w:ascii="宋体" w:hAnsi="宋体" w:cs="宋体"/>
          <w:b/>
          <w:sz w:val="32"/>
          <w:szCs w:val="32"/>
        </w:rPr>
      </w:pPr>
      <w:r>
        <w:rPr>
          <w:rFonts w:ascii="宋体" w:hAnsi="宋体" w:cs="宋体"/>
          <w:b/>
          <w:sz w:val="32"/>
          <w:szCs w:val="32"/>
        </w:rPr>
        <w:t>阶段项目考核验收表</w:t>
      </w:r>
    </w:p>
    <w:tbl>
      <w:tblPr>
        <w:tblW w:w="90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499"/>
        <w:gridCol w:w="1118"/>
        <w:gridCol w:w="792"/>
        <w:gridCol w:w="1202"/>
        <w:gridCol w:w="1560"/>
        <w:gridCol w:w="357"/>
        <w:gridCol w:w="2205"/>
      </w:tblGrid>
      <w:tr>
        <w:trPr/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姓名</w:t>
            </w:r>
          </w:p>
        </w:tc>
        <w:tc>
          <w:tcPr>
            <w:tcW w:w="1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班级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1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答辩验收时间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36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Qt点餐终端系统</w:t>
            </w:r>
          </w:p>
        </w:tc>
        <w:tc>
          <w:tcPr>
            <w:tcW w:w="1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指导老师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361" w:left="-420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>
          <w:trHeight w:val="90" w:hRule="atLeast"/>
          <w:cantSplit w:val="true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设计目标</w:t>
            </w:r>
          </w:p>
        </w:tc>
        <w:tc>
          <w:tcPr>
            <w:tcW w:w="7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本项目是一个模拟餐厅自助点餐场景的桌面端系统，解决传统餐厅人工点餐效率低、易出错、排队等候时间长等现实问题。</w:t>
              <w:br/>
              <w:br/>
              <w:t>使用场景：餐厅顾客通过客户端自助浏览菜单、选择菜品、加入购物车并提交订单；餐厅后台管理员通过服务器端管理菜单、接收订单、维护数据库，实现前后端分离的高效点餐流程。</w:t>
              <w:br/>
              <w:br/>
              <w:t>客户端运行在6818开发板（800x480触摸屏）上，适合嵌入式餐厅终端场景；服务器端运行在PC上，供后厨和管理员使用。</w:t>
            </w:r>
          </w:p>
        </w:tc>
      </w:tr>
      <w:tr>
        <w:trPr>
          <w:trHeight w:val="2123" w:hRule="atLeast"/>
          <w:cantSplit w:val="true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功能描述</w:t>
            </w:r>
          </w:p>
        </w:tc>
        <w:tc>
          <w:tcPr>
            <w:tcW w:w="7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【具体可操作功能】</w:t>
              <w:br/>
              <w:t>1. 管理员登录/注册：服务器端启动后先进入登录界面，支持账号密码登录和注册新账号，密码MD5加密存储。</w:t>
              <w:br/>
              <w:t>2. 菜单下发：服务器从SQLite数据库读取上架菜品，通过TCP以JSON格式发送给客户端。</w:t>
              <w:br/>
              <w:t>3. 菜单展示：客户端使用QListWidget自定义条目展示菜品，包含图片、菜名、价格、库存、数量选择和加购按钮。</w:t>
              <w:br/>
              <w:t>4. 购物车管理：支持添加菜品、修改数量、删除菜品、清空购物车，自动计算总价。</w:t>
              <w:br/>
              <w:t>5. 订单提交：客户端提交餐桌号、就餐人数、订单明细、总价和时间的JSON订单数据。</w:t>
              <w:br/>
              <w:t>6. 订单保存：服务器接收订单后使用数据库事务写入orders和order_detail表。</w:t>
              <w:br/>
              <w:t>7. 实时时间：客户端和服务器端均使用QTimer每秒刷新显示当前时间。</w:t>
              <w:br/>
              <w:t>8. 菜品添加：服务器端管理员可添加新菜品，支持选择菜品图片（JPG/PNG，建议200x200以上）。</w:t>
              <w:br/>
              <w:t>9. 主题切换：客户端和服务器端均支持12种颜色主题选择（经典白、暗夜黑、海洋蓝、森林绿、樱花粉、日落橙、薰衣紫、咖啡棕、天空青、玫瑰红、薄荷绿、琥珀金）。</w:t>
              <w:br/>
              <w:t>10. 自定义背景：两端均可设置背景图片（服务器建议1920x1080，客户端建议800x480），通过paintEvent绘制。</w:t>
              <w:br/>
              <w:t>11. 结算二维码：退出时弹出200x200的结算二维码图片。</w:t>
              <w:br/>
              <w:br/>
              <w:t>【硬件平台】</w:t>
              <w:br/>
              <w:t>客户端：6818开发板（ARM Cortex-A53，800x480 LCD触摸屏）</w:t>
              <w:br/>
              <w:t>服务器端：PC（Windows/Linux）</w:t>
              <w:br/>
              <w:br/>
              <w:t>【软件平台】</w:t>
              <w:br/>
              <w:t>操作系统：Linux（Ubuntu）/ Windows</w:t>
              <w:br/>
              <w:t>开发框架：Qt 5（Widgets模块）</w:t>
              <w:br/>
              <w:t>编程语言：C++17</w:t>
              <w:br/>
              <w:t>编译工具：qmake + gcc/arm-linux-gnueabihf-gcc</w:t>
              <w:br/>
              <w:t>开发IDE：Qt Creator</w:t>
              <w:br/>
              <w:t>数据库：SQLite（QSQLITE驱动）</w:t>
              <w:br/>
              <w:br/>
              <w:t>【关键技术】</w:t>
              <w:br/>
              <w:t>网络通信：QTcpServer/QTcpSocket + JSON序列化</w:t>
              <w:br/>
              <w:t>界面开发：Qt Widgets（QListWidget自定义条目、QTableWidget、QTabWidget）</w:t>
              <w:br/>
              <w:t>数据管理：QSqlDatabase + 事务处理</w:t>
              <w:br/>
              <w:t>图片处理：QPixmap + base64编解码 + QFile文件复制</w:t>
              <w:br/>
              <w:t>主题管理：QApplication::setStyleSheet() + QSettings持久化</w:t>
              <w:br/>
              <w:t>背景绘制：QPainter::drawPixmap() paintEvent方式</w:t>
              <w:br/>
              <w:t>定时器：QTimer timeout信号 + QDateTime时间格式化</w:t>
            </w:r>
          </w:p>
        </w:tc>
      </w:tr>
      <w:tr>
        <w:trPr>
          <w:trHeight w:val="2093" w:hRule="atLeast"/>
          <w:cantSplit w:val="true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设计方案</w:t>
            </w:r>
          </w:p>
        </w:tc>
        <w:tc>
          <w:tcPr>
            <w:tcW w:w="7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【可行性分析】</w:t>
              <w:br/>
              <w:t>Qt框架成熟稳定，跨平台支持好；SQLite轻量无需安装；TCP Socket通信可靠；6818开发板支持Qt Embedded Linux运行。技术方案完全可行。</w:t>
              <w:br/>
              <w:br/>
              <w:t>【需求分析】</w:t>
              <w:br/>
              <w:t>核心需求：客户端浏览菜单→选择菜品→提交订单；服务器端管理菜单→接收订单→保存数据库。</w:t>
              <w:br/>
              <w:t>扩展需求：登录注册、菜品图片、购物车管理、主题切换、自定义背景、结算二维码。</w:t>
              <w:br/>
              <w:br/>
              <w:t>【接口文档设计】</w:t>
              <w:br/>
              <w:t>通信协议采用JSON格式，TCP传输：</w:t>
              <w:br/>
              <w:t xml:space="preserve">  客户端→服务器：{ "type": "get_menu" } 请求菜单</w:t>
              <w:br/>
              <w:t xml:space="preserve">  服务器→客户端：{ "type": "menu_data", "data": [...] } 菜单数据（含image_data base64）</w:t>
              <w:br/>
              <w:t xml:space="preserve">  客户端→服务器：{ "type": "submit_order", "order": {...} } 提交订单</w:t>
              <w:br/>
              <w:t xml:space="preserve">  服务器→客户端：{ "type": "order_result", "success": bool, "order_id": int } 订单结果</w:t>
              <w:br/>
              <w:br/>
              <w:t>【数据库设计】</w:t>
              <w:br/>
              <w:t>dish表（菜品：编号/名称/单价/库存/描述/图片路径/状态）</w:t>
              <w:br/>
              <w:t>orders表（订单主表：订单号/餐桌号/人数/总价/时间/状态）</w:t>
              <w:br/>
              <w:t>order_detail表（订单详情：详情号/订单号/菜品号/名称/单价/数量/小计）</w:t>
              <w:br/>
              <w:t>user表（用户：编号/用户名/密码MD5/注册时间）</w:t>
              <w:br/>
              <w:br/>
              <w:t>【进度安排】总工期3天</w:t>
              <w:br/>
              <w:t>第一天上午：项目分析、数据库设计、通信协议定义</w:t>
              <w:br/>
              <w:t>第一天下午：服务器端界面搭建、数据库CRUD、TCP服务器实现</w:t>
              <w:br/>
              <w:t>第一天晚上：客户端界面搭建、TCP客户端、菜单展示</w:t>
              <w:br/>
              <w:t>第二天上午：购物车管理（CartManager）、QListWidget自定义条目</w:t>
              <w:br/>
              <w:t>第二天下午：订单提交与接收、数据库事务保存</w:t>
              <w:br/>
              <w:t>第二天晚上：登录注册界面、菜品添加功能、菜品图片</w:t>
              <w:br/>
              <w:t>第三天上午：QTimer时间显示、主题管理器（12种颜色）、背景图片</w:t>
              <w:br/>
              <w:t>第三天下午：结算二维码、6818板适配（800x480）、联调测试</w:t>
              <w:br/>
              <w:t>第三天晚上：界面优化、异常测试、准备答辩演示</w:t>
            </w:r>
          </w:p>
        </w:tc>
      </w:tr>
      <w:tr>
        <w:trPr>
          <w:trHeight w:val="4951" w:hRule="atLeast"/>
          <w:cantSplit w:val="true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系统框架流程图</w:t>
            </w:r>
          </w:p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7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【系统整体运行流程】</w:t>
              <w:br/>
              <w:br/>
              <w:t>启动阶段：</w:t>
              <w:br/>
              <w:t xml:space="preserve">  main() → 初始化DbManager → 显示LoginDialog → 登录成功 → 显示ServerWidget</w:t>
              <w:br/>
              <w:t xml:space="preserve">  main() → 显示ClientWidget</w:t>
              <w:br/>
              <w:br/>
              <w:t>服务器端主流程：</w:t>
              <w:br/>
              <w:t xml:space="preserve">  ServerWidget::initUI()</w:t>
              <w:br/>
              <w:t xml:space="preserve">    → DbManager::initDatabase() 创建表/迁移/测试数据</w:t>
              <w:br/>
              <w:t xml:space="preserve">    → MyTcpServer::start() 监听8888端口</w:t>
              <w:br/>
              <w:t xml:space="preserve">    → QTimer::start(1000) 时间刷新</w:t>
              <w:br/>
              <w:br/>
              <w:t>客户端主流程：</w:t>
              <w:br/>
              <w:t xml:space="preserve">  ClientWidget::initUI()</w:t>
              <w:br/>
              <w:t xml:space="preserve">    → MyTcpClient::connectToServer() 连接服务器</w:t>
              <w:br/>
              <w:t xml:space="preserve">    → MyTcpClient::requestMenu() 请求菜单</w:t>
              <w:br/>
              <w:t xml:space="preserve">    → onMenuReceived() 解析JSON+base64图片 → DishItemWidget展示</w:t>
              <w:br/>
              <w:t xml:space="preserve">    → 用户操作购物车 → CartManager管理</w:t>
              <w:br/>
              <w:t xml:space="preserve">    → MyTcpClient::submitOrder() 提交订单</w:t>
              <w:br/>
              <w:br/>
              <w:t>数据流：</w:t>
              <w:br/>
              <w:t xml:space="preserve">  服务器 DB → DbManager::getMenuJson() → MyTcpServer发送JSON → MyTcpClient接收</w:t>
              <w:br/>
              <w:t xml:space="preserve">  → ClientWidget解析 → DishItemWidget显示</w:t>
              <w:br/>
              <w:br/>
              <w:t xml:space="preserve">  客户端 CartManager::toJsonArray() → MyTcpClient提交 → MyTcpServer接收</w:t>
              <w:br/>
              <w:t xml:space="preserve">  → DbManager::saveOrder() 事务写入 → orders + order_detail表</w:t>
              <w:br/>
              <w:br/>
              <w:t>【主要函数接口调用流程】</w:t>
              <w:br/>
              <w:t xml:space="preserve">  DbManager::initDatabase() → createTables() → migrateDatabase() → insertTestData()</w:t>
              <w:br/>
              <w:t xml:space="preserve">  DbManager::saveOrder() → 开启事务 → INSERT orders → INSERT order_detail → 提交</w:t>
              <w:br/>
              <w:t xml:space="preserve">  MyTcpServer::onReadyRead() → parseJson() → emit menuRequested()/orderReceived()</w:t>
              <w:br/>
              <w:t xml:space="preserve">  CartManager::addItem() → recalculate() → emit cartChanged()/totalPriceChanged()</w:t>
              <w:br/>
              <w:t xml:space="preserve">  ThemeManager::applyTheme() → generateStyleSheet() → QApplication::setStyleSheet()</w:t>
              <w:br/>
              <w:t xml:space="preserve">  ServerWidget::paintEvent() → ThemeManager::backgroundPixmap() → QPainter::drawPixmap()</w:t>
            </w:r>
          </w:p>
        </w:tc>
      </w:tr>
      <w:tr>
        <w:trPr>
          <w:trHeight w:val="2922" w:hRule="atLeast"/>
          <w:cantSplit w:val="true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实现过程</w:t>
            </w:r>
          </w:p>
        </w:tc>
        <w:tc>
          <w:tcPr>
            <w:tcW w:w="7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【主要函数接口及功能】</w:t>
              <w:br/>
              <w:br/>
              <w:t>1. DbManager::initDatabase()：初始化数据库，创建4张表（user/dish/orders/order_detail），自动迁移新增列（image_path），插入14条测试菜品数据和默认管理员账号admin/admin123。</w:t>
              <w:br/>
              <w:br/>
              <w:t>2. DbManager::saveOrder(const QJsonObject&amp;)：使用QSqlDatabase::transaction()开启事务，先INSERT到orders主表获取order_id，再逐条INSERT到order_detail详情表，最后commit()提交。任何一步失败则rollback()回滚，保证数据一致性。</w:t>
              <w:br/>
              <w:br/>
              <w:t>3. DbManager::getMenuJson()：SELECT查询status=1的上架菜品，将image_path指向的图片读取后base64编码嵌入JSON的image_data字段，供客户端解码显示。</w:t>
              <w:br/>
              <w:br/>
              <w:t>4. MyTcpServer::onReadyRead()：从QTcpSocket读取数据，QJsonDocument::fromJson()解析，根据type字段分发：get_menu触发menuRequested信号，submit_order触发orderReceived信号。</w:t>
              <w:br/>
              <w:br/>
              <w:t>5. CartManager::addItem()/updateItem()/removeItem()/clearCart()：购物车核心逻辑，addItem时若菜品已存在则累加数量，所有修改操作统一调用recalculate()重算总价，通过cartChanged和totalPriceChanged信号通知界面刷新。</w:t>
              <w:br/>
              <w:br/>
              <w:t>6. DishItemWidget：自定义QWidget嵌入QListWidget，构造时接收imageData(QByteArray)，用QPixmap::loadFromData()解码显示48x48菜品缩略图。</w:t>
              <w:br/>
              <w:br/>
              <w:t>7. ThemeManager::applyTheme(int index)：根据ThemePalette生成完整QSS样式表，覆盖QWidget/QPushButton/QLineEdit/QTableWidget等所有控件，通过QApplication::setStyleSheet()全局应用。</w:t>
              <w:br/>
              <w:br/>
              <w:t>8. ServerWidget/ClientWidget::paintEvent()：从ThemeManager获取背景QPixmap，用QPainter::drawPixmap()缩放绘制到窗口，实现可靠的背景图片显示。</w:t>
              <w:br/>
              <w:br/>
              <w:t>【遇到的问题及解决方案】</w:t>
              <w:br/>
              <w:t>问题1：背景图片无法显示。原因：CSS background-image在Qt中路径解析不可靠，Windows反斜杠路径问题。解决：改用paintEvent + QPainter.drawPixmap()绘制，最可靠。</w:t>
              <w:br/>
              <w:br/>
              <w:t>问题2：添加菜品失败。原因：QFile::copy()目标文件已存在时返回false；getImagePath()未实现导致链接错误。解决：复制前QFile::remove()删除已存在文件；新增m_finalImagePath成员变量。</w:t>
              <w:br/>
              <w:br/>
              <w:t>问题3：数据库缺少image_path列。原因：旧数据库表结构不含该列。解决：新增migrateDatabase()方法，ALTER TABLE dish ADD COLUMN image_path自动迁移。</w:t>
              <w:br/>
              <w:br/>
              <w:t>问题4：客户端在6818板800x480屏幕上控件溢出。原因：原布局按1000x700设计。解决：resize(800,480)，缩小图片(48x48)、字体(10-13px)、按钮(52x26)、间距(4px)。</w:t>
            </w:r>
          </w:p>
        </w:tc>
      </w:tr>
      <w:tr>
        <w:trPr>
          <w:trHeight w:val="1740" w:hRule="atLeast"/>
          <w:cantSplit w:val="true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auto" w:line="360"/>
              <w:ind w:firstLine="361" w:left="-420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心得体会</w:t>
            </w:r>
          </w:p>
        </w:tc>
        <w:tc>
          <w:tcPr>
            <w:tcW w:w="7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通过本次Qt点餐终端项目的开发，我深入理解了C/S架构的完整开发流程，从需求分析、数据库设计、通信协议定义到界面实现和联调测试，每一步都需要严谨的设计和细致的实现。</w:t>
              <w:br/>
              <w:br/>
              <w:t>在技术层面，我掌握了以下核心能力：一是Qt网络编程，通过QTcpServer/QTcpSocket实现可靠的TCP通信，使用JSON格式进行数据序列化与反序列化；二是Qt数据库编程，使用QSqlDatabase操作SQLite，掌握了事务处理保证数据一致性的方法；三是Qt界面开发，熟练运用QListWidget自定义条目、信号槽机制、QTimer定时器、QPainter自绘等核心技术。</w:t>
              <w:br/>
              <w:br/>
              <w:t>在项目过程中遇到的最大挑战是背景图片显示问题，CSS的background-image在Qt中路径解析不可靠，最终通过paintEvent重绘方式彻底解决。这让我深刻体会到Qt绘图体系的灵活性，也认识到不能过度依赖CSS，底层绘图API往往更可控。此外，数据库迁移问题也让我学会了在项目迭代中如何兼容旧数据结构。</w:t>
              <w:br/>
              <w:br/>
              <w:t>在嵌入式适配方面，将客户端部署到6818开发板（800x480屏幕）上运行，需要重新调整所有控件尺寸和布局策略，这让我理解了UI适配的重要性——不能只考虑PC端显示效果，还要考虑目标硬件的实际分辨率和触摸交互体验。</w:t>
              <w:br/>
              <w:br/>
              <w:t>总体而言，本项目让我从零到一完成了一个完整的桌面端应用系统，锻炼了系统设计、代码实现、问题排查和项目管理的综合能力，为后续更复杂的项目开发打下了坚实基础。</w:t>
            </w:r>
          </w:p>
        </w:tc>
      </w:tr>
      <w:tr>
        <w:trPr>
          <w:trHeight w:val="337" w:hRule="atLeast"/>
          <w:cantSplit w:val="true"/>
        </w:trPr>
        <w:tc>
          <w:tcPr>
            <w:tcW w:w="90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firstLine="315" w:left="-420" w:right="0"/>
              <w:jc w:val="left"/>
              <w:rPr>
                <w:i/>
                <w:i/>
              </w:rPr>
            </w:pPr>
            <w:r>
              <w:rPr>
                <w:i/>
              </w:rPr>
              <w:t>以下内容由验收官填写</w:t>
            </w:r>
          </w:p>
        </w:tc>
      </w:tr>
      <w:tr>
        <w:trPr>
          <w:trHeight w:val="442" w:hRule="atLeast"/>
          <w:cantSplit w:val="true"/>
        </w:trPr>
        <w:tc>
          <w:tcPr>
            <w:tcW w:w="1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  <w:t>功能的完整程度</w:t>
            </w:r>
          </w:p>
        </w:tc>
        <w:tc>
          <w:tcPr>
            <w:tcW w:w="72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>
                <w:bdr w:val="single" w:sz="4" w:space="0" w:color="000000"/>
              </w:rPr>
            </w:pPr>
            <w:r>
              <w:rPr>
                <w:rFonts w:eastAsia="Times New Roman"/>
              </w:rPr>
              <w:t xml:space="preserve">   </w:t>
              <w:pict>
                <v:shapetype id="_x0000_t201" coordsize="21600,21600" o:spt="201" path="m,l,21600l21600,21600l21600,xe">
                  <v:stroke joinstyle="miter"/>
                  <v:path shadowok="f" o:extrusionok="f" strokeok="f" fillok="f" o:connecttype="rect"/>
                  <o:lock v:ext="edit" shapetype="t"/>
                </v:shapetype>
                <v:shape id="control_shape_0" o:allowincell="t" style="position:absolute;margin-left:0.7pt;margin-top:3.45pt;width:76.15pt;height:15.55pt" type="#_x0000_t201">
                  <w10:wrap type="none"/>
                </v:shape>
                <w:control r:id="rId2" w:name="Control 83" w:shapeid="control_shape_0"/>
              </w:pict>
              <w:pict>
                <v:shape id="control_shape_1" o:allowincell="t" style="position:absolute;margin-left:80.45pt;margin-top:3.45pt;width:77.95pt;height:15.55pt" type="#_x0000_t201">
                  <w10:wrap type="none"/>
                </v:shape>
                <w:control r:id="rId3" w:name="Control 81" w:shapeid="control_shape_1"/>
              </w:pict>
              <w:pict>
                <v:shape id="control_shape_2" o:allowincell="t" style="position:absolute;margin-left:157.05pt;margin-top:3.45pt;width:76.75pt;height:15.55pt" type="#_x0000_t201">
                  <w10:wrap type="none"/>
                </v:shape>
                <w:control r:id="rId4" w:name="Control 82" w:shapeid="control_shape_2"/>
              </w:pict>
              <w:pict>
                <v:shape id="control_shape_3" o:allowincell="t" style="position:absolute;margin-left:236.65pt;margin-top:4pt;width:91.75pt;height:15.55pt" type="#_x0000_t201">
                  <w10:wrap type="none"/>
                </v:shape>
                <w:control r:id="rId5" w:name="Control 8" w:shapeid="control_shape_3"/>
              </w:pict>
            </w:r>
          </w:p>
        </w:tc>
      </w:tr>
      <w:tr>
        <w:trPr>
          <w:trHeight w:val="417" w:hRule="atLeast"/>
          <w:cantSplit w:val="true"/>
        </w:trPr>
        <w:tc>
          <w:tcPr>
            <w:tcW w:w="1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  <w:t>表达的流利程度</w:t>
            </w:r>
          </w:p>
        </w:tc>
        <w:tc>
          <w:tcPr>
            <w:tcW w:w="72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</w:t>
              <w:pict>
                <v:shape id="control_shape_4" o:allowincell="t" style="position:absolute;margin-left:0.7pt;margin-top:3.45pt;width:76.15pt;height:15.55pt" type="#_x0000_t201">
                  <w10:wrap type="none"/>
                </v:shape>
                <w:control r:id="rId6" w:name="Control 87" w:shapeid="control_shape_4"/>
              </w:pict>
              <w:pict>
                <v:shape id="control_shape_5" o:allowincell="t" style="position:absolute;margin-left:80.45pt;margin-top:3.45pt;width:77.95pt;height:15.55pt" type="#_x0000_t201">
                  <w10:wrap type="none"/>
                </v:shape>
                <w:control r:id="rId7" w:name="Control 85" w:shapeid="control_shape_5"/>
              </w:pict>
              <w:pict>
                <v:shape id="control_shape_6" o:allowincell="t" style="position:absolute;margin-left:157.05pt;margin-top:3.45pt;width:76.75pt;height:15.55pt" type="#_x0000_t201">
                  <w10:wrap type="none"/>
                </v:shape>
                <w:control r:id="rId8" w:name="Control 86" w:shapeid="control_shape_6"/>
              </w:pict>
              <w:pict>
                <v:shape id="control_shape_7" o:allowincell="t" style="position:absolute;margin-left:236.65pt;margin-top:4pt;width:91.75pt;height:15.55pt" type="#_x0000_t201">
                  <w10:wrap type="none"/>
                </v:shape>
                <w:control r:id="rId9" w:name="Control 84" w:shapeid="control_shape_7"/>
              </w:pict>
            </w:r>
          </w:p>
        </w:tc>
      </w:tr>
      <w:tr>
        <w:trPr>
          <w:trHeight w:val="417" w:hRule="atLeast"/>
          <w:cantSplit w:val="true"/>
        </w:trPr>
        <w:tc>
          <w:tcPr>
            <w:tcW w:w="1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  <w:t>代码的规范程度</w:t>
            </w:r>
          </w:p>
        </w:tc>
        <w:tc>
          <w:tcPr>
            <w:tcW w:w="72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</w:t>
              <w:pict>
                <v:shape id="control_shape_8" o:allowincell="t" style="position:absolute;margin-left:0.7pt;margin-top:3.45pt;width:76.15pt;height:15.55pt" type="#_x0000_t201">
                  <w10:wrap type="none"/>
                </v:shape>
                <w:control r:id="rId10" w:name="Control 811" w:shapeid="control_shape_8"/>
              </w:pict>
              <w:pict>
                <v:shape id="control_shape_9" o:allowincell="t" style="position:absolute;margin-left:80.45pt;margin-top:3.45pt;width:77.95pt;height:15.55pt" type="#_x0000_t201">
                  <w10:wrap type="none"/>
                </v:shape>
                <w:control r:id="rId11" w:name="Control 89" w:shapeid="control_shape_9"/>
              </w:pict>
              <w:pict>
                <v:shape id="control_shape_10" o:allowincell="t" style="position:absolute;margin-left:157.05pt;margin-top:3.45pt;width:76.75pt;height:15.55pt" type="#_x0000_t201">
                  <w10:wrap type="none"/>
                </v:shape>
                <w:control r:id="rId12" w:name="Control 810" w:shapeid="control_shape_10"/>
              </w:pict>
              <w:pict>
                <v:shape id="control_shape_11" o:allowincell="t" style="position:absolute;margin-left:236.65pt;margin-top:4pt;width:91.75pt;height:15.55pt" type="#_x0000_t201">
                  <w10:wrap type="none"/>
                </v:shape>
                <w:control r:id="rId13" w:name="Control 88" w:shapeid="control_shape_11"/>
              </w:pict>
            </w:r>
          </w:p>
        </w:tc>
      </w:tr>
      <w:tr>
        <w:trPr>
          <w:trHeight w:val="417" w:hRule="atLeast"/>
          <w:cantSplit w:val="true"/>
        </w:trPr>
        <w:tc>
          <w:tcPr>
            <w:tcW w:w="1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  <w:t>总分：</w:t>
            </w:r>
          </w:p>
        </w:tc>
        <w:tc>
          <w:tcPr>
            <w:tcW w:w="31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="315" w:left="-420" w:right="0"/>
              <w:jc w:val="left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525" w:left="-420" w:right="0"/>
              <w:jc w:val="left"/>
              <w:rPr/>
            </w:pPr>
            <w:r>
              <w:rPr/>
              <w:t>验收官：</w:t>
            </w:r>
          </w:p>
        </w:tc>
        <w:tc>
          <w:tcPr>
            <w:tcW w:w="2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="315" w:left="-420" w:right="0"/>
              <w:jc w:val="left"/>
              <w:rPr/>
            </w:pPr>
            <w:r>
              <w:rPr/>
            </w:r>
          </w:p>
        </w:tc>
      </w:tr>
      <w:tr>
        <w:trPr>
          <w:trHeight w:val="1987" w:hRule="atLeast"/>
          <w:cantSplit w:val="true"/>
        </w:trPr>
        <w:tc>
          <w:tcPr>
            <w:tcW w:w="90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  <w:t>评语：</w:t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ind w:firstLine="315" w:left="-420" w:right="0"/>
              <w:jc w:val="left"/>
              <w:rPr/>
            </w:pPr>
            <w:r>
              <w:rPr/>
            </w:r>
          </w:p>
          <w:p>
            <w:pPr>
              <w:pStyle w:val="Normal"/>
              <w:ind w:firstLine="315" w:left="-420" w:right="0"/>
              <w:jc w:val="left"/>
              <w:rPr/>
            </w:pPr>
            <w:r>
              <w:rPr/>
            </w:r>
          </w:p>
        </w:tc>
      </w:tr>
    </w:tbl>
    <w:p>
      <w:pPr>
        <w:pStyle w:val="Normal"/>
        <w:ind w:firstLine="225" w:left="-420" w:right="0"/>
        <w:rPr>
          <w:rFonts w:ascii="仿宋_GB2312;仿宋" w:hAnsi="仿宋_GB2312;仿宋" w:eastAsia="仿宋_GB2312;仿宋"/>
          <w:sz w:val="15"/>
          <w:szCs w:val="15"/>
        </w:rPr>
      </w:pPr>
      <w:r>
        <w:rPr>
          <w:rFonts w:ascii="仿宋_GB2312;仿宋" w:hAnsi="仿宋_GB2312;仿宋" w:eastAsia="仿宋_GB2312;仿宋"/>
          <w:sz w:val="15"/>
          <w:szCs w:val="15"/>
        </w:rPr>
        <w:t>使用说明：</w:t>
      </w:r>
    </w:p>
    <w:p>
      <w:pPr>
        <w:pStyle w:val="Normal"/>
        <w:ind w:firstLine="225" w:left="-420" w:right="0"/>
        <w:rPr>
          <w:rFonts w:ascii="仿宋_GB2312;仿宋" w:hAnsi="仿宋_GB2312;仿宋" w:eastAsia="仿宋_GB2312;仿宋" w:cs="宋体"/>
          <w:sz w:val="15"/>
          <w:szCs w:val="15"/>
        </w:rPr>
      </w:pPr>
      <w:r>
        <w:rPr>
          <w:rFonts w:eastAsia="仿宋_GB2312;仿宋" w:cs="宋体" w:ascii="仿宋_GB2312;仿宋" w:hAnsi="仿宋_GB2312;仿宋"/>
          <w:sz w:val="15"/>
          <w:szCs w:val="15"/>
        </w:rPr>
        <w:t>1.</w:t>
      </w:r>
      <w:r>
        <w:rPr>
          <w:rFonts w:ascii="仿宋_GB2312;仿宋" w:hAnsi="仿宋_GB2312;仿宋" w:cs="宋体" w:eastAsia="仿宋_GB2312;仿宋"/>
          <w:sz w:val="15"/>
          <w:szCs w:val="15"/>
        </w:rPr>
        <w:t>此表在“阶段项目”和“大项目”阶段使用，并作为学生阶段成绩的参考依据。</w:t>
      </w:r>
    </w:p>
    <w:p>
      <w:pPr>
        <w:pStyle w:val="Normal"/>
        <w:ind w:firstLine="225" w:left="-420" w:right="0"/>
        <w:rPr>
          <w:rFonts w:ascii="仿宋_GB2312;仿宋" w:hAnsi="仿宋_GB2312;仿宋" w:eastAsia="仿宋_GB2312;仿宋" w:cs="宋体"/>
          <w:sz w:val="15"/>
          <w:szCs w:val="15"/>
        </w:rPr>
      </w:pPr>
      <w:r>
        <w:rPr>
          <w:rFonts w:eastAsia="仿宋_GB2312;仿宋" w:cs="宋体" w:ascii="仿宋_GB2312;仿宋" w:hAnsi="仿宋_GB2312;仿宋"/>
          <w:sz w:val="15"/>
          <w:szCs w:val="15"/>
        </w:rPr>
        <w:t>2.</w:t>
      </w:r>
      <w:r>
        <w:rPr>
          <w:rFonts w:ascii="仿宋_GB2312;仿宋" w:hAnsi="仿宋_GB2312;仿宋" w:cs="宋体" w:eastAsia="仿宋_GB2312;仿宋"/>
          <w:sz w:val="15"/>
          <w:szCs w:val="15"/>
        </w:rPr>
        <w:t>学生在规定的时间内完成项目后，填写此表；并提交给答辩讲师进行项目考核验收。</w:t>
      </w:r>
    </w:p>
    <w:p>
      <w:pPr>
        <w:pStyle w:val="Normal"/>
        <w:ind w:firstLine="225" w:left="-420" w:right="0"/>
        <w:rPr>
          <w:rFonts w:ascii="仿宋_GB2312;仿宋" w:hAnsi="仿宋_GB2312;仿宋" w:eastAsia="仿宋_GB2312;仿宋" w:cs="宋体"/>
          <w:sz w:val="15"/>
          <w:szCs w:val="15"/>
        </w:rPr>
      </w:pPr>
      <w:r>
        <w:rPr>
          <w:rFonts w:eastAsia="仿宋_GB2312;仿宋" w:cs="宋体" w:ascii="仿宋_GB2312;仿宋" w:hAnsi="仿宋_GB2312;仿宋"/>
          <w:sz w:val="15"/>
          <w:szCs w:val="15"/>
        </w:rPr>
        <w:t>3.</w:t>
      </w:r>
      <w:r>
        <w:rPr>
          <w:rFonts w:ascii="仿宋_GB2312;仿宋" w:hAnsi="仿宋_GB2312;仿宋" w:cs="宋体" w:eastAsia="仿宋_GB2312;仿宋"/>
          <w:sz w:val="15"/>
          <w:szCs w:val="15"/>
        </w:rPr>
        <w:t>讲师验收完毕后，将该表交付给班主任，由班主任归档。</w:t>
      </w:r>
    </w:p>
    <w:p>
      <w:pPr>
        <w:pStyle w:val="Normal"/>
        <w:rPr/>
      </w:pPr>
      <w:r>
        <w:rPr/>
      </w:r>
    </w:p>
    <w:sectPr>
      <w:headerReference w:type="default" r:id="rId14"/>
      <w:footerReference w:type="default" r:id="rId15"/>
      <w:type w:val="nextPage"/>
      <w:pgSz w:w="11906" w:h="16838"/>
      <w:pgMar w:left="1797" w:right="1289" w:gutter="0" w:header="691" w:top="1751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0" w:color="000000"/>
      </w:pBdr>
      <w:rPr/>
    </w:pPr>
    <w:r>
      <w:rPr>
        <w:sz w:val="21"/>
        <w:szCs w:val="21"/>
      </w:rPr>
      <w:t>广州粤嵌通信科技股份有限公司</w:t>
    </w:r>
    <w:r>
      <w:rPr>
        <w:rFonts w:eastAsia="Times New Roman"/>
      </w:rPr>
      <w:t xml:space="preserve">                                                </w:t>
    </w:r>
    <w:r>
      <w:rPr/>
      <w:drawing>
        <wp:inline distT="0" distB="0" distL="0" distR="0">
          <wp:extent cx="725170" cy="313690"/>
          <wp:effectExtent l="0" t="0" r="0" b="0"/>
          <wp:docPr id="1" name="图片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0" t="-114" r="-50" b="-114"/>
                  <a:stretch>
                    <a:fillRect/>
                  </a:stretch>
                </pic:blipFill>
                <pic:spPr bwMode="auto">
                  <a:xfrm>
                    <a:off x="0" y="0"/>
                    <a:ext cx="725170" cy="313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WNhMTcyNzQ2YTc3ZjU2ZTJmZWYxNDQ1N2M3YzQzOW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'1.0' encoding='UTF-8' standalone='yes'?>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'1.0' encoding='UTF-8' standalone='yes'?>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'1.0' encoding='UTF-8' standalone='yes'?>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'1.0' encoding='UTF-8' standalone='yes'?>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'1.0' encoding='UTF-8' standalone='yes'?>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'1.0' encoding='UTF-8' standalone='yes'?>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'1.0' encoding='UTF-8' standalone='yes'?>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'1.0' encoding='UTF-8' standalone='yes'?>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'1.0' encoding='UTF-8' standalone='yes'?>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2019-04-01T01:13:00Z</dcterms:created>
  <dc:creator>Vincent</dc:creator>
  <dc:description/>
  <dc:language>en-US</dc:language>
  <cp:lastModifiedBy>Administrator</cp:lastModifiedBy>
  <cp:lastPrinted>2019-08-14T11:35:00Z</cp:lastPrinted>
  <dcterms:modified xsi:type="dcterms:W3CDTF">2026-03-23T01:28:52Z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22458B9036604F3A9307C4F995000E5E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eyJoZGlkIjoiNTVkN2EwYzBmZjVmZDVhOGJkN2Y2YmY3YWI1NGQ5ODQifQ==</vt:lpwstr>
  </property>
</Properties>
</file>