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Heiti TC" w:hAnsi="Heiti TC" w:eastAsia="Heiti TC"/>
          <w:b/>
          <w:color w:val="000000"/>
          <w:sz w:val="42"/>
        </w:rPr>
        <w:t>雲端與 Linux 課程 AI 開放評量設計檢視</w:t>
      </w:r>
    </w:p>
    <w:p>
      <w:pPr>
        <w:spacing w:after="280"/>
      </w:pPr>
      <w:r>
        <w:rPr>
          <w:rFonts w:ascii="Heiti TC" w:hAnsi="Heiti TC" w:eastAsia="Heiti TC"/>
          <w:b/>
          <w:color w:val="17365D"/>
          <w:sz w:val="22"/>
        </w:rPr>
        <w:t>產品從高可答風險轉向可驗證的真實學習證據</w:t>
      </w:r>
    </w:p>
    <w:p>
      <w:pPr>
        <w:spacing w:after="140" w:line="324" w:lineRule="auto"/>
      </w:pPr>
      <w:r>
        <w:rPr>
          <w:rFonts w:ascii="Heiti TC" w:hAnsi="Heiti TC" w:eastAsia="Heiti TC"/>
          <w:color w:val="000000"/>
          <w:sz w:val="22"/>
        </w:rPr>
        <w:t>本檢視以教師敘述的現行作業與開放網路考試為基礎。結論是：問題不在學生是否使用 AI，而在現行評量主要只看最終成品，難以支持對學生真實理解、驗證、除錯與遷移能力的推論。依目前資訊，現行任務約為 3/20，屬極高 AI 可答風險；改為 PAVET 證據鏈後可提高至約 17/20，屬低風險。</w:t>
      </w:r>
    </w:p>
    <w:p>
      <w:pPr>
        <w:pStyle w:val="Heading1"/>
      </w:pPr>
      <w:r>
        <w:t>資料與判讀原則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1800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來源</w:t>
            </w:r>
          </w:p>
        </w:tc>
        <w:tc>
          <w:tcPr>
            <w:tcW w:type="dxa" w:w="1728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狀態</w:t>
            </w:r>
          </w:p>
        </w:tc>
        <w:tc>
          <w:tcPr>
            <w:tcW w:type="dxa" w:w="6120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1800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課堂問題</w:t>
            </w:r>
          </w:p>
        </w:tc>
        <w:tc>
          <w:tcPr>
            <w:tcW w:type="dxa" w:w="1728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教師提供</w:t>
            </w:r>
          </w:p>
        </w:tc>
        <w:tc>
          <w:tcPr>
            <w:tcW w:type="dxa" w:w="6120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現行作業與考試允許使用網路與 AI，主要由最終結果判分。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文獻盤點</w:t>
            </w:r>
          </w:p>
        </w:tc>
        <w:tc>
          <w:tcPr>
            <w:tcW w:type="dxa" w:w="1728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已核對</w:t>
            </w:r>
          </w:p>
        </w:tc>
        <w:tc>
          <w:tcPr>
            <w:tcW w:type="dxa" w:w="612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近十年生成式 AI、認知卸載、真實評量、保留與遷移研究。</w:t>
            </w:r>
          </w:p>
        </w:tc>
      </w:tr>
    </w:tbl>
    <w:p>
      <w:pPr>
        <w:pStyle w:val="Heading1"/>
      </w:pPr>
      <w:r>
        <w:t>現行評量與介入後的風險對照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194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評估向度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現行</w:t>
            </w:r>
          </w:p>
        </w:tc>
        <w:tc>
          <w:tcPr>
            <w:tcW w:type="dxa" w:w="1080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PAVET</w:t>
            </w:r>
          </w:p>
        </w:tc>
        <w:tc>
          <w:tcPr>
            <w:tcW w:type="dxa" w:w="554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設計變化</w:t>
            </w:r>
          </w:p>
        </w:tc>
      </w:tr>
      <w:tr>
        <w:tc>
          <w:tcPr>
            <w:tcW w:type="dxa" w:w="1944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情境特殊性</w:t>
            </w:r>
          </w:p>
        </w:tc>
        <w:tc>
          <w:tcPr>
            <w:tcW w:type="dxa" w:w="1080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80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544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由可直接貼給 AI 的樣板，改為每人參數、故障與即時日誌不同。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輸出獨特性</w:t>
            </w:r>
          </w:p>
        </w:tc>
        <w:tc>
          <w:tcPr>
            <w:tcW w:type="dxa" w:w="108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08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54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由高度相同的指令或答案，改為個別診斷路徑與證據。</w:t>
            </w:r>
          </w:p>
        </w:tc>
      </w:tr>
      <w:tr>
        <w:tc>
          <w:tcPr>
            <w:tcW w:type="dxa" w:w="1944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過程可見性</w:t>
            </w:r>
          </w:p>
        </w:tc>
        <w:tc>
          <w:tcPr>
            <w:tcW w:type="dxa" w:w="1080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0</w:t>
            </w:r>
          </w:p>
        </w:tc>
        <w:tc>
          <w:tcPr>
            <w:tcW w:type="dxa" w:w="1080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5544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新增預判單、AI 決策記錄、終端歷程、驗證表與微口試。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時間即時性</w:t>
            </w:r>
          </w:p>
        </w:tc>
        <w:tc>
          <w:tcPr>
            <w:tcW w:type="dxa" w:w="108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8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3</w:t>
            </w:r>
          </w:p>
        </w:tc>
        <w:tc>
          <w:tcPr>
            <w:tcW w:type="dxa" w:w="554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預判、微口試與變式任務放在課堂限時完成。</w:t>
            </w:r>
          </w:p>
        </w:tc>
      </w:tr>
      <w:tr>
        <w:tc>
          <w:tcPr>
            <w:tcW w:type="dxa" w:w="1944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整合複雜度</w:t>
            </w:r>
          </w:p>
        </w:tc>
        <w:tc>
          <w:tcPr>
            <w:tcW w:type="dxa" w:w="1080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1</w:t>
            </w:r>
          </w:p>
        </w:tc>
        <w:tc>
          <w:tcPr>
            <w:tcW w:type="dxa" w:w="1080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4</w:t>
            </w:r>
          </w:p>
        </w:tc>
        <w:tc>
          <w:tcPr>
            <w:tcW w:type="dxa" w:w="5544"/>
            <w:shd w:fill="F5F6F7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整合概念、系統狀態、工具操作、AI 判讀、驗證與遷移。</w:t>
            </w:r>
          </w:p>
        </w:tc>
      </w:tr>
      <w:tr>
        <w:tc>
          <w:tcPr>
            <w:tcW w:type="dxa" w:w="194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000000"/>
                <w:sz w:val="20"/>
              </w:rPr>
              <w:t>總分</w:t>
            </w:r>
          </w:p>
        </w:tc>
        <w:tc>
          <w:tcPr>
            <w:tcW w:type="dxa" w:w="108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000000"/>
                <w:sz w:val="20"/>
              </w:rPr>
              <w:t>3</w:t>
            </w:r>
          </w:p>
        </w:tc>
        <w:tc>
          <w:tcPr>
            <w:tcW w:type="dxa" w:w="1080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000000"/>
                <w:sz w:val="20"/>
              </w:rPr>
              <w:t>17</w:t>
            </w:r>
          </w:p>
        </w:tc>
        <w:tc>
          <w:tcPr>
            <w:tcW w:type="dxa" w:w="554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/>
                <w:color w:val="000000"/>
                <w:sz w:val="20"/>
              </w:rPr>
              <w:t>由極高風險降為低風險。分數針對任務設計，不用來推定個別學生作弊。</w:t>
            </w:r>
          </w:p>
        </w:tc>
      </w:tr>
    </w:tbl>
    <w:p>
      <w:pPr>
        <w:pStyle w:val="Heading1"/>
      </w:pPr>
      <w:r>
        <w:t>PAVET 真實學習證據鏈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360"/>
        <w:gridCol w:w="3360"/>
        <w:gridCol w:w="3360"/>
      </w:tblGrid>
      <w:tr>
        <w:trPr>
          <w:tblHeader w:val="true"/>
        </w:trPr>
        <w:tc>
          <w:tcPr>
            <w:tcW w:type="dxa" w:w="792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代號</w:t>
            </w:r>
          </w:p>
        </w:tc>
        <w:tc>
          <w:tcPr>
            <w:tcW w:type="dxa" w:w="1584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步驟</w:t>
            </w:r>
          </w:p>
        </w:tc>
        <w:tc>
          <w:tcPr>
            <w:tcW w:type="dxa" w:w="7272"/>
            <w:shd w:fill="17365D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/>
                <w:color w:val="FFFFFF"/>
                <w:sz w:val="20"/>
              </w:rPr>
              <w:t>學習證據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P</w:t>
            </w:r>
          </w:p>
        </w:tc>
        <w:tc>
          <w:tcPr>
            <w:tcW w:type="dxa" w:w="1584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預判</w:t>
            </w:r>
          </w:p>
        </w:tc>
        <w:tc>
          <w:tcPr>
            <w:tcW w:type="dxa" w:w="727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使用 AI 前先寫現象、原因假設、擬執行的檢查與成功準則。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A</w:t>
            </w:r>
          </w:p>
        </w:tc>
        <w:tc>
          <w:tcPr>
            <w:tcW w:type="dxa" w:w="158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AI 協作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開放使用 AI，將重要建議標記為採用、修改或拒絕，並簡述理由。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V</w:t>
            </w:r>
          </w:p>
        </w:tc>
        <w:tc>
          <w:tcPr>
            <w:tcW w:type="dxa" w:w="1584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驗證</w:t>
            </w:r>
          </w:p>
        </w:tc>
        <w:tc>
          <w:tcPr>
            <w:tcW w:type="dxa" w:w="727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執行功能測試、狀態檢查，加入至少一項反例或負向測試。</w:t>
            </w:r>
          </w:p>
        </w:tc>
      </w:tr>
      <w:tr>
        <w:tc>
          <w:tcPr>
            <w:tcW w:type="dxa" w:w="79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E</w:t>
            </w:r>
          </w:p>
        </w:tc>
        <w:tc>
          <w:tcPr>
            <w:tcW w:type="dxa" w:w="1584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解釋</w:t>
            </w:r>
          </w:p>
        </w:tc>
        <w:tc>
          <w:tcPr>
            <w:tcW w:type="dxa" w:w="7272"/>
            <w:shd w:fill="FFFFFF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用微口試說明為何麼這樣做、如何知道已成功，以及失敗時如何查證。</w:t>
            </w:r>
          </w:p>
        </w:tc>
      </w:tr>
      <w:tr>
        <w:tc>
          <w:tcPr>
            <w:tcW w:type="dxa" w:w="79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T</w:t>
            </w:r>
          </w:p>
        </w:tc>
        <w:tc>
          <w:tcPr>
            <w:tcW w:type="dxa" w:w="1584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center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遷移</w:t>
            </w:r>
          </w:p>
        </w:tc>
        <w:tc>
          <w:tcPr>
            <w:tcW w:type="dxa" w:w="7272"/>
            <w:shd w:fill="EAF2F8"/>
            <w:vAlign w:val="center"/>
            <w:tcMar>
              <w:top w:w="110" w:type="dxa"/>
              <w:start w:w="110" w:type="dxa"/>
              <w:bottom w:w="110" w:type="dxa"/>
              <w:end w:w="110" w:type="dxa"/>
            </w:tcMar>
          </w:tcPr>
          <w:p>
            <w:pPr>
              <w:spacing w:before="0" w:after="0" w:line="269" w:lineRule="auto"/>
              <w:jc w:val="left"/>
            </w:pPr>
            <w:r>
              <w:rPr>
                <w:rFonts w:ascii="Heiti TC" w:hAnsi="Heiti TC" w:eastAsia="Heiti TC"/>
                <w:b w:val="0"/>
                <w:color w:val="000000"/>
                <w:sz w:val="20"/>
              </w:rPr>
              <w:t>在參數或故障改變的新情境中，先用 10 至 15 分鐘暫停 AI 完成獨立診斷。</w:t>
            </w:r>
          </w:p>
        </w:tc>
      </w:tr>
    </w:tbl>
    <w:p>
      <w:pPr>
        <w:pStyle w:val="Heading1"/>
      </w:pPr>
      <w:r>
        <w:t>實施建議</w:t>
      </w:r>
    </w:p>
    <w:p>
      <w:pPr>
        <w:spacing w:after="140" w:line="324" w:lineRule="auto"/>
      </w:pPr>
      <w:r>
        <w:rPr>
          <w:rFonts w:ascii="Heiti TC" w:hAnsi="Heiti TC" w:eastAsia="Heiti TC"/>
          <w:b/>
          <w:color w:val="000000"/>
          <w:sz w:val="22"/>
        </w:rPr>
        <w:t>研究用途：</w:t>
      </w:r>
      <w:r>
        <w:rPr>
          <w:rFonts w:ascii="Heiti TC" w:hAnsi="Heiti TC" w:eastAsia="Heiti TC"/>
          <w:color w:val="000000"/>
          <w:sz w:val="22"/>
        </w:rPr>
        <w:t>主要依變項應放在 AI 暫停的變式遷移與延宕保留，當下完成率與作品品質列為次要成效。</w:t>
      </w:r>
    </w:p>
    <w:p>
      <w:pPr>
        <w:spacing w:after="140" w:line="324" w:lineRule="auto"/>
      </w:pPr>
      <w:r>
        <w:rPr>
          <w:rFonts w:ascii="Heiti TC" w:hAnsi="Heiti TC" w:eastAsia="Heiti TC"/>
          <w:b/>
          <w:color w:val="000000"/>
          <w:sz w:val="22"/>
        </w:rPr>
        <w:t>評分重點：</w:t>
      </w:r>
      <w:r>
        <w:rPr>
          <w:rFonts w:ascii="Heiti TC" w:hAnsi="Heiti TC" w:eastAsia="Heiti TC"/>
          <w:color w:val="000000"/>
          <w:sz w:val="22"/>
        </w:rPr>
        <w:t>最終可運作 25%、診斷與命令理由 20%、驗證證據 20%、除錯與修正 15%、口頭解釋 10%、變式遷移 10%。</w:t>
      </w:r>
    </w:p>
    <w:p>
      <w:pPr>
        <w:spacing w:after="140" w:line="324" w:lineRule="auto"/>
      </w:pPr>
      <w:r>
        <w:rPr>
          <w:rFonts w:ascii="Heiti TC" w:hAnsi="Heiti TC" w:eastAsia="Heiti TC"/>
          <w:b/>
          <w:color w:val="000000"/>
          <w:sz w:val="22"/>
        </w:rPr>
        <w:t>使用限制：</w:t>
      </w:r>
      <w:r>
        <w:rPr>
          <w:rFonts w:ascii="Heiti TC" w:hAnsi="Heiti TC" w:eastAsia="Heiti TC"/>
          <w:color w:val="000000"/>
          <w:sz w:val="22"/>
        </w:rPr>
        <w:t>本分數是依目前敘述對評量設計的初步判斷。課程名稱、年級、任務時間與實際作業題型確認後，應重新校正分數。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Heiti TC" w:hAnsi="Heiti TC" w:eastAsia="Heiti TC"/>
        <w:color w:val="666666"/>
        <w:sz w:val="18"/>
      </w:rPr>
      <w:t>教學實踐研究草案  請由教師依實際課程條件確認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Heiti TC" w:hAnsi="Heiti TC" w:eastAsia="Heiti TC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200"/>
      <w:outlineLvl w:val="1"/>
    </w:pPr>
    <w:rPr>
      <w:rFonts w:asciiTheme="majorHAnsi" w:eastAsiaTheme="majorEastAsia" w:hAnsiTheme="majorHAnsi" w:cstheme="majorBidi" w:ascii="Heiti TC" w:hAnsi="Heiti TC" w:eastAsia="Heiti T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contextualSpacing/>
    </w:pPr>
    <w:rPr>
      <w:rFonts w:asciiTheme="majorHAnsi" w:eastAsiaTheme="majorEastAsia" w:hAnsiTheme="majorHAnsi" w:cstheme="majorBidi" w:ascii="Heiti TC" w:hAnsi="Heiti TC" w:eastAsia="Heiti TC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