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（本报告使用示例数据：正式使用时此处粘贴有教师签字的照片。）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46.8</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173.0</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687.0</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65.6</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256.8</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8300" w:type="dxa"/>
      </w:tblPr>
      <w:tblGrid>
        <w:gridCol w:w="1900"/>
        <w:gridCol w:w="600"/>
        <w:gridCol w:w="1160"/>
        <w:gridCol w:w="1160"/>
        <w:gridCol w:w="1160"/>
        <w:gridCol w:w="1160"/>
        <w:gridCol w:w="1160"/>
      </w:tblGrid>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365.0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8.216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7.410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6.882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5.196</w:t>
            </w:r>
          </w:p>
        </w:tc>
      </w:tr>
      <w:tr>
        <w:trPr>
          <w:trHeight w:val="405" w:hRule="atLeast"/>
        </w:trPr>
        <w:tc>
          <w:tcPr>
            <w:tcW w:type="dxa" w:w="1187"/>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−0.180</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−1.515</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0.4214ν − 2.109（ν 以 10¹⁴ Hz 计），相关系数 r = 0.9740，说明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4.2137e-15 V·s，由 h = eK 得普朗克常量 h = 1.602×10⁻¹⁹ × 4.2137e-15 = 6.7504e-34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(6.750e-34 − 6.626×10⁻³⁴)/6.626×10⁻³⁴ = +1.88%。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5.657e-16 V·s，于是 u(h) = e·u(K) = 9.062e-35 J·s，结果写作 h = (6.75 ± 0.91)×10⁻³⁴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2.109 V 就是逸出功对应的电压，Aₛ = 2.109 eV；令 Uₛ = 0 得红限频率 ν₀ = 5.006×10¹⁴ Hz，对应波长 λ₀ ≈ 599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（7）由表 2 验证饱和电流与光强的关系：同一波长下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与光阑孔面积（Φ²）成正比，归一化后 435.8 nm 为 1 : 3.70 : 14.68；546.1 nm 为 1 : 3.64 : 14.27。</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