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（本报告使用示例数据：正式使用时此处粘贴有教师签字的照片。）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46.8</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173.0</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687.0</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65.6</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256.8</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8300" w:type="dxa"/>
      </w:tblPr>
      <w:tblGrid>
        <w:gridCol w:w="1900"/>
        <w:gridCol w:w="600"/>
        <w:gridCol w:w="1160"/>
        <w:gridCol w:w="1160"/>
        <w:gridCol w:w="1160"/>
        <w:gridCol w:w="1160"/>
        <w:gridCol w:w="1160"/>
      </w:tblGrid>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365.0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8.216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7.410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6.882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5.196</w:t>
            </w:r>
          </w:p>
        </w:tc>
      </w:tr>
      <w:tr>
        <w:trPr>
          <w:trHeight w:val="405" w:hRule="atLeast"/>
        </w:trPr>
        <w:tc>
          <w:tcPr>
            <w:tcW w:type="dxa" w:w="1187"/>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−0.180</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−1.515</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0.4214ν − 2.109（ν 以 10¹⁴ Hz 计），相关系数 r = 0.9740，说明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4.2137e-15 V·s，由 h = eK 得普朗克常量 h = 1.602×10⁻¹⁹ × 4.2137e-15 = 6.7504e-34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(6.750e-34 − 6.626×10⁻³⁴)/6.626×10⁻³⁴ = +1.88%。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5.657e-16 V·s，于是 u(h) = e·u(K) = 9.062e-35 J·s，结果写作 h = (6.75 ± 0.91)×10⁻³⁴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2.109 V 就是逸出功对应的电压，Aₛ = 2.109 eV；令 Uₛ = 0 得红限频率 ν₀ = 5.006×10¹⁴ Hz，对应波长 λ₀ ≈ 599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（7）由表 2 验证饱和电流与光强的关系：同一波长下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与光阑孔面积（Φ²）成正比，归一化后 435.8 nm 为 1 : 3.70 : 14.68；546.1 nm 为 1 : 3.64 : 14.27。</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W w:type="auto" w:w="0"/>
        <w:jc w:val="center"/>
        <w:tblLayout w:type="fixed"/>
        <w:tblLook w:firstColumn="1" w:firstRow="1" w:lastColumn="0" w:lastRow="0" w:noHBand="0" w:noVBand="1" w:val="04A0"/>
        <w:tblW w:w="8300" w:type="dxa"/>
      </w:tblPr>
      <w:tblGrid>
        <w:gridCol w:w="8299"/>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tcPr>
          <w:p>
            <w:pPr>
              <w:jc w:val="center"/>
            </w:pPr>
          </w:p>
        </w:tc>
      </w:tr>
    </w:tbl>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