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Tang Primer 20K 项目架构与模块说明</w:t>
      </w:r>
    </w:p>
    <w:p>
      <w:r>
        <w:t>面向接手开发者，说明当前 V015 的结构、模块职责及维护重点。项目已整合 16 音色、32 旋律声部、双鼓、滑杆、四页中文界面与三首跟弹曲库。阅读本文后应能判断功能归属及修改会影响哪些模块。</w:t>
      </w:r>
    </w:p>
    <w:p>
      <w:r>
        <w:rPr>
          <w:color w:val="555555"/>
          <w:sz w:val="18"/>
        </w:rPr>
        <w:t>代码基线 V015    文档日期 2026-10-12 23:05 北京时间</w:t>
      </w:r>
    </w:p>
    <w:p>
      <w:pPr>
        <w:pStyle w:val="Heading1"/>
      </w:pPr>
      <w:r>
        <w:t>1 整体结构与当前基线</w:t>
      </w:r>
    </w:p>
    <w:p>
      <w:r>
        <w:t>工程入口是 instrument_handoff.gprj，顶层 top.v；开发根目录 D:\Gowin_project\instrument_handoff_20261012。src 是生产代码，tests 是回归，assets 是界面编辑资源，scripts 是生成与验证，tools 是电脑侧辅助。</w:t>
      </w:r>
    </w:p>
    <w:p>
      <w:r>
        <w:t>声音主链：输入事件 → 声部分配与旋律合成、双鼓 → 混音 → 去直流 → 可选低通 → 平滑音量 → PT8211。显示主链：PCM与状态 → 统计、菜单与教学 → 相干快照和波形银行 → 中文渲染 → TMDS。显示刷新不决定音频采样。</w:t>
      </w:r>
    </w:p>
    <w:p>
      <w:r>
        <w:t>输入与音频均在 27MHz 域。每 288 个周期产生 fs_tick，采样率 93750Hz；frame_done 表示合成帧计算完成，两者不是同一事件。显示使用 25.2MHz 像素域及 126MHz 串行域。</w:t>
      </w:r>
    </w:p>
    <w:p>
      <w:r>
        <w:t>代码基线已完成构建和软件回归；实机反馈尚未确认。当前音频实现是板载 PT8211，外接MAX音频端口固定为0；USB触控主机未实现。这些是模块实现边界。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  <w:shd w:fill="E8EFF7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源码模块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  <w:shd w:fill="E8EFF7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内容与维护重点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top.v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整合音频、统计、菜单、教学和显示。 重点：主要负责连接与暂停条件；显示监视分支不反向控制声音。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instrument_audio_top.v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音频子系统入口，连接输入、测试控制、声音及LED。 重点：产生256周期上电复位；生产参数与测试模式交接在这里落到实例。</w:t>
            </w:r>
          </w:p>
        </w:tc>
      </w:tr>
    </w:tbl>
    <w:p>
      <w:pPr>
        <w:spacing w:line="20" w:lineRule="exact" w:after="80"/>
      </w:pPr>
    </w:p>
    <w:p>
      <w:pPr>
        <w:pStyle w:val="Heading1"/>
        <w:pageBreakBefore/>
      </w:pPr>
      <w:r>
        <w:t>2 输入层从采样到演奏事件</w:t>
      </w:r>
    </w:p>
    <w:p>
      <w:r>
        <w:t>输入层输出 note_on/note_off、hit0/hit1 单个主时钟事件，以及持续的 key_state、音量、弯音和状态。ADC仅提供控制，不能把它的采样节奏当成音频采样率。</w:t>
      </w:r>
    </w:p>
    <w:p>
      <w:r>
        <w:t>实体与虚拟输入在同一层汇合。ADC故障不阻塞键盘；滑杆保留最近完整值。压力就绪、校准完成和可再次击打必须分开理解。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  <w:shd w:fill="E8EFF7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源码模块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  <w:shd w:fill="E8EFF7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内容与维护重点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instrument_inputs.v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统一实体与UART虚拟输入，发布音符、击打和滑杆值。 重点：A0/A1压力、A2音量、A3弯音；来源切换仅重置控制状态，不清整个合成器。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matrix_keypad.v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扫描4×4矩阵，消抖、鬼键检测并串行发布按下和松开。 重点：位0至15固定对应S1至S16；鬼键或来源切换取消音色候选，全松后恢复。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remote_debug_link.v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接收16字节虚拟输入帧，校验后原子提交，并回传ACK。 重点：协议版本08；1秒有效命令超时回退实体输入。ACK字段与monitor_flags不可混解。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ads1115_reader.v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调度单次转换，拼接完整读数并附通道标签。 重点：生产顺序0 1 2 0 1 3；最终STOP成功才发布sample_valid，错误整次丢弃。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i2c_byte_master.v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执行START、STOP、字节读写及ACK/NACK。 重点：done须与error一起判断；开漏、时钟延展和命令超时都在本层。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i2c_bus_recovery.v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在故障恢复阶段产生九个SCL脉冲并验证STOP。 重点：只尝试释放总线，不复位外部ADC；与字节引擎互斥占用总线。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slider_controls.v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A2映射总音量，A3映射旋律连续弯音，带平滑及新鲜度跟踪。 重点：volume 0至255；pitch输出负128至127，非半音编号；过期保留最近完整值。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pressure_adaptive.v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为两路压力独立学习基线，识别击打与力度并重新武装。 重点：hit为单拍；持续重压只触发一次。calibrated与armed含义不同，门槛以ADC码计。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headphone_mute_guard.v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产生有时限的数字纯零参考请求。 重点：只输出mute_active；长按与最大窗口分开计时，释放后才可重新武装。</w:t>
            </w:r>
          </w:p>
        </w:tc>
      </w:tr>
    </w:tbl>
    <w:p>
      <w:pPr>
        <w:spacing w:line="20" w:lineRule="exact" w:after="80"/>
      </w:pPr>
    </w:p>
    <w:p>
      <w:pPr>
        <w:pStyle w:val="Heading1"/>
        <w:pageBreakBefore/>
      </w:pPr>
      <w:r>
        <w:t>3 音频层从事件到PCM</w:t>
      </w:r>
    </w:p>
    <w:p>
      <w:r>
        <w:t>32个声部保存独立相位、包络和音符元数据，共享波表与运算流水；不是32份完整硬件引擎。16音色共用一份soft波表，双鼓为独立音源。</w:t>
      </w:r>
    </w:p>
    <w:p>
      <w:r>
        <w:t>普通模式经过混音和处理链；测试模式复用合成器独立正弦及ADSR，绕过普通混音、滤波与音量处理后进入同一串行器。任何改动都要保持有符号位图、流水读取顺序和每帧时限。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  <w:shd w:fill="E8EFF7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源码模块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  <w:shd w:fill="E8EFF7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内容与维护重点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instrument_audio.v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连接旋律、双鼓、处理链与PT8211，选择普通或测试PCM。 重点：输入准入与输出所有权分开；quiet等尾音结束，test_clear仅清局部声音状态。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voice_allocator.v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选择声部槽，锁存音符、力度和音色，输出gate及retrigger。 重点：gate是持续按键，busy含释放尾音；新音色不重写已分配声部。生产32槽。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wavetable_synth.v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共享运算链生成32声部波表旋律与测试正弦。 重点：每声部独立24位相位及ADSR；32路约261clk，必须赶上288clk采样周期。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note_table.v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将音符编号转换为24位DDS相位增量。 重点：纯组合表；按93750Hz生成，未列编号返回0，不负责关闭包络。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drum_voice.v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三角形DDS、下滑音高和包络生成电子底鼓。 重点：两次采样间缓存击打；同沿hit优先当前力度，clear优先于触发。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snare_voice.v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LFSR噪声与三角形主体合成军鼓。 重点：击打缓存及复触发增益过渡独立管理，避免把单拍hit直接当采样门控。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audio_mix.v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组合相加旋律、底鼓、军鼓并饱和到16位PCM。 重点：先扩符号位到18位再加，防止16位回绕；不承担音量或均分。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dc_blocker.v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以差分与带泄漏反馈去除数字直流。 重点：Q8历史状态，tick接frame_done；quiet复位此级，定点取整不能随意替换。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audio_cleanup.v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可旁路的一阶数字低通。 重点：Q8保存小数；运行开关与编译参数共同决定滤波，quiet优先清历史。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audio_controls.v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平滑音量和弯音目标，缩放PCM。 重点：控制按fs_tick更新；音量目标是volume×255，不能直接改成左移8位。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pt8211_driver.v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复制单声道到左右声道并串行输出。 重点：16位右对齐、3MHz BCK；fs_tick每288clk一次，不能当MAX98357标准I2S驱动。</w:t>
            </w:r>
          </w:p>
        </w:tc>
      </w:tr>
    </w:tbl>
    <w:p>
      <w:pPr>
        <w:spacing w:line="20" w:lineRule="exact" w:after="80"/>
      </w:pPr>
    </w:p>
    <w:p>
      <w:pPr>
        <w:pStyle w:val="Heading1"/>
        <w:pageBreakBefore/>
      </w:pPr>
      <w:r>
        <w:t>4 交互控制与验证模式</w:t>
      </w:r>
    </w:p>
    <w:p>
      <w:r>
        <w:t>键盘高四位承担控制。音色选择在matrix_keypad，四页导航在instrument_ui_control，跟弹推进在song_guide，验证模式在oscillator_test_control；不把这些状态机再集中塞回top。</w:t>
      </w:r>
    </w:p>
    <w:p>
      <w:r>
        <w:t>验证交接经过普通淡出、测试淡入、活动、测试淡出、等待全松、普通淡入。test_owned管整段输出所有权；test_mode选择测试音源；normal_input_ready决定能否接收普通事件。三个信号不得互相替代。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  <w:shd w:fill="E8EFF7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源码模块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  <w:shd w:fill="E8EFF7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内容与维护重点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instrument_status.v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管理LED状态和低通组合键。 重点：只处理提示及filter_enable，不参与PCM计算；测试时LED选择由父层覆盖。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oscillator_test_control.v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控制32路验证的模式、门控、扫路和增益交接。 重点：owned含整个交接；normal_input_ready在NORMAL及FADE_NORMAL_IN为真。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oscillator_test_frequencies.v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由0至31索引返回固定测试DDS增量。 重点：目标400+97×index Hz；没有相位状态或音频数据，状态在合成器。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instrument_telemetry.v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统计数字PCM的峰值、RMS和dBFS，并推算代表音符频率。 重点：只读；Hz是最低按住键的设定频率，不是混音FFT；voices是置位计数。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instrument_ui_control.v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源时钟域维护页、游标、曲目及教学命令。 重点：松开提交单键动作；组合、鬼键或来源切换取消候选；长按计数随参数定宽。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song_guide.v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维护三首练习序列和当前、下一音、错误提示。 重点：只输出跟弹状态；正确键松开即推进，拍长是提示，不强制按满；pause仅冻结教学。</w:t>
            </w:r>
          </w:p>
        </w:tc>
      </w:tr>
    </w:tbl>
    <w:p>
      <w:pPr>
        <w:spacing w:line="20" w:lineRule="exact" w:after="80"/>
      </w:pPr>
    </w:p>
    <w:p>
      <w:pPr>
        <w:pStyle w:val="ListBullet"/>
      </w:pPr>
      <w:r>
        <w:t>V015已修复普通淡入约21.845ms期间丢新事件。生产audio实例启用TRANSITION_INPUT_ENABLE，并连接normal_input_ready。</w:t>
      </w:r>
    </w:p>
    <w:p>
      <w:pPr>
        <w:pStyle w:val="ListBullet"/>
      </w:pPr>
      <w:r>
        <w:t>音色候选在ghost或输入来源变化时取消；等待raw_keys及key_state都全零才恢复，不能复位事件历史来省事。</w:t>
      </w:r>
    </w:p>
    <w:p>
      <w:pPr>
        <w:pStyle w:val="ListBullet"/>
      </w:pPr>
      <w:r>
        <w:t>教学仅提示三首42/32/32步序列，不生成伴奏；离开演奏页或验证所有权期间暂停。</w:t>
      </w:r>
    </w:p>
    <w:p>
      <w:pPr>
        <w:pStyle w:val="Heading1"/>
        <w:pageBreakBefore/>
      </w:pPr>
      <w:r>
        <w:t>5 显示层与跨时钟连接</w:t>
      </w:r>
    </w:p>
    <w:p>
      <w:r>
        <w:t>显示读取音频状态，不回写声音。多位状态通过整包握手跨域，波形由独立双银行BRAM传递；两条通路分别保证当前显示帧的数据稳定。</w:t>
      </w:r>
    </w:p>
    <w:p>
      <w:r>
        <w:t>生产状态宽252位：高10位是页、游标、曲目、控制键；低242位是原乐器、教学及验证信息。RAM读、字模读、RGB寄存共三拍，DE与同步信号必须跟随同样延迟。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  <w:shd w:fill="E8EFF7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源码模块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  <w:shd w:fill="E8EFF7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内容与维护重点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hdmi_live_display.v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封装显示时钟、整包状态、波形采集、渲染和输出。 重点：UI=1载荷252位，UI=0为242位；RGB与DE/HS/VS共延迟三拍。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hdmi_clocks.v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rPLL与CLKDIV生成126MHz串行及25.2MHz像素时钟。 重点：使用专用时钟资源；锁定后在各自时钟域同步释放复位，实例名受SDC约束。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video_timing.v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生成640×480光栅、消隐及行场同步。 重点：总时序800×525；frame_start是帧边界使能，不是另一时钟。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hdmi_status_cdc.v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用请求应答握手跨域传递一致的状态快照。 重点：源端held_status保持稳定，像素端pending_status只在帧边界发布，不逐字段同步。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wave_scope.v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采集PCM到双银行BRAM，给显示提供256个点对。 重点：4比1抽取；波形与capture_gain同银行切换，不能写当前显示银行。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hdmi_instrument_dashboard.v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渲染四页中文界面和优先的32路测试页。 重点：纯显示；诊断合并12个旋律键与4个控制键；不得重复交换第二第三行。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hdmi_ui_font.v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同步读取8192×8字模ROM。 重点：ASCII占一单元，汉字占两单元；读延迟一拍，码128至511已被192汉字用满。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hdmi_tx.v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颜色编码后经OSER10和差分缓冲输出TMDS。 重点：位0先发；串行器在自身时钟域释放复位，时钟通道与数据通道流水匹配。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tmds_encoder.v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将8位颜色及消隐控制编码成10位符号。 重点：维护有符号运行差异；四个控制码与翻转规则必须一致，输出寄存一拍。</w:t>
            </w:r>
          </w:p>
        </w:tc>
      </w:tr>
    </w:tbl>
    <w:p>
      <w:pPr>
        <w:spacing w:line="20" w:lineRule="exact" w:after="80"/>
      </w:pPr>
    </w:p>
    <w:p>
      <w:pPr>
        <w:pStyle w:val="Heading1"/>
        <w:pageBreakBefore/>
      </w:pPr>
      <w:r>
        <w:t>6 资源组织与修改边界</w:t>
      </w:r>
    </w:p>
    <w:p>
      <w:r>
        <w:t>本版只保留实际使用的soft音色层。16音色的周期数据为16×1024×16bit，另有1024点测试正弦。中文192字占满现有码位，扩字须同时考虑映射、ROM地址宽、资源和显示回归。</w:t>
      </w:r>
    </w:p>
    <w:p>
      <w:r>
        <w:t>V015布局布线：Logic14873、Register6638、CLS9357、BSRAM23、DSP11.5；Setup/Hold违例均0。像素Fmax25.640MHz，对25.2MHz仅0.44MHz余量，新增显示组合逻辑需重新检查。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  <w:shd w:fill="E8EFF7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项目文件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  <w:shd w:fill="E8EFF7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职责及修改关系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timbre_soft.hex</w:t>
              <w:br/>
              <w:t>test_sine.hex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演奏波表与测试正弦数据；修改须同时检查synth插值、频率表和音频回归。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ui_font.hex</w:t>
              <w:br/>
              <w:t>assets/ui_font_map.json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字模像素与编码映射；生成文字与数字字模延迟均依赖它们。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assets/ui_texts.json</w:t>
              <w:br/>
              <w:t>src/hdmi_ui_text.vh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可编辑文字与生成常量。原hex字段用于迁移校验；旧文字修改须同步处理该校验。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assets/menu_layout.json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独立界面像素期望；布局或文案改动须和渲染器协调，不能直接从DUT生成金标准。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multi_tone.cst</w:t>
              <w:br/>
              <w:t>matrix_clock.sdc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端口位置与时钟、CDC约束。层级或时序改动须核对约束命中。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scripts</w:t>
              <w:br/>
              <w:t>tests</w:t>
              <w:br/>
              <w:t>validation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生成、构建、分组回归及对应证据；旧英文golden和旧remote顶层不代表当前中文生产行为。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tools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sz w:val="19"/>
              </w:rPr>
              <w:t>电脑侧虚拟输入、录音管理与音频分析。控制在remote_control/oscillator_test；分析在evaluate_capture/analyze_oscillators；不是生产RTL。</w:t>
            </w:r>
          </w:p>
        </w:tc>
      </w:tr>
    </w:tbl>
    <w:p>
      <w:pPr>
        <w:spacing w:line="20" w:lineRule="exact" w:after="80"/>
      </w:pPr>
    </w:p>
    <w:p>
      <w:pPr>
        <w:pStyle w:val="ListBullet"/>
      </w:pPr>
      <w:r>
        <w:t>改音色或混音：先看wavetable_synth、audio_mix、audio_controls，重点守住288周期及饱和行为。</w:t>
      </w:r>
    </w:p>
    <w:p>
      <w:pPr>
        <w:pStyle w:val="ListBullet"/>
      </w:pPr>
      <w:r>
        <w:t>改输入：先看instrument_inputs与对应传感器/键盘模块，检查单拍事件、来源切换、过期和释放。</w:t>
      </w:r>
    </w:p>
    <w:p>
      <w:pPr>
        <w:pStyle w:val="ListBullet"/>
      </w:pPr>
      <w:r>
        <w:t>改菜单或教学：先看ui_control、song_guide和top的暂停连接，保留组合互斥；拍长当前只是提示。</w:t>
      </w:r>
    </w:p>
    <w:p>
      <w:pPr>
        <w:pStyle w:val="ListBullet"/>
      </w:pPr>
      <w:r>
        <w:t>改显示：先看dashboard、live_display与字体资产，检查整包CDC、三拍对齐及像素时序余量。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Tang Primer 20K  |  V015  |  项目架构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Tang Primer 20K 项目架构与模块说明</dc:title>
  <dc:subject>V015 architecture and module handover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