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560"/>
        <w:jc w:val="center"/>
      </w:pPr>
      <w:r>
        <w:rPr>
          <w:rFonts w:ascii="Times New Roman" w:hAnsi="Times New Roman" w:eastAsia="黑体"/>
          <w:b/>
          <w:i w:val="0"/>
          <w:color w:val="222222"/>
          <w:sz w:val="40"/>
        </w:rPr>
        <w:t>中国研究生电子设计竞赛</w:t>
      </w:r>
    </w:p>
    <w:p>
      <w:pPr>
        <w:spacing w:after="360"/>
        <w:jc w:val="center"/>
      </w:pPr>
      <w:r>
        <w:rPr>
          <w:rFonts w:ascii="Times New Roman" w:hAnsi="Times New Roman" w:eastAsia="黑体"/>
          <w:b/>
          <w:i w:val="0"/>
          <w:color w:val="1F4E79"/>
          <w:sz w:val="52"/>
        </w:rPr>
        <w:t>技术论文撰写分工与项目完善建议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i w:val="0"/>
          <w:color w:val="222222"/>
          <w:sz w:val="36"/>
        </w:rPr>
        <w:t>面向煤矿安全规程审查与现场风险研判的</w:t>
        <w:br/>
        <w:t>多智能体系统</w:t>
      </w:r>
    </w:p>
    <w:p>
      <w:pPr>
        <w:jc w:val="center"/>
      </w:pPr>
      <w:r>
        <w:rPr>
          <w:rFonts w:ascii="Times New Roman" w:hAnsi="Times New Roman" w:eastAsia="楷体"/>
          <w:b w:val="0"/>
          <w:i w:val="0"/>
          <w:color w:val="666666"/>
          <w:sz w:val="26"/>
        </w:rPr>
        <w:t>建议副标题：云边协同 · 工具增强 · 人机闭环</w:t>
      </w:r>
    </w:p>
    <w:p/>
    <w:p/>
    <w:p/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690"/>
      </w:tblGrid>
      <w:tr>
        <w:trPr>
          <w:tblHeader w:val="true"/>
          <w:cantSplit/>
        </w:trPr>
        <w:tc>
          <w:tcPr>
            <w:tcW w:type="dxa" w:w="4153"/>
            <w:shd w:fill="5B9BD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项目</w:t>
            </w:r>
          </w:p>
        </w:tc>
        <w:tc>
          <w:tcPr>
            <w:tcW w:type="dxa" w:w="4153"/>
            <w:shd w:fill="5B9BD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建议填写内容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参赛单位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团队成员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成员A（统稿/智能体）  成员B（RAG/实验）  成员C（端侧/系统）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指导教师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编制日期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2026年6月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222222"/>
          <w:sz w:val="32"/>
        </w:rPr>
        <w:t>摘  要</w:t>
      </w:r>
    </w:p>
    <w:p>
      <w:pPr>
        <w:jc w:val="both"/>
      </w:pPr>
      <w:r>
        <w:rPr>
          <w:rFonts w:ascii="Times New Roman" w:hAnsi="Times New Roman" w:eastAsia="宋体"/>
          <w:b w:val="0"/>
          <w:i w:val="0"/>
          <w:color w:val="222222"/>
          <w:sz w:val="24"/>
        </w:rPr>
        <w:t>本安排依据当前仓库最新 v9 实现和研电赛技术论文常用结构制定。项目已形成“结构保持型文档切分—本地混合检索—多链并行审查—确定性数值核验—争议升级—主智能体裁决—人工反馈—Word 改写—标注飞轮”的闭环。论文撰写不按平均字数切分，而按技术所有权、实验责任和证据材料划分；每位成员既负责章节，也负责对应代码、图表和演示验收。</w:t>
      </w:r>
    </w:p>
    <w:p>
      <w:pPr>
        <w:jc w:val="both"/>
      </w:pPr>
      <w:r>
        <w:rPr>
          <w:rFonts w:ascii="Times New Roman" w:hAnsi="Times New Roman" w:eastAsia="宋体"/>
          <w:b w:val="0"/>
          <w:i w:val="0"/>
          <w:color w:val="222222"/>
          <w:sz w:val="24"/>
        </w:rPr>
        <w:t>比赛前建议将微信小程序定位为移动交互入口，并增加真实嵌入式传感终端，组成“嵌入式采集节点—微信小程序—企业本地服务器”的云边协同原型。仅有微信小程序不能充分支撑“嵌入式平台”表述。</w:t>
      </w:r>
    </w:p>
    <w:p>
      <w:pPr>
        <w:ind w:firstLine="0"/>
      </w:pPr>
      <w:r>
        <w:rPr>
          <w:rFonts w:ascii="Times New Roman" w:hAnsi="Times New Roman" w:eastAsia="黑体"/>
          <w:b/>
          <w:i w:val="0"/>
          <w:color w:val="222222"/>
          <w:sz w:val="24"/>
        </w:rPr>
        <w:t>关键词：</w:t>
      </w:r>
      <w:r>
        <w:rPr>
          <w:rFonts w:ascii="Times New Roman" w:hAnsi="Times New Roman" w:eastAsia="宋体"/>
          <w:b w:val="0"/>
          <w:i w:val="0"/>
          <w:color w:val="222222"/>
          <w:sz w:val="24"/>
        </w:rPr>
        <w:t>煤矿安全；多智能体；检索增强生成；工具调用；微信小程序；嵌入式平台；人机闭环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8306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Times New Roman" w:hAnsi="Times New Roman" w:eastAsia="黑体"/>
                <w:b/>
                <w:i w:val="0"/>
                <w:color w:val="1F4E79"/>
                <w:sz w:val="22"/>
              </w:rPr>
              <w:t>论文主线建议</w:t>
            </w:r>
          </w:p>
          <w:p>
            <w:pPr>
              <w:spacing w:after="40" w:line="276" w:lineRule="auto"/>
              <w:ind w:left="198" w:hanging="198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1"/>
              </w:rPr>
              <w:t>• 作业前：审查作业规程，定位不合规内容并生成可追溯修改建议。</w:t>
            </w:r>
          </w:p>
          <w:p>
            <w:pPr>
              <w:spacing w:after="40" w:line="276" w:lineRule="auto"/>
              <w:ind w:left="198" w:hanging="198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1"/>
              </w:rPr>
              <w:t>• 作业中：现场人员通过小程序提交语音、图片和传感数据，智能体追问并调用工具研判风险。</w:t>
            </w:r>
          </w:p>
          <w:p>
            <w:pPr>
              <w:spacing w:after="40" w:line="276" w:lineRule="auto"/>
              <w:ind w:left="198" w:hanging="198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1"/>
              </w:rPr>
              <w:t>• 作业后：人工裁决与现场处置结果沉淀为高质量标注，持续改进检索和审查策略。</w:t>
            </w:r>
          </w:p>
        </w:tc>
      </w:tr>
    </w:tbl>
    <w:p>
      <w:pPr>
        <w:spacing w:after="0"/>
      </w:pPr>
    </w:p>
    <w:p>
      <w:pPr>
        <w:pStyle w:val="Heading1"/>
      </w:pPr>
      <w:r>
        <w:t>第一章 当前项目核验与参赛定位</w:t>
      </w:r>
    </w:p>
    <w:p>
      <w:pPr>
        <w:pStyle w:val="Heading2"/>
      </w:pPr>
      <w:r>
        <w:t>1.1 当前仓库已实现能力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4535"/>
        <w:gridCol w:w="3005"/>
      </w:tblGrid>
      <w:tr>
        <w:trPr>
          <w:tblHeader w:val="true"/>
          <w:cantSplit/>
        </w:trPr>
        <w:tc>
          <w:tcPr>
            <w:tcW w:type="dxa" w:w="2769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能力</w:t>
            </w:r>
          </w:p>
        </w:tc>
        <w:tc>
          <w:tcPr>
            <w:tcW w:type="dxa" w:w="2769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已确认实现</w:t>
            </w:r>
          </w:p>
        </w:tc>
        <w:tc>
          <w:tcPr>
            <w:tcW w:type="dxa" w:w="2769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主要证据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结构化切分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规则文档与待审文档分版本切分，保留章节、父级上下文和来源映射。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chapter_based_chunking_v6.py；pending_doc_chunking_v9.py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本地检索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BGE-M3 Dense + Learned Sparse，RRF 融合并由 bge-reranker-v2-m3 重排；内容哈希缓存。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hybrid_rag_review_v9.py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并行审查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合规链、错别字链、文档级重复链并行；chunk 级并发。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hybrid_rag_review_v9.py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工具增强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LLM 抽取数值关系，代码执行单位归一化、阈值方向比较和反向漏报核验。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numeric_compare.py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自主升级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分歧、数值冲突、低置信、异常和反向核验项进入 SQLite 升级队列。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review_queue.py；main_agent_v9.py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主智能体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可调用审查、检索、数值比较、队列裁决等工具，并将裁决沉淀为标注。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main_agent_v9.py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Web 闭环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SSE 实时推送问题；人工接受/驳回/改写；主智能体改写 Word 工作副本。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v9_worker.py；v9_review.py；Review/index.jsx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数据飞轮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人工反馈作为最高优先级标注，可导出扩充黄金集。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review_queue.py；v9_review.py</w:t>
            </w:r>
          </w:p>
        </w:tc>
      </w:tr>
    </w:tbl>
    <w:p>
      <w:pPr>
        <w:spacing w:after="0"/>
      </w:pPr>
    </w:p>
    <w:p>
      <w:pPr>
        <w:pStyle w:val="Heading2"/>
      </w:pPr>
      <w:r>
        <w:t>1.2 参赛作品建议定位</w:t>
      </w:r>
    </w:p>
    <w:p>
      <w:pPr>
        <w:jc w:val="both"/>
      </w:pPr>
      <w:r>
        <w:rPr>
          <w:rFonts w:ascii="Times New Roman" w:hAnsi="Times New Roman" w:eastAsia="宋体"/>
          <w:b w:val="0"/>
          <w:i w:val="0"/>
          <w:color w:val="222222"/>
          <w:sz w:val="24"/>
        </w:rPr>
        <w:t>建议将作品定位为“面向煤矿安全规程审查与现场风险研判的云边协同多智能体系统”。不要只描述为文档审核工具，也不要把文档审查与硬件做成两个无关演示。二者应通过同一安全知识库、同一任务编排智能体和同一反馈飞轮连接起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8306"/>
            <w:shd w:fill="D9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Times New Roman" w:hAnsi="Times New Roman" w:eastAsia="黑体"/>
                <w:b/>
                <w:i w:val="0"/>
                <w:color w:val="1F4E79"/>
                <w:sz w:val="22"/>
              </w:rPr>
              <w:t>赛题要点与项目对应关系</w:t>
            </w:r>
          </w:p>
          <w:p>
            <w:pPr>
              <w:spacing w:after="40" w:line="276" w:lineRule="auto"/>
              <w:ind w:left="198" w:hanging="198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1"/>
              </w:rPr>
              <w:t>• 任务理解：主智能体识别“文档审查、数值核验、现场问答、风险处置”等任务并选择流程。</w:t>
            </w:r>
          </w:p>
          <w:p>
            <w:pPr>
              <w:spacing w:after="40" w:line="276" w:lineRule="auto"/>
              <w:ind w:left="198" w:hanging="198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1"/>
              </w:rPr>
              <w:t>• 工具调用：调用本地检索、数值比较、文档定位改写、传感器读取和告警工具。</w:t>
            </w:r>
          </w:p>
          <w:p>
            <w:pPr>
              <w:spacing w:after="40" w:line="276" w:lineRule="auto"/>
              <w:ind w:left="198" w:hanging="198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1"/>
              </w:rPr>
              <w:t>• 自主决策：低风险自动答复，存在分歧或高风险时主动追问、升级人工并生成处置建议。</w:t>
            </w:r>
          </w:p>
          <w:p>
            <w:pPr>
              <w:spacing w:after="40" w:line="276" w:lineRule="auto"/>
              <w:ind w:left="198" w:hanging="198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1"/>
              </w:rPr>
              <w:t>• 电子信息系统：FastAPI、SQLite 队列、SSE、Word 适配器、小程序与设备通信共同构成工程系统。</w:t>
            </w:r>
          </w:p>
          <w:p>
            <w:pPr>
              <w:spacing w:after="40" w:line="276" w:lineRule="auto"/>
              <w:ind w:left="198" w:hanging="198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1"/>
              </w:rPr>
              <w:t>• 嵌入式平台：真实传感节点或边缘终端负责数据采集、离线缓存和告警；小程序仅作为移动交互入口。</w:t>
            </w:r>
          </w:p>
        </w:tc>
      </w:tr>
    </w:tbl>
    <w:p>
      <w:pPr>
        <w:spacing w:after="0"/>
      </w:pPr>
    </w:p>
    <w:p>
      <w:pPr>
        <w:pStyle w:val="Heading2"/>
      </w:pPr>
      <w:r>
        <w:t>1.3 论文中必须如实表述的边界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6633"/>
      </w:tblGrid>
      <w:tr>
        <w:trPr>
          <w:tblHeader w:val="true"/>
          <w:cantSplit/>
        </w:trPr>
        <w:tc>
          <w:tcPr>
            <w:tcW w:type="dxa" w:w="4153"/>
            <w:shd w:fill="C659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边界类别</w:t>
            </w:r>
          </w:p>
        </w:tc>
        <w:tc>
          <w:tcPr>
            <w:tcW w:type="dxa" w:w="4153"/>
            <w:shd w:fill="C659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具体内容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可直接写入“已实现”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v9 审查引擎、BGE 本地检索、数值核验工具、升级队列、主智能体、人工反馈、Word 改写、数据飞轮。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完成后再写入“已实现”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微信小程序、语音/图片多模态输入、传感器采集、现场风险对话、真实嵌入式终端。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不得表述为“完全本地”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当前检索模型本地运行，但审查与改写使用 DashScope qwen-plus；应写成“本地检索 + 企业/云端大模型”。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不得回避的限制</w:t>
            </w:r>
          </w:p>
        </w:tc>
        <w:tc>
          <w:tcPr>
            <w:tcW w:type="dxa" w:w="66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worker 当前单文档串行；矿井类型索引缓存存在切换限制；复杂 Word 排版与连续编辑定位仍需增强。</w:t>
            </w:r>
          </w:p>
        </w:tc>
      </w:tr>
    </w:tbl>
    <w:p>
      <w:pPr>
        <w:spacing w:after="0"/>
      </w:pPr>
    </w:p>
    <w:p>
      <w:pPr>
        <w:pStyle w:val="Heading1"/>
      </w:pPr>
      <w:r>
        <w:t>第二章 三人论文撰写总分工</w:t>
      </w:r>
    </w:p>
    <w:p>
      <w:pPr>
        <w:pStyle w:val="Heading2"/>
      </w:pPr>
      <w:r>
        <w:t>2.1 分工原则</w:t>
      </w:r>
    </w:p>
    <w:p>
      <w:pPr>
        <w:spacing w:line="300" w:lineRule="auto" w:after="60"/>
        <w:ind w:left="227" w:hanging="227"/>
      </w:pPr>
      <w:r>
        <w:rPr>
          <w:rFonts w:ascii="Times New Roman" w:hAnsi="Times New Roman" w:eastAsia="黑体"/>
          <w:b/>
          <w:i w:val="0"/>
          <w:color w:val="222222"/>
          <w:sz w:val="22"/>
        </w:rPr>
        <w:t>原则一：</w:t>
      </w:r>
      <w:r>
        <w:rPr>
          <w:rFonts w:ascii="Times New Roman" w:hAnsi="Times New Roman" w:eastAsia="宋体"/>
          <w:b w:val="0"/>
          <w:i w:val="0"/>
          <w:color w:val="222222"/>
          <w:sz w:val="22"/>
        </w:rPr>
        <w:t>一人统稿但不包办。成员A掌握全文论证与术语一致性，成员B、C对自己章节的事实和实验负责。</w:t>
      </w:r>
    </w:p>
    <w:p>
      <w:pPr>
        <w:spacing w:line="300" w:lineRule="auto" w:after="60"/>
        <w:ind w:left="227" w:hanging="227"/>
      </w:pPr>
      <w:r>
        <w:rPr>
          <w:rFonts w:ascii="Times New Roman" w:hAnsi="Times New Roman" w:eastAsia="黑体"/>
          <w:b/>
          <w:i w:val="0"/>
          <w:color w:val="222222"/>
          <w:sz w:val="22"/>
        </w:rPr>
        <w:t>原则二：</w:t>
      </w:r>
      <w:r>
        <w:rPr>
          <w:rFonts w:ascii="Times New Roman" w:hAnsi="Times New Roman" w:eastAsia="宋体"/>
          <w:b w:val="0"/>
          <w:i w:val="0"/>
          <w:color w:val="222222"/>
          <w:sz w:val="22"/>
        </w:rPr>
        <w:t>章节、图表、代码证据、实验数据绑定到同一负责人，避免出现“文字写完但没有图和数据”的情况。</w:t>
      </w:r>
    </w:p>
    <w:p>
      <w:pPr>
        <w:spacing w:line="300" w:lineRule="auto" w:after="60"/>
        <w:ind w:left="227" w:hanging="227"/>
      </w:pPr>
      <w:r>
        <w:rPr>
          <w:rFonts w:ascii="Times New Roman" w:hAnsi="Times New Roman" w:eastAsia="黑体"/>
          <w:b/>
          <w:i w:val="0"/>
          <w:color w:val="222222"/>
          <w:sz w:val="22"/>
        </w:rPr>
        <w:t>原则三：</w:t>
      </w:r>
      <w:r>
        <w:rPr>
          <w:rFonts w:ascii="Times New Roman" w:hAnsi="Times New Roman" w:eastAsia="宋体"/>
          <w:b w:val="0"/>
          <w:i w:val="0"/>
          <w:color w:val="222222"/>
          <w:sz w:val="22"/>
        </w:rPr>
        <w:t>每个核心创新至少有一个对照实验或系统验收；所有截图、指标和结论必须能够从当前代码或完成后的新模块复现。</w:t>
      </w:r>
    </w:p>
    <w:p>
      <w:pPr>
        <w:pStyle w:val="Heading2"/>
      </w:pPr>
      <w:r>
        <w:t>2.2 三人角色与总交付物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984"/>
        <w:gridCol w:w="1928"/>
        <w:gridCol w:w="2098"/>
        <w:gridCol w:w="1474"/>
      </w:tblGrid>
      <w:tr>
        <w:trPr>
          <w:tblHeader w:val="true"/>
          <w:cantSplit/>
        </w:trPr>
        <w:tc>
          <w:tcPr>
            <w:tcW w:type="dxa" w:w="1661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角色</w:t>
            </w:r>
          </w:p>
        </w:tc>
        <w:tc>
          <w:tcPr>
            <w:tcW w:type="dxa" w:w="1661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技术主责</w:t>
            </w:r>
          </w:p>
        </w:tc>
        <w:tc>
          <w:tcPr>
            <w:tcW w:type="dxa" w:w="1661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论文主责</w:t>
            </w:r>
          </w:p>
        </w:tc>
        <w:tc>
          <w:tcPr>
            <w:tcW w:type="dxa" w:w="1661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必须提交的图表</w:t>
            </w:r>
          </w:p>
        </w:tc>
        <w:tc>
          <w:tcPr>
            <w:tcW w:type="dxa" w:w="1661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最终验收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成员A</w:t>
              <w:br/>
              <w:t>统稿/智能体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项目总架构、任务理解、工具调用、自主决策、人机协同闭环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摘要；第1、2章；第3章总架构；第5章智能体流程；第7章；成果价值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系统总架构图、主智能体状态机图、端到端闭环图、创新点对照表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全文术语/编号/引用一致；整合终稿与答辩叙事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成员B</w:t>
              <w:br/>
              <w:t>RAG/算法实验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结构化切分、本地混合检索、重排、数值核验、黄金集与评价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第3章检索与工具；第4章算法原理；第6章算法实验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切分示意图、检索漏斗图、三版指标表、数值核验对照表、消融实验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所有指标脚本、数据口径、复现实验记录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成员C</w:t>
              <w:br/>
              <w:t>端侧/系统工程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FastAPI/worker/前端、Word 定位改写、微信小程序、嵌入式终端、系统测试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第3章端云方案；第4章硬件；第5章软件实现；第6章系统测试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部署图、硬件框图、电路/接线图、小程序流程图、页面截图、时延表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完成移动端与嵌入式演示闭环；整理演示视频素材</w:t>
            </w:r>
          </w:p>
        </w:tc>
      </w:tr>
    </w:tbl>
    <w:p>
      <w:pPr>
        <w:spacing w:after="0"/>
      </w:pPr>
    </w:p>
    <w:p>
      <w:pPr>
        <w:pStyle w:val="Heading1"/>
      </w:pPr>
      <w:r>
        <w:t>第三章 按参考论文结构划分章节</w:t>
      </w:r>
    </w:p>
    <w:p>
      <w:pPr>
        <w:jc w:val="both"/>
      </w:pPr>
      <w:r>
        <w:rPr>
          <w:rFonts w:ascii="Times New Roman" w:hAnsi="Times New Roman" w:eastAsia="宋体"/>
          <w:b w:val="0"/>
          <w:i w:val="0"/>
          <w:color w:val="222222"/>
          <w:sz w:val="24"/>
        </w:rPr>
        <w:t>下表沿用参考论文的“研究背景—难点创新—方案设计—原理硬件—软件流程—系统测试—总结—成果价值”组织方式。主笔负责首稿，协作人负责提供本专业证据，成员A负责最终统稿。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020"/>
        <w:gridCol w:w="1134"/>
        <w:gridCol w:w="4989"/>
      </w:tblGrid>
      <w:tr>
        <w:trPr>
          <w:tblHeader w:val="true"/>
          <w:cantSplit/>
        </w:trPr>
        <w:tc>
          <w:tcPr>
            <w:tcW w:type="dxa" w:w="2076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章节</w:t>
            </w:r>
          </w:p>
        </w:tc>
        <w:tc>
          <w:tcPr>
            <w:tcW w:type="dxa" w:w="2076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主笔</w:t>
            </w:r>
          </w:p>
        </w:tc>
        <w:tc>
          <w:tcPr>
            <w:tcW w:type="dxa" w:w="2076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协作</w:t>
            </w:r>
          </w:p>
        </w:tc>
        <w:tc>
          <w:tcPr>
            <w:tcW w:type="dxa" w:w="2076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写作与证据要求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摘要、关键词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成员A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成员B、C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一句话场景、三项核心创新、系统闭环、关键实验结果；最后撰写。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第一章 研究背景和意义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成员A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成员C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煤矿规程审查痛点、现场安全问答痛点、现有方案不足、作品价值。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第二章 作品难点与创新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成员A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成员B、C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长文档跨条款审查、数值方向判断、低置信升级、端侧弱网；对应四项创新。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第三章 方案论证与设计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成员A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成员B、C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总体架构与任务闭环；B写 RAG/工具方案；C写小程序和嵌入式方案。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第四章 原理分析及硬件电路图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成员C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成员B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嵌入式采集节点、电源/传感器/通信；B补充 BGE、RRF、重排和数值核验原理。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第五章 软件设计与流程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成员C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成员A、B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Web/worker/SQLite/SSE/Word 改写；小程序；主智能体 ReAct/升级流程；数据飞轮。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第六章 系统测试与分析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成员B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成员A、C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B负责算法指标；A负责智能体与人工闭环；C负责端侧通信、时延、稳定性和端到端演示。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第七章 总结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成员A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成员B、C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总结已实现能力、实验结论、限制和下一步。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研究成果及应用价值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成员A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全员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工程成果、可迁移价值、应用边界、知识产权/软著/论文/竞赛材料。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参考文献与附录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成员B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成员A、C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B统一文献格式；附录放接口、硬件清单、实验配置和复现说明。</w:t>
            </w:r>
          </w:p>
        </w:tc>
      </w:tr>
    </w:tbl>
    <w:p>
      <w:pPr>
        <w:spacing w:after="0"/>
      </w:pPr>
    </w:p>
    <w:p>
      <w:pPr>
        <w:pStyle w:val="Heading2"/>
      </w:pPr>
      <w:r>
        <w:t>3.1 成员A详细任务：统稿与主智能体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2948"/>
        <w:gridCol w:w="5102"/>
      </w:tblGrid>
      <w:tr>
        <w:trPr>
          <w:tblHeader w:val="true"/>
          <w:cantSplit/>
        </w:trPr>
        <w:tc>
          <w:tcPr>
            <w:tcW w:type="dxa" w:w="2769"/>
            <w:shd w:fill="4472C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编号</w:t>
            </w:r>
          </w:p>
        </w:tc>
        <w:tc>
          <w:tcPr>
            <w:tcW w:type="dxa" w:w="2769"/>
            <w:shd w:fill="4472C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任务</w:t>
            </w:r>
          </w:p>
        </w:tc>
        <w:tc>
          <w:tcPr>
            <w:tcW w:type="dxa" w:w="2769"/>
            <w:shd w:fill="4472C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验收标准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A-1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确定题目、摘要、关键词和统一术语表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题目不夸大“全本地/嵌入式/多模态”；全文统一使用 v9 真实能力。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A-2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绘制系统总架构与业务闭环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展示作业前审查、作业中研判、作业后飞轮，以及主智能体如何路由任务。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A-3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写任务理解、工具调用、自主决策机制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基于 main_agent_v9.py 和升级队列，补齐现场对话决策流程后再写。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A-4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设计智能体实验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对比无工具、仅 LLM、LLM+数值工具、LLM+升级/人工四种设置。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A-5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统稿与答辩主线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统一图号、表号、引用、创新点和结论；准备 3 分钟系统故事线。</w:t>
            </w:r>
          </w:p>
        </w:tc>
      </w:tr>
    </w:tbl>
    <w:p>
      <w:pPr>
        <w:spacing w:after="0"/>
      </w:pPr>
    </w:p>
    <w:p>
      <w:pPr>
        <w:pStyle w:val="Heading2"/>
      </w:pPr>
      <w:r>
        <w:t>3.2 成员B详细任务：RAG、工具与实验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2948"/>
        <w:gridCol w:w="5102"/>
      </w:tblGrid>
      <w:tr>
        <w:trPr>
          <w:tblHeader w:val="true"/>
          <w:cantSplit/>
        </w:trPr>
        <w:tc>
          <w:tcPr>
            <w:tcW w:type="dxa" w:w="2769"/>
            <w:shd w:fill="70AD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编号</w:t>
            </w:r>
          </w:p>
        </w:tc>
        <w:tc>
          <w:tcPr>
            <w:tcW w:type="dxa" w:w="2769"/>
            <w:shd w:fill="70AD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任务</w:t>
            </w:r>
          </w:p>
        </w:tc>
        <w:tc>
          <w:tcPr>
            <w:tcW w:type="dxa" w:w="2769"/>
            <w:shd w:fill="70AD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验收标准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B-1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写结构保持型切分与检索方案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说明章节上下文、父子结构、父块保底+片段查询补充、矿井适用性过滤。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B-2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写 BGE-M3 + RRF + reranker 原理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给出检索流程、关键参数、缓存机制和本地部署意义。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B-3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写“LLM抽取、代码比较”数值工具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用方向语义、单位归一化、反向核验案例解释为什么优于纯 LLM。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B-4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建立统一黄金集与实验口径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不能继续用各版本自身候选池直接做排行榜；统一证据组后再比较。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B-5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完成算法实验和误差分析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至少报告 Hit/Recall/NDCG、问题级 P/R/F1、数值判断准确率、漏报/误报案例。</w:t>
            </w:r>
          </w:p>
        </w:tc>
      </w:tr>
    </w:tbl>
    <w:p>
      <w:pPr>
        <w:spacing w:after="0"/>
      </w:pPr>
    </w:p>
    <w:p>
      <w:pPr>
        <w:pStyle w:val="Heading2"/>
      </w:pPr>
      <w:r>
        <w:t>3.3 成员C详细任务：系统、移动端与嵌入式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2948"/>
        <w:gridCol w:w="5102"/>
      </w:tblGrid>
      <w:tr>
        <w:trPr>
          <w:tblHeader w:val="true"/>
          <w:cantSplit/>
        </w:trPr>
        <w:tc>
          <w:tcPr>
            <w:tcW w:type="dxa" w:w="2769"/>
            <w:shd w:fill="ED7D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编号</w:t>
            </w:r>
          </w:p>
        </w:tc>
        <w:tc>
          <w:tcPr>
            <w:tcW w:type="dxa" w:w="2769"/>
            <w:shd w:fill="ED7D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任务</w:t>
            </w:r>
          </w:p>
        </w:tc>
        <w:tc>
          <w:tcPr>
            <w:tcW w:type="dxa" w:w="2769"/>
            <w:shd w:fill="ED7D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验收标准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C-1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完善 v9 Web 闭环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上传、SSE 实时问题、定位高亮、接受/驳回/改写、下载文档、飞轮查看稳定可演示。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C-2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开发微信小程序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支持任务创建、语音/文字/图片上报、追问对话、风险卡片、人工确认和历史记录。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C-3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增加真实嵌入式采集节点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建议 ESP32-S3 + 温湿度/气体模拟量/蜂鸣器或同类器件；小程序通过 BLE/Wi-Fi 获取数据。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C-4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实现现场风险工具接口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主智能体可调用 get_sensor_reading、get_rule_evidence、raise_alarm、create_record 等工具。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C-5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完成工程测试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报告端到端时延、弱网/断网缓存、重连、连续任务、编辑成功率和资源占用。</w:t>
            </w:r>
          </w:p>
        </w:tc>
      </w:tr>
    </w:tbl>
    <w:p>
      <w:pPr>
        <w:spacing w:after="0"/>
      </w:pPr>
    </w:p>
    <w:p>
      <w:pPr>
        <w:pStyle w:val="Heading1"/>
      </w:pPr>
      <w:r>
        <w:t>第四章 必须准备的图、表、实验与材料</w:t>
      </w:r>
    </w:p>
    <w:p>
      <w:pPr>
        <w:pStyle w:val="Heading2"/>
      </w:pPr>
      <w:r>
        <w:t>4.1 建议图件清单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2154"/>
        <w:gridCol w:w="1134"/>
        <w:gridCol w:w="4989"/>
      </w:tblGrid>
      <w:tr>
        <w:trPr>
          <w:tblHeader w:val="true"/>
          <w:cantSplit/>
        </w:trPr>
        <w:tc>
          <w:tcPr>
            <w:tcW w:type="dxa" w:w="2076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编号</w:t>
            </w:r>
          </w:p>
        </w:tc>
        <w:tc>
          <w:tcPr>
            <w:tcW w:type="dxa" w:w="2076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图件</w:t>
            </w:r>
          </w:p>
        </w:tc>
        <w:tc>
          <w:tcPr>
            <w:tcW w:type="dxa" w:w="2076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负责人</w:t>
            </w:r>
          </w:p>
        </w:tc>
        <w:tc>
          <w:tcPr>
            <w:tcW w:type="dxa" w:w="2076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必须表达的信息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图1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系统总体架构图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成员A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嵌入式节点—小程序—API/队列—主智能体—审查工具—知识库—反馈飞轮。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图2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端到端业务闭环图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成员A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作业前、作业中、作业后形成连续安全闭环。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图3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结构保持型切分示意图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成员B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标题层级、父上下文、规则块与待审块映射。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图4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混合检索与多查询流程图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成员B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父块查询、片段查询、Dense/Sparse、RRF、重排、去重。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图5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数值核验工具流程图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成员B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LLM 抽取—代码归一化—方向比较—反向漏报核验—升级。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图6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主智能体与升级队列状态图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成员A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自动裁决、主动追问、人工升级、dead-letter。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图7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嵌入式终端硬件框图与接线图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成员C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传感器、MCU、电源、通信、告警。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图8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微信小程序页面与交互流程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成员C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现场上报、追问、风险卡、确认、历史记录。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图9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Web 审查与 Word 改写截图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成员C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问题定位、人工反馈、改写后文档与下载。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图10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数据飞轮与持续评估流程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成员A/B</w:t>
            </w:r>
          </w:p>
        </w:tc>
        <w:tc>
          <w:tcPr>
            <w:tcW w:type="dxa" w:w="49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人工标注导出、黄金集、指标回归、版本更新。</w:t>
            </w:r>
          </w:p>
        </w:tc>
      </w:tr>
    </w:tbl>
    <w:p>
      <w:pPr>
        <w:spacing w:after="0"/>
      </w:pPr>
    </w:p>
    <w:p>
      <w:pPr>
        <w:pStyle w:val="Heading2"/>
      </w:pPr>
      <w:r>
        <w:t>4.2 建议实验矩阵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3005"/>
        <w:gridCol w:w="3288"/>
        <w:gridCol w:w="1247"/>
      </w:tblGrid>
      <w:tr>
        <w:trPr>
          <w:tblHeader w:val="true"/>
          <w:cantSplit/>
        </w:trPr>
        <w:tc>
          <w:tcPr>
            <w:tcW w:type="dxa" w:w="2076"/>
            <w:shd w:fill="5B9BD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实验</w:t>
            </w:r>
          </w:p>
        </w:tc>
        <w:tc>
          <w:tcPr>
            <w:tcW w:type="dxa" w:w="2076"/>
            <w:shd w:fill="5B9BD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对照设置</w:t>
            </w:r>
          </w:p>
        </w:tc>
        <w:tc>
          <w:tcPr>
            <w:tcW w:type="dxa" w:w="2076"/>
            <w:shd w:fill="5B9BD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核心指标</w:t>
            </w:r>
          </w:p>
        </w:tc>
        <w:tc>
          <w:tcPr>
            <w:tcW w:type="dxa" w:w="2076"/>
            <w:shd w:fill="5B9BD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负责人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E1 检索对比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旧混合检索 / 父块 BGE / 父块+片段双通道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Hit@K、Recall@K、MRR、NDCG、覆盖率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成员B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E2 数值核验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纯 LLM / LLM+正向工具 / LLM+正反向工具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准确率、漏报率、方向误判率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成员B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E3 智能体消融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无升级 / 自动升级 / 自动升级+人工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最终问题 P/R/F1、人工介入率、平均步骤数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成员A/B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E4 Word 改写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段落、表格、多处同文、连续编辑、复杂文档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定位成功率、改写成功率、格式保持率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成员C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E5 端侧链路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在线、弱网、断网缓存、重连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上报时延、成功率、恢复时间、设备资源占用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成员C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E6 完整演示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规程审查→现场上报→智能体追问→工具研判→人工确认→飞轮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端到端时延、流程完成率、可追溯记录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全员</w:t>
            </w:r>
          </w:p>
        </w:tc>
      </w:tr>
    </w:tbl>
    <w:p>
      <w:pPr>
        <w:spacing w:after="0"/>
      </w:pPr>
    </w:p>
    <w:p>
      <w:pPr>
        <w:pStyle w:val="Heading2"/>
      </w:pPr>
      <w:r>
        <w:t>4.3 当前可用的实验事实与使用限制</w:t>
      </w:r>
    </w:p>
    <w:p>
      <w:pPr>
        <w:jc w:val="both"/>
      </w:pPr>
      <w:r>
        <w:rPr>
          <w:rFonts w:ascii="Times New Roman" w:hAnsi="Times New Roman" w:eastAsia="宋体"/>
          <w:b w:val="0"/>
          <w:i w:val="0"/>
          <w:color w:val="222222"/>
          <w:sz w:val="24"/>
        </w:rPr>
        <w:t>现有三版检索对比记录显示，当前 BGE-M3 证据组版在 50 个案例中有 43 个案例出现 useful 证据，覆盖率为 86%；但其 MRR、Hit@1 和 NDCG@15 并不占优。该结果可以用于说明“覆盖率提升与前排排序仍需同时优化”，不能直接宣称 BGE 版全面优于旧版。</w:t>
      </w:r>
    </w:p>
    <w:p>
      <w:pPr>
        <w:jc w:val="both"/>
      </w:pPr>
      <w:r>
        <w:rPr>
          <w:rFonts w:ascii="Times New Roman" w:hAnsi="Times New Roman" w:eastAsia="宋体"/>
          <w:b w:val="0"/>
          <w:i w:val="0"/>
          <w:color w:val="222222"/>
          <w:sz w:val="24"/>
        </w:rPr>
        <w:t>当前不同检索版本使用各自候选池中的人工标签，黄金集并非严格同源。正式论文应先建立独立统一证据组黄金集，再给出模型排行榜；否则需要在表注中明确其仅用于候选覆盖和排序诊断。</w:t>
      </w:r>
    </w:p>
    <w:p>
      <w:pPr>
        <w:pStyle w:val="Heading1"/>
      </w:pPr>
      <w:r>
        <w:t>第五章 下一步完善项目的优先级建议</w:t>
      </w:r>
    </w:p>
    <w:p>
      <w:pPr>
        <w:pStyle w:val="Heading2"/>
      </w:pPr>
      <w:r>
        <w:t>5.1 P0：比赛主线必须补齐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871"/>
        <w:gridCol w:w="3969"/>
        <w:gridCol w:w="1134"/>
        <w:gridCol w:w="1247"/>
      </w:tblGrid>
      <w:tr>
        <w:trPr>
          <w:tblHeader w:val="true"/>
          <w:cantSplit/>
        </w:trPr>
        <w:tc>
          <w:tcPr>
            <w:tcW w:type="dxa" w:w="1661"/>
            <w:shd w:fill="C00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编号</w:t>
            </w:r>
          </w:p>
        </w:tc>
        <w:tc>
          <w:tcPr>
            <w:tcW w:type="dxa" w:w="1661"/>
            <w:shd w:fill="C00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任务</w:t>
            </w:r>
          </w:p>
        </w:tc>
        <w:tc>
          <w:tcPr>
            <w:tcW w:type="dxa" w:w="1661"/>
            <w:shd w:fill="C00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实施要点</w:t>
            </w:r>
          </w:p>
        </w:tc>
        <w:tc>
          <w:tcPr>
            <w:tcW w:type="dxa" w:w="1661"/>
            <w:shd w:fill="C00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负责人</w:t>
            </w:r>
          </w:p>
        </w:tc>
        <w:tc>
          <w:tcPr>
            <w:tcW w:type="dxa" w:w="1661"/>
            <w:shd w:fill="C00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完成标志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P0-1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小程序 + 真实嵌入式节点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把小程序作为人机交互入口，把 ESP32-S3/同类设备作为采集与告警平台。完成“设备数据进入智能体决策”的真实闭环。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成员C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可现场演示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P0-2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现场风险对话智能体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增加任务分类、主动追问、传感器读取、法规检索、风险分级、告警/升级工具。复用现有主智能体与队列设计。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成员A/C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满足赛题任务理解/工具调用/自主决策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P0-3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统一黄金集与端到端评测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固定同一批待审内容和证据组，补齐问题级审查指标、数值工具指标和系统指标。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成员B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论文核心数据可信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P0-4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形成完整演示脚本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准备一条清晰场景：规程中阈值错误→审查发现→人工确认改写→现场设备上报异常→智能体追问并告警→记录进入飞轮。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全员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答辩故事完整</w:t>
            </w:r>
          </w:p>
        </w:tc>
      </w:tr>
    </w:tbl>
    <w:p>
      <w:pPr>
        <w:spacing w:after="0"/>
      </w:pPr>
    </w:p>
    <w:p>
      <w:pPr>
        <w:pStyle w:val="Heading2"/>
      </w:pPr>
      <w:r>
        <w:t>5.2 P1：工程质量与可信度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2324"/>
        <w:gridCol w:w="5669"/>
      </w:tblGrid>
      <w:tr>
        <w:trPr>
          <w:tblHeader w:val="true"/>
          <w:cantSplit/>
        </w:trPr>
        <w:tc>
          <w:tcPr>
            <w:tcW w:type="dxa" w:w="2769"/>
            <w:shd w:fill="BF9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编号</w:t>
            </w:r>
          </w:p>
        </w:tc>
        <w:tc>
          <w:tcPr>
            <w:tcW w:type="dxa" w:w="2769"/>
            <w:shd w:fill="BF9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任务</w:t>
            </w:r>
          </w:p>
        </w:tc>
        <w:tc>
          <w:tcPr>
            <w:tcW w:type="dxa" w:w="2769"/>
            <w:shd w:fill="BF9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原因与做法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P1-1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按矿井类型维护独立索引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当前 worker 启动时按 non_outburst 建索引并缓存，任务中切换 mine_type 不会真正重建专用索引。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P1-2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多任务并发与资源隔离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当前 worker 单文档串行；增加多 worker、GPU 检索批处理和任务级限流。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P1-3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稳定 Word 定位协议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连续编辑后 block index 可能漂移；建议引入稳定段落 ID/书签、原文哈希和版本号，复杂表格单独处理。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P1-4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可追溯审查证据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每条问题保存法规来源、检索分数、工具结论、智能体步骤、人工裁决和最终改写。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P1-5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安全与权限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增加用户/任务归属、文件类型与大小校验、审计日志、密钥隔离和接口访问控制。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P1-6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前端性能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当前构建产物主 JS 约 1.9 MB；使用路由懒加载和代码分包，提升移动端加载体验。</w:t>
            </w:r>
          </w:p>
        </w:tc>
      </w:tr>
    </w:tbl>
    <w:p>
      <w:pPr>
        <w:spacing w:after="0"/>
      </w:pPr>
    </w:p>
    <w:p>
      <w:pPr>
        <w:pStyle w:val="Heading2"/>
      </w:pPr>
      <w:r>
        <w:t>5.3 P2：加分项与后续扩展</w:t>
      </w:r>
    </w:p>
    <w:p>
      <w:pPr>
        <w:spacing w:line="300" w:lineRule="auto" w:after="60"/>
        <w:ind w:left="227" w:hanging="227"/>
      </w:pPr>
      <w:r>
        <w:rPr>
          <w:rFonts w:ascii="Times New Roman" w:hAnsi="Times New Roman" w:eastAsia="黑体"/>
          <w:b/>
          <w:i w:val="0"/>
          <w:color w:val="222222"/>
          <w:sz w:val="22"/>
        </w:rPr>
        <w:t>P2-1：</w:t>
      </w:r>
      <w:r>
        <w:rPr>
          <w:rFonts w:ascii="Times New Roman" w:hAnsi="Times New Roman" w:eastAsia="宋体"/>
          <w:b w:val="0"/>
          <w:i w:val="0"/>
          <w:color w:val="222222"/>
          <w:sz w:val="22"/>
        </w:rPr>
        <w:t>增加语音转写、现场照片识别和多轮追问，形成真正的多模态现场助手。</w:t>
      </w:r>
    </w:p>
    <w:p>
      <w:pPr>
        <w:spacing w:line="300" w:lineRule="auto" w:after="60"/>
        <w:ind w:left="227" w:hanging="227"/>
      </w:pPr>
      <w:r>
        <w:rPr>
          <w:rFonts w:ascii="Times New Roman" w:hAnsi="Times New Roman" w:eastAsia="黑体"/>
          <w:b/>
          <w:i w:val="0"/>
          <w:color w:val="222222"/>
          <w:sz w:val="22"/>
        </w:rPr>
        <w:t>P2-2：</w:t>
      </w:r>
      <w:r>
        <w:rPr>
          <w:rFonts w:ascii="Times New Roman" w:hAnsi="Times New Roman" w:eastAsia="宋体"/>
          <w:b w:val="0"/>
          <w:i w:val="0"/>
          <w:color w:val="222222"/>
          <w:sz w:val="22"/>
        </w:rPr>
        <w:t>把高频风险规则和轻量分类模型下沉到边缘侧，断网时仍能做基础阈值告警与任务缓存。</w:t>
      </w:r>
    </w:p>
    <w:p>
      <w:pPr>
        <w:spacing w:line="300" w:lineRule="auto" w:after="60"/>
        <w:ind w:left="227" w:hanging="227"/>
      </w:pPr>
      <w:r>
        <w:rPr>
          <w:rFonts w:ascii="Times New Roman" w:hAnsi="Times New Roman" w:eastAsia="黑体"/>
          <w:b/>
          <w:i w:val="0"/>
          <w:color w:val="222222"/>
          <w:sz w:val="22"/>
        </w:rPr>
        <w:t>P2-3：</w:t>
      </w:r>
      <w:r>
        <w:rPr>
          <w:rFonts w:ascii="Times New Roman" w:hAnsi="Times New Roman" w:eastAsia="宋体"/>
          <w:b w:val="0"/>
          <w:i w:val="0"/>
          <w:color w:val="222222"/>
          <w:sz w:val="22"/>
        </w:rPr>
        <w:t>增加规则版本管理、法规更新影响分析和历史规程回溯，强化工程应用价值。</w:t>
      </w:r>
    </w:p>
    <w:p>
      <w:pPr>
        <w:spacing w:line="300" w:lineRule="auto" w:after="60"/>
        <w:ind w:left="227" w:hanging="227"/>
      </w:pPr>
      <w:r>
        <w:rPr>
          <w:rFonts w:ascii="Times New Roman" w:hAnsi="Times New Roman" w:eastAsia="黑体"/>
          <w:b/>
          <w:i w:val="0"/>
          <w:color w:val="222222"/>
          <w:sz w:val="22"/>
        </w:rPr>
        <w:t>P2-4：</w:t>
      </w:r>
      <w:r>
        <w:rPr>
          <w:rFonts w:ascii="Times New Roman" w:hAnsi="Times New Roman" w:eastAsia="宋体"/>
          <w:b w:val="0"/>
          <w:i w:val="0"/>
          <w:color w:val="222222"/>
          <w:sz w:val="22"/>
        </w:rPr>
        <w:t>围绕结构保持型切分、数值工具核验、升级飞轮申请软著/专利或形成论文成果。</w:t>
      </w:r>
    </w:p>
    <w:p>
      <w:pPr>
        <w:pStyle w:val="Heading2"/>
      </w:pPr>
      <w:r>
        <w:t>5.4 最小可行嵌入式方案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932"/>
        <w:gridCol w:w="2211"/>
      </w:tblGrid>
      <w:tr>
        <w:trPr>
          <w:tblHeader w:val="true"/>
          <w:cantSplit/>
        </w:trPr>
        <w:tc>
          <w:tcPr>
            <w:tcW w:type="dxa" w:w="2769"/>
            <w:shd w:fill="5482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组成</w:t>
            </w:r>
          </w:p>
        </w:tc>
        <w:tc>
          <w:tcPr>
            <w:tcW w:type="dxa" w:w="2769"/>
            <w:shd w:fill="5482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建议实现</w:t>
            </w:r>
          </w:p>
        </w:tc>
        <w:tc>
          <w:tcPr>
            <w:tcW w:type="dxa" w:w="2769"/>
            <w:shd w:fill="5482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定位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嵌入式采集节点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ESP32-S3 或同类 MCU 开发板；温湿度传感器；可燃气体/甲烷模拟量模块（比赛原型）；蜂鸣器/LED；电池供电。</w:t>
            </w:r>
          </w:p>
        </w:tc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体现真实嵌入式数据采集、边缘阈值告警和通信。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移动交互入口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微信小程序：语音/文字/图片上报，BLE/Wi-Fi 读取设备数据，显示风险卡片并确认处置。</w:t>
            </w:r>
          </w:p>
        </w:tc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适合展示，不应单独称为嵌入式平台。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智能服务端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现有 FastAPI + SQLite 队列 + v9 worker + 主智能体 + 本地 BGE 检索。</w:t>
            </w:r>
          </w:p>
        </w:tc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最大程度复用当前成果。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演示通信</w:t>
            </w:r>
          </w:p>
        </w:tc>
        <w:tc>
          <w:tcPr>
            <w:tcW w:type="dxa" w:w="49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比赛现场使用 BLE 或局域网；论文中将矿井生产部署表述为需接入矿用通信网络和防爆/本安设备。</w:t>
            </w:r>
          </w:p>
        </w:tc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避免把竞赛原型误写成可直接下井产品。</w:t>
            </w:r>
          </w:p>
        </w:tc>
      </w:tr>
    </w:tbl>
    <w:p>
      <w:pPr>
        <w:spacing w:after="0"/>
      </w:pPr>
    </w:p>
    <w:p>
      <w:pPr>
        <w:pStyle w:val="Heading1"/>
      </w:pPr>
      <w:r>
        <w:t>第六章 协作节奏与验收机制</w:t>
      </w:r>
    </w:p>
    <w:p>
      <w:pPr>
        <w:pStyle w:val="Heading2"/>
      </w:pPr>
      <w:r>
        <w:t>6.1 建议十日冲刺节奏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6009"/>
        <w:gridCol w:w="1814"/>
      </w:tblGrid>
      <w:tr>
        <w:trPr>
          <w:tblHeader w:val="true"/>
          <w:cantSplit/>
        </w:trPr>
        <w:tc>
          <w:tcPr>
            <w:tcW w:type="dxa" w:w="2769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时间</w:t>
            </w:r>
          </w:p>
        </w:tc>
        <w:tc>
          <w:tcPr>
            <w:tcW w:type="dxa" w:w="2769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主要任务</w:t>
            </w:r>
          </w:p>
        </w:tc>
        <w:tc>
          <w:tcPr>
            <w:tcW w:type="dxa" w:w="2769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责任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D1</w:t>
            </w:r>
          </w:p>
        </w:tc>
        <w:tc>
          <w:tcPr>
            <w:tcW w:type="dxa" w:w="60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冻结题目、主线、术语和论文目录；确定嵌入式器件。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A主责，全员确认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D2-D3</w:t>
            </w:r>
          </w:p>
        </w:tc>
        <w:tc>
          <w:tcPr>
            <w:tcW w:type="dxa" w:w="60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C完成小程序骨架和设备通信；B冻结统一实验集；A完成架构图与第一、二章。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并行推进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D4-D5</w:t>
            </w:r>
          </w:p>
        </w:tc>
        <w:tc>
          <w:tcPr>
            <w:tcW w:type="dxa" w:w="60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接通现场风险工具；完成主要算法实验；补齐第三至第五章首稿。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各自技术主责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D6</w:t>
            </w:r>
          </w:p>
        </w:tc>
        <w:tc>
          <w:tcPr>
            <w:tcW w:type="dxa" w:w="60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完整演示联调；记录失败案例、时延、截图和视频。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全员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D7-D8</w:t>
            </w:r>
          </w:p>
        </w:tc>
        <w:tc>
          <w:tcPr>
            <w:tcW w:type="dxa" w:w="60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完成第六章实验分析；补齐硬件图、流程图、表格和引用。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B/C主责，A统稿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D9</w:t>
            </w:r>
          </w:p>
        </w:tc>
        <w:tc>
          <w:tcPr>
            <w:tcW w:type="dxa" w:w="60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交叉审稿：事实、指标、格式、图表编号、创新点逐项核验。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A审B、B审C、C审A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D10</w:t>
            </w:r>
          </w:p>
        </w:tc>
        <w:tc>
          <w:tcPr>
            <w:tcW w:type="dxa" w:w="60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终稿、答辩 PPT、演示视频与故障兜底方案。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全员</w:t>
            </w:r>
          </w:p>
        </w:tc>
      </w:tr>
    </w:tbl>
    <w:p>
      <w:pPr>
        <w:spacing w:after="0"/>
      </w:pPr>
    </w:p>
    <w:p>
      <w:pPr>
        <w:pStyle w:val="Heading2"/>
      </w:pPr>
      <w:r>
        <w:t>6.2 每日交付与交叉审稿</w:t>
      </w:r>
    </w:p>
    <w:p>
      <w:pPr>
        <w:spacing w:line="300" w:lineRule="auto" w:after="60"/>
        <w:ind w:left="227" w:hanging="227"/>
      </w:pPr>
      <w:r>
        <w:rPr>
          <w:rFonts w:ascii="Times New Roman" w:hAnsi="Times New Roman" w:eastAsia="黑体"/>
          <w:b/>
          <w:i w:val="0"/>
          <w:color w:val="222222"/>
          <w:sz w:val="22"/>
        </w:rPr>
        <w:t>每日提交：</w:t>
      </w:r>
      <w:r>
        <w:rPr>
          <w:rFonts w:ascii="Times New Roman" w:hAnsi="Times New Roman" w:eastAsia="宋体"/>
          <w:b w:val="0"/>
          <w:i w:val="0"/>
          <w:color w:val="222222"/>
          <w:sz w:val="22"/>
        </w:rPr>
        <w:t>新增代码、可复现命令、实验结果 JSON/CSV、论文新增段落、图表源文件、问题清单。</w:t>
      </w:r>
    </w:p>
    <w:p>
      <w:pPr>
        <w:spacing w:line="300" w:lineRule="auto" w:after="60"/>
        <w:ind w:left="227" w:hanging="227"/>
      </w:pPr>
      <w:r>
        <w:rPr>
          <w:rFonts w:ascii="Times New Roman" w:hAnsi="Times New Roman" w:eastAsia="黑体"/>
          <w:b/>
          <w:i w:val="0"/>
          <w:color w:val="222222"/>
          <w:sz w:val="22"/>
        </w:rPr>
        <w:t>成员A检查：</w:t>
      </w:r>
      <w:r>
        <w:rPr>
          <w:rFonts w:ascii="Times New Roman" w:hAnsi="Times New Roman" w:eastAsia="宋体"/>
          <w:b w:val="0"/>
          <w:i w:val="0"/>
          <w:color w:val="222222"/>
          <w:sz w:val="22"/>
        </w:rPr>
        <w:t>是否回答赛题、是否体现任务理解/工具调用/自主决策、是否存在夸大表述。</w:t>
      </w:r>
    </w:p>
    <w:p>
      <w:pPr>
        <w:spacing w:line="300" w:lineRule="auto" w:after="60"/>
        <w:ind w:left="227" w:hanging="227"/>
      </w:pPr>
      <w:r>
        <w:rPr>
          <w:rFonts w:ascii="Times New Roman" w:hAnsi="Times New Roman" w:eastAsia="黑体"/>
          <w:b/>
          <w:i w:val="0"/>
          <w:color w:val="222222"/>
          <w:sz w:val="22"/>
        </w:rPr>
        <w:t>成员B检查：</w:t>
      </w:r>
      <w:r>
        <w:rPr>
          <w:rFonts w:ascii="Times New Roman" w:hAnsi="Times New Roman" w:eastAsia="宋体"/>
          <w:b w:val="0"/>
          <w:i w:val="0"/>
          <w:color w:val="222222"/>
          <w:sz w:val="22"/>
        </w:rPr>
        <w:t>指标口径、对照公平性、实验可复现性、结论是否由数据支持。</w:t>
      </w:r>
    </w:p>
    <w:p>
      <w:pPr>
        <w:spacing w:line="300" w:lineRule="auto" w:after="60"/>
        <w:ind w:left="227" w:hanging="227"/>
      </w:pPr>
      <w:r>
        <w:rPr>
          <w:rFonts w:ascii="Times New Roman" w:hAnsi="Times New Roman" w:eastAsia="黑体"/>
          <w:b/>
          <w:i w:val="0"/>
          <w:color w:val="222222"/>
          <w:sz w:val="22"/>
        </w:rPr>
        <w:t>成员C检查：</w:t>
      </w:r>
      <w:r>
        <w:rPr>
          <w:rFonts w:ascii="Times New Roman" w:hAnsi="Times New Roman" w:eastAsia="宋体"/>
          <w:b w:val="0"/>
          <w:i w:val="0"/>
          <w:color w:val="222222"/>
          <w:sz w:val="22"/>
        </w:rPr>
        <w:t>系统链路能否真实运行、截图与当前界面一致、嵌入式与移动端是否能现场演示。</w:t>
      </w:r>
    </w:p>
    <w:p>
      <w:pPr>
        <w:pStyle w:val="Heading2"/>
      </w:pPr>
      <w:r>
        <w:t>6.3 最终验收清单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257"/>
      </w:tblGrid>
      <w:tr>
        <w:trPr>
          <w:tblHeader w:val="true"/>
          <w:cantSplit/>
        </w:trPr>
        <w:tc>
          <w:tcPr>
            <w:tcW w:type="dxa" w:w="4153"/>
            <w:shd w:fill="4472C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类别</w:t>
            </w:r>
          </w:p>
        </w:tc>
        <w:tc>
          <w:tcPr>
            <w:tcW w:type="dxa" w:w="4153"/>
            <w:shd w:fill="4472C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FFFFFF"/>
                <w:sz w:val="21"/>
              </w:rPr>
              <w:t>验收标准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论文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参考论文式章节完整；图表编号连续；每项创新均有原理、实现、实验和限制。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系统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Web 审查闭环稳定；小程序与嵌入式数据真实接通；完整场景可连续演示。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实验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统一黄金集；算法、智能体、Word 改写、端侧链路和端到端测试均有记录。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材料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架构图、流程图、硬件图、页面截图、演示视频、复现说明、代码版本号齐全。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表述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0"/>
              </w:rPr>
              <w:t>不把小程序单独称为嵌入式；不把 DashScope 推理称为完全本地；明确原型与生产部署边界。</w:t>
            </w:r>
          </w:p>
        </w:tc>
      </w:tr>
    </w:tbl>
    <w:p>
      <w:pPr>
        <w:spacing w:after="0"/>
      </w:pPr>
    </w:p>
    <w:p>
      <w:pPr>
        <w:pStyle w:val="Heading1"/>
      </w:pPr>
      <w:r>
        <w:t>第七章 结论</w:t>
      </w:r>
    </w:p>
    <w:p>
      <w:pPr>
        <w:jc w:val="both"/>
      </w:pPr>
      <w:r>
        <w:rPr>
          <w:rFonts w:ascii="Times New Roman" w:hAnsi="Times New Roman" w:eastAsia="宋体"/>
          <w:b w:val="0"/>
          <w:i w:val="0"/>
          <w:color w:val="222222"/>
          <w:sz w:val="24"/>
        </w:rPr>
        <w:t>当前 v9 已具备较强的参赛基础，真正有辨识度的创新不是简单叠加多个智能体，而是将本地混合检索、确定性数值工具、争议升级、人工裁决、Word 改写和标注飞轮组织成可信闭环。下一步应优先补齐现场风险对话与真实嵌入式节点，并用统一黄金集和端到端实验把系统能力量化。</w:t>
      </w:r>
    </w:p>
    <w:p>
      <w:pPr>
        <w:jc w:val="both"/>
      </w:pPr>
      <w:r>
        <w:rPr>
          <w:rFonts w:ascii="Times New Roman" w:hAnsi="Times New Roman" w:eastAsia="宋体"/>
          <w:b w:val="0"/>
          <w:i w:val="0"/>
          <w:color w:val="222222"/>
          <w:sz w:val="24"/>
        </w:rPr>
        <w:t>三人分工必须以“技术模块—论文章节—图表实验—演示验收”四项绑定为原则。成员A保证论证和智能体主线，成员B保证算法与指标可信，成员C保证移动端、嵌入式和工程闭环可运行。这样既能降低重复劳动，也能让答辩时每位成员都能对自己负责的技术给出可验证证据。</w:t>
      </w:r>
    </w:p>
    <w:sectPr w:rsidR="00FC693F" w:rsidRPr="0006063C" w:rsidSect="00034616">
      <w:footerReference w:type="default" r:id="rId9"/>
      <w:pgSz w:w="11906" w:h="16838"/>
      <w:pgMar w:top="1440" w:right="1800" w:bottom="1440" w:left="1800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777777"/>
        <w:sz w:val="18"/>
      </w:rPr>
      <w:t xml:space="preserve">研电赛论文撰写分工与项目完善建议  |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22222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222222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22222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研电赛论文三人分工与项目完善建议</dc:title>
  <dc:subject>煤矿安全规程审查与现场风险研判多智能体系统</dc:subject>
  <dc:creator>项目团队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