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60" w:line="240" w:lineRule="auto"/>
      </w:pPr>
      <w:r>
        <w:rPr>
          <w:rFonts w:ascii="Calibri" w:hAnsi="Calibri" w:eastAsia="微软雅黑"/>
          <w:b/>
          <w:i w:val="0"/>
          <w:color w:val="2E74B5"/>
          <w:sz w:val="19"/>
        </w:rPr>
        <w:t>人工构造错误 · 核对专用</w:t>
      </w:r>
    </w:p>
    <w:p>
      <w:pPr>
        <w:pStyle w:val="Title"/>
      </w:pPr>
      <w:r>
        <w:t>S1302 工作面作业规程（综采）错误位置清单</w:t>
      </w:r>
    </w:p>
    <w:p>
      <w:pPr>
        <w:pStyle w:val="Subtitle"/>
      </w:pPr>
      <w:r>
        <w:t>用于核验多智能体对合规性错误、错别字和跨章节重复内容的识别情况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12960"/>
      </w:tblGrid>
      <w:tr>
        <w:trPr>
          <w:trHeight w:hRule="atLeast"/>
          <w:cantSplit/>
        </w:trPr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7"/>
              </w:rPr>
              <w:t>基准文档</w:t>
            </w:r>
          </w:p>
        </w:tc>
        <w:tc>
          <w:tcPr>
            <w:tcW w:type="dxa" w:w="1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7"/>
              </w:rPr>
              <w:t>004 S1302工作面作业规程（综采）_人工错误注入版_v1.docx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7"/>
              </w:rPr>
              <w:t>金标文件</w:t>
            </w:r>
          </w:p>
        </w:tc>
        <w:tc>
          <w:tcPr>
            <w:tcW w:type="dxa" w:w="1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7"/>
              </w:rPr>
              <w:t>004 S1302工作面作业规程（综采）_人工错误金标_v1.json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7"/>
              </w:rPr>
              <w:t>使用说明</w:t>
            </w:r>
          </w:p>
        </w:tc>
        <w:tc>
          <w:tcPr>
            <w:tcW w:type="dxa" w:w="1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7"/>
              </w:rPr>
              <w:t>盲测时不要向系统提供本清单或标红版；系统输出完成后再据此核对。</w:t>
            </w:r>
          </w:p>
        </w:tc>
      </w:tr>
    </w:tbl>
    <w:p>
      <w:pPr>
        <w:widowControl/>
        <w:spacing w:before="0" w:after="40" w:line="240" w:lineRule="auto"/>
      </w:pP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tblInd w:w="120" w:type="dxa"/>
      </w:tblPr>
      <w:tblGrid>
        <w:gridCol w:w="3780"/>
        <w:gridCol w:w="3780"/>
        <w:gridCol w:w="3780"/>
        <w:gridCol w:w="3780"/>
      </w:tblGrid>
      <w:tr>
        <w:trPr>
          <w:trHeight w:hRule="atLeast"/>
          <w:cantSplit/>
        </w:trPr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12</w:t>
            </w:r>
            <w:r>
              <w:rPr>
                <w:rFonts w:ascii="Calibri" w:hAnsi="Calibri" w:eastAsia="微软雅黑"/>
                <w:b w:val="0"/>
                <w:i w:val="0"/>
                <w:color w:val="5F6368"/>
                <w:sz w:val="21"/>
              </w:rPr>
              <w:br/>
              <w:t>合规性错误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10</w:t>
            </w:r>
            <w:r>
              <w:rPr>
                <w:rFonts w:ascii="Calibri" w:hAnsi="Calibri" w:eastAsia="微软雅黑"/>
                <w:b w:val="0"/>
                <w:i w:val="0"/>
                <w:color w:val="5F6368"/>
                <w:sz w:val="21"/>
              </w:rPr>
              <w:br/>
              <w:t>错别字错误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8</w:t>
            </w:r>
            <w:r>
              <w:rPr>
                <w:rFonts w:ascii="Calibri" w:hAnsi="Calibri" w:eastAsia="微软雅黑"/>
                <w:b w:val="0"/>
                <w:i w:val="0"/>
                <w:color w:val="5F6368"/>
                <w:sz w:val="21"/>
              </w:rPr>
              <w:br/>
              <w:t>重复内容</w:t>
            </w:r>
          </w:p>
        </w:tc>
        <w:tc>
          <w:tcPr>
            <w:tcW w:type="dxa" w:w="3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21"/>
              </w:rPr>
              <w:t>30</w:t>
            </w:r>
            <w:r>
              <w:rPr>
                <w:rFonts w:ascii="Calibri" w:hAnsi="Calibri" w:eastAsia="微软雅黑"/>
                <w:b w:val="0"/>
                <w:i w:val="0"/>
                <w:color w:val="5F6368"/>
                <w:sz w:val="21"/>
              </w:rPr>
              <w:br/>
              <w:t>合计</w:t>
            </w:r>
          </w:p>
        </w:tc>
      </w:tr>
    </w:tbl>
    <w:p>
      <w:pPr>
        <w:widowControl/>
        <w:spacing w:before="0" w:after="80" w:line="276" w:lineRule="auto"/>
        <w:pBdr>
          <w:bottom w:val="single" w:sz="12" w:space="5" w:color="2E74B5"/>
        </w:pBdr>
      </w:pPr>
      <w:r>
        <w:rPr>
          <w:rFonts w:ascii="Calibri" w:hAnsi="Calibri" w:eastAsia="微软雅黑"/>
          <w:b/>
          <w:i w:val="0"/>
          <w:color w:val="202124"/>
          <w:sz w:val="19"/>
        </w:rPr>
        <w:t>标记规则：</w:t>
      </w:r>
      <w:r>
        <w:rPr>
          <w:rFonts w:ascii="Calibri" w:hAnsi="Calibri" w:eastAsia="微软雅黑"/>
          <w:b/>
          <w:i w:val="0"/>
          <w:color w:val="C00000"/>
          <w:sz w:val="19"/>
        </w:rPr>
        <w:t>红色文字</w:t>
      </w:r>
      <w:r>
        <w:rPr>
          <w:rFonts w:ascii="Calibri" w:hAnsi="Calibri" w:eastAsia="微软雅黑"/>
          <w:b w:val="0"/>
          <w:i w:val="0"/>
          <w:color w:val="202124"/>
          <w:sz w:val="19"/>
        </w:rPr>
        <w:t>为人为注入的错误；重复类在标红版中将整段插入副本标红，原始段落保持原色。</w:t>
      </w:r>
    </w:p>
    <w:p>
      <w:pPr>
        <w:pStyle w:val="Heading2"/>
      </w:pPr>
      <w:r>
        <w:t>一、合规性错误（12 项）</w:t>
      </w:r>
    </w:p>
    <w:p>
      <w:pPr>
        <w:widowControl/>
        <w:spacing w:before="0" w:after="100" w:line="276" w:lineRule="auto"/>
      </w:pPr>
      <w:r>
        <w:rPr>
          <w:rFonts w:ascii="Calibri" w:hAnsi="Calibri" w:eastAsia="微软雅黑"/>
          <w:b w:val="0"/>
          <w:i w:val="0"/>
          <w:color w:val="5F6368"/>
          <w:sz w:val="18"/>
        </w:rPr>
        <w:t>核对重点：阈值放宽、停工/停电要求取消、允许带电检修等安全约束变化。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40"/>
        <w:gridCol w:w="3360"/>
        <w:gridCol w:w="3360"/>
        <w:gridCol w:w="68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编号</w:t>
            </w:r>
          </w:p>
        </w:tc>
        <w:tc>
          <w:tcPr>
            <w:tcW w:type="dxa" w:w="8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原块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正确原文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注入错误</w:t>
            </w:r>
          </w:p>
        </w:tc>
        <w:tc>
          <w:tcPr>
            <w:tcW w:type="dxa" w:w="68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判定依据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C001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548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瓦斯浓度≥1.2%时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瓦斯浓度≥1.8%时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将工作面停止工作阈值由1.2%放宽至1.8%，属于延迟停工。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C002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549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瓦斯浓度＜0.8%时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瓦斯浓度＜1.3%时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将恢复作业阈值由低于0.8%放宽至低于1.3%。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C003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550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瓦斯≥1.2%时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瓦斯≥2.0%时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放宽电动机及开关附近的停电撤人阈值。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C004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551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瓦斯积聚≥2％时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瓦斯积聚≥3％时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放宽局部瓦斯积聚的断电、停工和撤人阈值。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C005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593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内喷雾工作压力不得小于2MPa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内喷雾工作压力不得小于0.5MPa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降低采煤机内喷雾最低工作压力；对应知识库《煤矿安全规程》第七百零四条。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C006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628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严禁带电作业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允许带电作业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允许井下带电检修；对应知识库《煤矿安全规程》第四百七十八条。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C007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877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立即停止作业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可继续作业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发现透水征兆仍允许继续作业；对应知识库《煤矿安全规程》第二百九十二条。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C008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896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低于0.8%时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低于1.5%时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放宽开启照明灯的瓦斯浓度条件。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C009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1184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必须先切断上级电源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无需切断上级电源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取消打开电气设备外壳前的上级电源隔离要求；对应第四百七十八条。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C010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2026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不得带电检修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可以带电检修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允许井下带电检修；对应第四百七十八条。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C011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2049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必须立即停止作业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可继续作业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工作面停风后仍允许继续作业。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C012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2050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瓦斯浓度不超过1.2%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瓦斯浓度不超过2.0%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放宽恢复送风后人员进入和开机条件。</w:t>
            </w:r>
          </w:p>
        </w:tc>
      </w:tr>
    </w:tbl>
    <w:p>
      <w:r>
        <w:br w:type="page"/>
      </w:r>
    </w:p>
    <w:p>
      <w:pPr>
        <w:pStyle w:val="Heading2"/>
      </w:pPr>
      <w:r>
        <w:t>二、错别字错误（10 项）</w:t>
      </w:r>
    </w:p>
    <w:p>
      <w:pPr>
        <w:widowControl/>
        <w:spacing w:before="0" w:after="100" w:line="276" w:lineRule="auto"/>
      </w:pPr>
      <w:r>
        <w:rPr>
          <w:rFonts w:ascii="Calibri" w:hAnsi="Calibri" w:eastAsia="微软雅黑"/>
          <w:b w:val="0"/>
          <w:i w:val="0"/>
          <w:color w:val="5F6368"/>
          <w:sz w:val="18"/>
        </w:rPr>
        <w:t>核对重点：专业术语中的同音字、形近字和单字替换。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40"/>
        <w:gridCol w:w="2160"/>
        <w:gridCol w:w="2160"/>
        <w:gridCol w:w="92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编号</w:t>
            </w:r>
          </w:p>
        </w:tc>
        <w:tc>
          <w:tcPr>
            <w:tcW w:type="dxa" w:w="8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原块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错误字词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正确字词</w:t>
            </w:r>
          </w:p>
        </w:tc>
        <w:tc>
          <w:tcPr>
            <w:tcW w:type="dxa" w:w="92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所在段落摘录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T001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400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通疯系统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通风系统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S1302工作面通疯系统为采用“U型+高抽巷”通风系统，S1302胶带顺槽进风，S1302回风顺槽回风，同时…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T002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542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瓦斯检察点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瓦斯检查点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①工作面瓦斯检察点包括工作面进风流、工作面风流、后溜机尾风流、空顶区、上隅角9个测点及架间检查点（工作…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T003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545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监侧瓦斯浓度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监测瓦斯浓度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④跟面瓦检员除进行工作面巡查外，当班其余时间必须在上隅角处监侧瓦斯浓度变化情况，发现异常立即向生产调度、安全调度和通风调度进行汇报，并严格执行上隅角现场交…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T004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567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割煤速渡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割煤速度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（10）机组在机尾割煤时，采取先割煤后放煤措施，初次来压和周期来压期间机组在机尾割煤速渡控制在0.5m/min，正常情况下在机尾割煤速度控制在1m/min，且要挂牌管理，以…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T005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569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传敢器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传感器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（12）加强传敢器、瓦斯超限断电装置的管理，保证工作面数据传输正常，瓦斯超限断电装置灵敏可靠。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T006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745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割煤鸡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割煤机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…面照明等设备提供电力；综采期间供电系统为综采工作面的绞车、水泵、综保、大溜、破碎机、割煤鸡、转载机、皮带机、乳化液泵、喷雾泵等设备提供电力。详见图6-7《S1302综采工作面…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T007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788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静压水菅路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静压水管路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S1302胶带顺槽、回风顺槽各敷设一趟4寸静压水菅路，用作巷道防尘、喷雾、洒水，冷却等，巷道口安设水压表（0-4MPa）和流量表，静压水…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T008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910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甲完传感器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甲烷传感器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采煤机必须安设机载式甲完传感器，传感器应加设防护罩，吊挂在采煤机组上便于观察且能正确反应周围瓦斯浓度的地方，并实行…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T009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1133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支架初掌力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支架初撑力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（2）保证泵站压力达到30MPa以上，确保支架初掌力，保证液压系统不窜液，不漏液，支架工作状态良好。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T010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1451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乳化夜泵站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乳化液泵站</w:t>
            </w:r>
          </w:p>
        </w:tc>
        <w:tc>
          <w:tcPr>
            <w:tcW w:type="dxa" w:w="9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七、更换乳化夜泵站、喷雾泵安全技术措施</w:t>
            </w:r>
          </w:p>
        </w:tc>
      </w:tr>
    </w:tbl>
    <w:p>
      <w:r>
        <w:br w:type="page"/>
      </w:r>
    </w:p>
    <w:p>
      <w:pPr>
        <w:pStyle w:val="Heading2"/>
      </w:pPr>
      <w:r>
        <w:t>三、重复内容错误（8 项）</w:t>
      </w:r>
    </w:p>
    <w:p>
      <w:pPr>
        <w:widowControl/>
        <w:spacing w:before="0" w:after="100" w:line="276" w:lineRule="auto"/>
      </w:pPr>
      <w:r>
        <w:rPr>
          <w:rFonts w:ascii="Calibri" w:hAnsi="Calibri" w:eastAsia="微软雅黑"/>
          <w:b w:val="0"/>
          <w:i w:val="0"/>
          <w:color w:val="5F6368"/>
          <w:sz w:val="18"/>
        </w:rPr>
        <w:t>核对重点：下列段落从原位置完整复制，并插入到另一章节；标红版只标红插入副本。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tblInd w:w="120" w:type="dxa"/>
      </w:tblPr>
      <w:tblGrid>
        <w:gridCol w:w="660"/>
        <w:gridCol w:w="780"/>
        <w:gridCol w:w="1020"/>
        <w:gridCol w:w="2880"/>
        <w:gridCol w:w="2880"/>
        <w:gridCol w:w="6900"/>
      </w:tblGrid>
      <w:tr>
        <w:trPr>
          <w:trHeight w:hRule="atLeast"/>
          <w:tblHeader w:val="true"/>
          <w:cantSplit/>
        </w:trPr>
        <w:tc>
          <w:tcPr>
            <w:tcW w:type="dxa" w:w="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编号</w:t>
            </w:r>
          </w:p>
        </w:tc>
        <w:tc>
          <w:tcPr>
            <w:tcW w:type="dxa" w:w="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源块</w:t>
            </w:r>
          </w:p>
        </w:tc>
        <w:tc>
          <w:tcPr>
            <w:tcW w:type="dxa" w:w="10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插入于块后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源位置锚点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插入位置锚点</w:t>
            </w:r>
          </w:p>
        </w:tc>
        <w:tc>
          <w:tcPr>
            <w:tcW w:type="dxa" w:w="6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4D78"/>
                <w:sz w:val="16"/>
              </w:rPr>
              <w:t>重复段落内容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R001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575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1180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（1）初采期间通风科每日对初采面的瓦斯浓度变化曲线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（9）采煤机上必须安装机载式瓦斯断电仪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（1）初采期间通风科每日对初采面的瓦斯浓度变化曲线进行分析，每3天对工作面进行一次全面的风量测定，并结合相关数据参数制定措施，不断完善和调整综采工作面通风系统，以确保工作面风量、通风设备设施布置符合设计和规程要求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R002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596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1515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（6）各转载点安装喷雾设施，要求喷嘴距落煤点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（8）起吊物件时，必须设一人专门观察物件动作趋势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（6）各转载点安装喷雾设施，要求喷嘴距落煤点不大于0.5m，固定牢固，保证雾化效果，由各转载点司机及检修工负责维护。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R003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619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1728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（1）8kg干粉灭火器配置：胶带机头3个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（5）作业时必须听从跟班队干统一指挥，发现异常情况（如顶板响动、漏矸等）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（1）8kg干粉灭火器配置：胶带机头3个、转载机机头3个、移变处3个、电气列车3个、乳化液泵站3个、3组以上电气设备处2个、油脂存放点2个、工作面每5组支架1个灭火器。过期或失效的灭火器必须及时更换，井下作业人员都必须掌握灭火器的使用方法，以备紧急情况下使用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R004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627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1944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（4）电气设备着火时，应先切断电源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⑦打钻工程中，在下风侧10m处悬挂一便携式瓦检仪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（4）电气设备着火时，应先切断电源，在切断电源前，严禁使用水直接进行灭火，只准使用不导电的灭火器材进行灭火，如干粉灭火器。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R005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1297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2112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（11）拆接链作业过程中，若乳化液泵突然停止供液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9、扶架时，用喊话或者晃动矿灯方式联系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（11）拆接链作业过程中，若乳化液泵突然停止供液，作业人员立即停止作业，通过工作面安装的KTC101通讯集控系统与乳化液泵站司机或乳化液泵站检修工取得联系，明确停泵原因。在确定乳化液泵停止的前提下，作业人员缓缓地将单体柱进行拆放，放在安全地点。待乳化液泵正常供液后，恢复拆接链作业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R006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1515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2250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（8）起吊物件时，必须设一人专门观察物件动作趋势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1、保证工作面支架的良好工作状态，支架初撑力必须达标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（8）起吊物件时，必须设一人专门观察物件动作趋势和顶板支护情况，发现问题及时停止作业并进行处理（观察者应站在起吊物件3m以外的安全位置）。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R007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1946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2428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⑨打钻过程中，如出现钻孔出水、瓦斯喷孔、夹钻、顶钻等异常现象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5、跟班队干、班长必须佩戴便携式瓦斯检测仪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⑨打钻过程中，如出现钻孔出水、瓦斯喷孔、夹钻、顶钻等异常现象时，必须立即停止作业，及时向调度室、地测科、通风部门、生产科汇报。</w:t>
            </w:r>
          </w:p>
        </w:tc>
      </w:tr>
      <w:tr>
        <w:trPr>
          <w:trHeight w:hRule="atLeast"/>
          <w:cantSplit/>
        </w:trPr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2E74B5"/>
                <w:sz w:val="16"/>
              </w:rPr>
              <w:t>R008</w:t>
            </w:r>
          </w:p>
        </w:tc>
        <w:tc>
          <w:tcPr>
            <w:tcW w:type="dxa" w:w="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2408</w:t>
            </w:r>
          </w:p>
        </w:tc>
        <w:tc>
          <w:tcPr>
            <w:tcW w:type="dxa" w:w="1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2651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2、回风顺槽内每隔200m安装一道风水联动喷雾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202124"/>
                <w:sz w:val="16"/>
              </w:rPr>
              <w:t>18、更换截齿和滚筒前后5m以内有人作业时</w:t>
            </w:r>
          </w:p>
        </w:tc>
        <w:tc>
          <w:tcPr>
            <w:tcW w:type="dxa" w:w="6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C00000"/>
                <w:sz w:val="16"/>
              </w:rPr>
              <w:t>2、回风顺槽内每隔200m安装一道风水联动喷雾，以便增加管路周围环境的空气湿度（管路周围环境湿度≥70%、管路表面始终保持湿润状态），有效降低电荷在管路上的积聚能力，也可增加管路与大地间的导流能力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92" w:right="792" w:bottom="792" w:left="792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微软雅黑"/>
        <w:b w:val="0"/>
        <w:i w:val="0"/>
        <w:color w:val="5F6368"/>
        <w:sz w:val="17"/>
      </w:rPr>
      <w:t xml:space="preserve">第 </w:t>
    </w:r>
    <w:r>
      <w:rPr>
        <w:rFonts w:ascii="Calibri" w:hAnsi="Calibri" w:eastAsia="微软雅黑"/>
        <w:b w:val="0"/>
        <w:i w:val="0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b w:val="0"/>
        <w:i w:val="0"/>
        <w:color w:val="5F6368"/>
        <w:sz w:val="17"/>
      </w:rPr>
      <w:t xml:space="preserve"> 页 / 共 </w:t>
    </w:r>
    <w:r>
      <w:rPr>
        <w:rFonts w:ascii="Calibri" w:hAnsi="Calibri" w:eastAsia="微软雅黑"/>
        <w:b w:val="0"/>
        <w:i w:val="0"/>
        <w:color w:val="5F6368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微软雅黑"/>
        <w:b w:val="0"/>
        <w:i w:val="0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微软雅黑"/>
        <w:b/>
        <w:i w:val="0"/>
        <w:color w:val="5F6368"/>
        <w:sz w:val="17"/>
      </w:rPr>
      <w:t>S1302 人工错误注入测试集</w:t>
    </w:r>
    <w:r>
      <w:rPr>
        <w:rFonts w:ascii="Calibri" w:hAnsi="Calibri" w:eastAsia="微软雅黑"/>
        <w:b w:val="0"/>
        <w:i w:val="0"/>
        <w:color w:val="5F6368"/>
        <w:sz w:val="17"/>
      </w:rPr>
      <w:t xml:space="preserve">  |  错误位置清单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20212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S1302工作面作业规程（综采）错误位置清单</dc:title>
  <dc:subject>人工错误注入测试集金标核对</dc:subject>
  <dc:creator>Coal Regulation AI Evaluation</dc:creator>
  <cp:keywords>S1302, 合规审查, 错别字, 重复内容, 金标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