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760"/>
        <w:jc w:val="center"/>
      </w:pPr>
      <w:r>
        <w:rPr>
          <w:rFonts w:ascii="Times New Roman" w:hAnsi="Times New Roman" w:eastAsia="黑体"/>
          <w:b/>
          <w:i w:val="0"/>
          <w:color w:val="222222"/>
          <w:sz w:val="40"/>
        </w:rPr>
        <w:t>第十九届中国研究生电子设计竞赛技术论文</w:t>
      </w:r>
    </w:p>
    <w:p>
      <w:pPr>
        <w:spacing w:after="200"/>
        <w:jc w:val="center"/>
      </w:pPr>
      <w:r>
        <w:rPr>
          <w:rFonts w:ascii="Times New Roman" w:hAnsi="Times New Roman" w:eastAsia="黑体"/>
          <w:b/>
          <w:i w:val="0"/>
          <w:color w:val="1F4E79"/>
          <w:sz w:val="48"/>
        </w:rPr>
        <w:t>面向煤矿安全规程审查与现场风险研判的</w:t>
        <w:br/>
        <w:t>云边协同多智能体系统</w:t>
      </w:r>
    </w:p>
    <w:p>
      <w:pPr>
        <w:jc w:val="center"/>
      </w:pPr>
      <w:r>
        <w:rPr>
          <w:rFonts w:ascii="Times New Roman" w:hAnsi="Times New Roman" w:eastAsia="Times New Roman"/>
          <w:b w:val="0"/>
          <w:i/>
          <w:color w:val="222222"/>
          <w:sz w:val="26"/>
        </w:rPr>
        <w:t>A Cloud-Edge Collaborative Multi-Agent System for Coal Mine Safety</w:t>
      </w:r>
    </w:p>
    <w:p/>
    <w:p/>
    <w:p/>
    <w:p/>
    <w:p/>
    <w:tbl>
      <w:tblPr>
        <w:tblStyle w:val="TableGrid"/>
        <w:tblW w:type="auto" w:w="0"/>
        <w:jc w:val="center"/>
        <w:tblLayout w:type="fixed"/>
        <w:tblLook w:firstColumn="1" w:firstRow="1" w:lastColumn="0" w:lastRow="0" w:noHBand="0" w:noVBand="1" w:val="04A0"/>
      </w:tblPr>
      <w:tblGrid>
        <w:gridCol w:w="2268"/>
        <w:gridCol w:w="6690"/>
      </w:tblGrid>
      <w:tr>
        <w:trPr>
          <w:tblHeader w:val="true"/>
          <w:cantSplit/>
        </w:trPr>
        <w:tc>
          <w:tcPr>
            <w:tcW w:type="dxa" w:w="4153"/>
            <w:shd w:fill="1F4E79"/>
            <w:vAlign w:val="center"/>
          </w:tcPr>
          <w:p>
            <w:pPr>
              <w:spacing w:after="0" w:line="276" w:lineRule="auto"/>
              <w:jc w:val="center"/>
            </w:pPr>
            <w:r/>
            <w:r>
              <w:rPr>
                <w:rFonts w:ascii="Times New Roman" w:hAnsi="Times New Roman" w:eastAsia="宋体"/>
                <w:b/>
                <w:i w:val="0"/>
                <w:color w:val="FFFFFF"/>
                <w:sz w:val="21"/>
              </w:rPr>
              <w:t>项  目</w:t>
            </w:r>
          </w:p>
        </w:tc>
        <w:tc>
          <w:tcPr>
            <w:tcW w:type="dxa" w:w="4153"/>
            <w:shd w:fill="1F4E79"/>
            <w:vAlign w:val="center"/>
          </w:tcPr>
          <w:p>
            <w:pPr>
              <w:spacing w:after="0" w:line="276" w:lineRule="auto"/>
              <w:jc w:val="center"/>
            </w:pPr>
            <w:r/>
            <w:r>
              <w:rPr>
                <w:rFonts w:ascii="Times New Roman" w:hAnsi="Times New Roman" w:eastAsia="宋体"/>
                <w:b/>
                <w:i w:val="0"/>
                <w:color w:val="FFFFFF"/>
                <w:sz w:val="21"/>
              </w:rPr>
              <w:t>内  容</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参赛单位</w:t>
            </w:r>
          </w:p>
        </w:tc>
        <w:tc>
          <w:tcPr>
            <w:tcW w:type="dxa" w:w="6690"/>
            <w:vAlign w:val="center"/>
          </w:tcPr>
          <w:p>
            <w:pPr>
              <w:spacing w:after="0" w:line="276" w:lineRule="auto"/>
              <w:jc w:val="left"/>
            </w:pPr>
            <w:r/>
            <w:r>
              <w:rPr>
                <w:rFonts w:ascii="Times New Roman" w:hAnsi="Times New Roman" w:eastAsia="宋体"/>
                <w:b w:val="0"/>
                <w:i w:val="0"/>
                <w:color w:val="222222"/>
                <w:sz w:val="21"/>
              </w:rPr>
              <w:t>____________________________</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团队成员</w:t>
            </w:r>
          </w:p>
        </w:tc>
        <w:tc>
          <w:tcPr>
            <w:tcW w:type="dxa" w:w="6690"/>
            <w:vAlign w:val="center"/>
          </w:tcPr>
          <w:p>
            <w:pPr>
              <w:spacing w:after="0" w:line="276" w:lineRule="auto"/>
              <w:jc w:val="left"/>
            </w:pPr>
            <w:r/>
            <w:r>
              <w:rPr>
                <w:rFonts w:ascii="Times New Roman" w:hAnsi="Times New Roman" w:eastAsia="宋体"/>
                <w:b w:val="0"/>
                <w:i w:val="0"/>
                <w:color w:val="222222"/>
                <w:sz w:val="21"/>
              </w:rPr>
              <w:t>成员A、成员B、成员C（请替换为真实姓名）</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指导教师</w:t>
            </w:r>
          </w:p>
        </w:tc>
        <w:tc>
          <w:tcPr>
            <w:tcW w:type="dxa" w:w="6690"/>
            <w:vAlign w:val="center"/>
          </w:tcPr>
          <w:p>
            <w:pPr>
              <w:spacing w:after="0" w:line="276" w:lineRule="auto"/>
              <w:jc w:val="left"/>
            </w:pPr>
            <w:r/>
            <w:r>
              <w:rPr>
                <w:rFonts w:ascii="Times New Roman" w:hAnsi="Times New Roman" w:eastAsia="宋体"/>
                <w:b w:val="0"/>
                <w:i w:val="0"/>
                <w:color w:val="222222"/>
                <w:sz w:val="21"/>
              </w:rPr>
              <w:t>____________________________</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作品类别</w:t>
            </w:r>
          </w:p>
        </w:tc>
        <w:tc>
          <w:tcPr>
            <w:tcW w:type="dxa" w:w="6690"/>
            <w:vAlign w:val="center"/>
          </w:tcPr>
          <w:p>
            <w:pPr>
              <w:spacing w:after="0" w:line="276" w:lineRule="auto"/>
              <w:jc w:val="left"/>
            </w:pPr>
            <w:r/>
            <w:r>
              <w:rPr>
                <w:rFonts w:ascii="Times New Roman" w:hAnsi="Times New Roman" w:eastAsia="宋体"/>
                <w:b w:val="0"/>
                <w:i w:val="0"/>
                <w:color w:val="222222"/>
                <w:sz w:val="21"/>
              </w:rPr>
              <w:t>面向大语言模型、多模态模型及智能体系统的创新设计</w:t>
            </w:r>
          </w:p>
        </w:tc>
      </w:tr>
    </w:tbl>
    <w:p/>
    <w:p>
      <w:r>
        <w:br w:type="page"/>
      </w:r>
    </w:p>
    <w:p>
      <w:pPr>
        <w:jc w:val="center"/>
      </w:pPr>
      <w:r>
        <w:rPr>
          <w:rFonts w:ascii="Times New Roman" w:hAnsi="Times New Roman" w:eastAsia="黑体"/>
          <w:b/>
          <w:i w:val="0"/>
          <w:color w:val="222222"/>
          <w:sz w:val="32"/>
        </w:rPr>
        <w:t>摘  要（成员A主笔，成员B/C提供数据）</w:t>
      </w:r>
    </w:p>
    <w:p>
      <w:pPr>
        <w:spacing w:line="360" w:lineRule="auto" w:after="0"/>
        <w:ind w:firstLine="420"/>
        <w:jc w:val="both"/>
      </w:pPr>
      <w:r>
        <w:rPr>
          <w:rFonts w:ascii="Times New Roman" w:hAnsi="Times New Roman" w:eastAsia="宋体"/>
          <w:b w:val="0"/>
          <w:i w:val="0"/>
          <w:color w:val="222222"/>
          <w:sz w:val="24"/>
        </w:rPr>
        <w:t>煤矿作业规程篇幅长、条款关联复杂，传统人工审查存在效率低、数值阈值易误判、问题定位与修订闭环不足等问题。同时，井下现场风险信息具有突发性和多源性，需要能够理解任务、主动追问并调用工具的智能系统。为此，本作品设计了一套面向煤矿安全规程审查与现场风险研判的云边协同多智能体系统。</w:t>
      </w:r>
    </w:p>
    <w:p>
      <w:pPr>
        <w:spacing w:line="360" w:lineRule="auto" w:after="0"/>
        <w:ind w:firstLine="420"/>
        <w:jc w:val="both"/>
      </w:pPr>
      <w:r>
        <w:rPr>
          <w:rFonts w:ascii="Times New Roman" w:hAnsi="Times New Roman" w:eastAsia="宋体"/>
          <w:b w:val="0"/>
          <w:i w:val="0"/>
          <w:color w:val="222222"/>
          <w:sz w:val="24"/>
        </w:rPr>
        <w:t>系统在规程审查侧采用结构保持型文档切分、本地 BGE-M3 稠密与稀疏混合检索、重排序和多查询召回，通过合规审查、错别字检查和文档级重复检查等并行链路完成审查；针对数值阈值问题，采用“语言模型抽取、确定性代码比较”的工具增强方法，并将争议项自动升级至主智能体或人工复核。系统支持问题实时定位、人工接受或改写、Word 文档修订及标注数据回流。</w:t>
      </w:r>
    </w:p>
    <w:p>
      <w:pPr>
        <w:spacing w:line="360" w:lineRule="auto" w:after="0"/>
        <w:ind w:firstLine="420"/>
        <w:jc w:val="both"/>
      </w:pPr>
      <w:r>
        <w:rPr>
          <w:rFonts w:ascii="Times New Roman" w:hAnsi="Times New Roman" w:eastAsia="宋体"/>
          <w:b w:val="0"/>
          <w:i w:val="0"/>
          <w:color w:val="222222"/>
          <w:sz w:val="24"/>
        </w:rPr>
        <w:t>在现场应用侧，拟通过微信小程序连接嵌入式传感节点，实现语音、文字、图片和传感数据上报。主智能体根据现场任务调用法规检索、传感器读取、风险分级与告警工具，在信息不足时主动追问，在高风险或低置信情况下升级人工。该系统形成“作业前审查、作业中研判、作业后沉淀”的安全闭环，为煤矿安全管理提供可追溯、可持续优化的智能化方案。</w:t>
      </w:r>
    </w:p>
    <w:p>
      <w:r>
        <w:rPr>
          <w:rFonts w:ascii="Times New Roman" w:hAnsi="Times New Roman" w:eastAsia="黑体"/>
          <w:b/>
          <w:i w:val="0"/>
          <w:color w:val="222222"/>
          <w:sz w:val="24"/>
        </w:rPr>
        <w:t>关键词：</w:t>
      </w:r>
      <w:r>
        <w:rPr>
          <w:rFonts w:ascii="Times New Roman" w:hAnsi="Times New Roman" w:eastAsia="宋体"/>
          <w:b w:val="0"/>
          <w:i w:val="0"/>
          <w:color w:val="222222"/>
          <w:sz w:val="24"/>
        </w:rPr>
        <w:t>煤矿安全；多智能体；检索增强生成；工具调用；云边协同；嵌入式平台</w:t>
      </w:r>
    </w:p>
    <w:p>
      <w:r>
        <w:br w:type="page"/>
      </w:r>
    </w:p>
    <w:p>
      <w:pPr>
        <w:pStyle w:val="Heading1"/>
      </w:pPr>
      <w:r>
        <w:t>第一章 研究背景和意义（成员A主笔，成员C协作）</w:t>
      </w:r>
    </w:p>
    <w:p>
      <w:pPr>
        <w:spacing w:line="360" w:lineRule="auto" w:after="0"/>
        <w:ind w:firstLine="420"/>
        <w:jc w:val="both"/>
      </w:pPr>
      <w:r>
        <w:rPr>
          <w:rFonts w:ascii="Times New Roman" w:hAnsi="Times New Roman" w:eastAsia="宋体"/>
          <w:b w:val="0"/>
          <w:i w:val="0"/>
          <w:color w:val="222222"/>
          <w:sz w:val="24"/>
        </w:rPr>
        <w:t>煤矿作业规程是指导生产组织和安全作业的重要技术文件，其内容涉及通风、瓦斯、防治水、顶板管理、机电运输等多个专业。随着法规标准不断更新，规程编制和审查需要同时考虑章节结构、适用场景、数值阈值和跨条款依赖，单纯依赖人工逐条核对容易产生漏审和误判。</w:t>
      </w:r>
    </w:p>
    <w:p>
      <w:pPr>
        <w:spacing w:line="360" w:lineRule="auto" w:after="0"/>
        <w:ind w:firstLine="420"/>
        <w:jc w:val="both"/>
      </w:pPr>
      <w:r>
        <w:rPr>
          <w:rFonts w:ascii="Times New Roman" w:hAnsi="Times New Roman" w:eastAsia="宋体"/>
          <w:b w:val="0"/>
          <w:i w:val="0"/>
          <w:color w:val="222222"/>
          <w:sz w:val="24"/>
        </w:rPr>
        <w:t>大语言模型具备较强的文本理解和生成能力，但直接使用模型进行合规判断仍存在法规依据召回不充分、数值方向判断不稳定和结果不可追溯等问题。因此，需要将检索增强生成、确定性工具、人机协同和持续评估机制结合起来，提高审查结果的可信度。</w:t>
      </w:r>
    </w:p>
    <w:p>
      <w:pPr>
        <w:spacing w:line="360" w:lineRule="auto" w:after="0"/>
        <w:ind w:firstLine="420"/>
        <w:jc w:val="both"/>
      </w:pPr>
      <w:r>
        <w:rPr>
          <w:rFonts w:ascii="Times New Roman" w:hAnsi="Times New Roman" w:eastAsia="宋体"/>
          <w:b w:val="0"/>
          <w:i w:val="0"/>
          <w:color w:val="222222"/>
          <w:sz w:val="24"/>
        </w:rPr>
        <w:t>此外，煤矿现场风险往往需要结合人员描述、设备状态和传感数据综合判断。将规程审查形成的安全知识用于现场问答与风险研判，可自然连接文档审查和嵌入式应用，形成从规程到执行、从执行到反馈的闭环。</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待补图：煤矿规程人工审查与现场风险处置的主要痛点</w:t>
              <w:br/>
            </w:r>
          </w:p>
        </w:tc>
      </w:tr>
    </w:tbl>
    <w:p/>
    <w:p>
      <w:pPr>
        <w:spacing w:before="80" w:after="120"/>
        <w:jc w:val="center"/>
      </w:pPr>
      <w:r>
        <w:rPr>
          <w:rFonts w:ascii="Times New Roman" w:hAnsi="Times New Roman" w:eastAsia="宋体"/>
          <w:b w:val="0"/>
          <w:i w:val="0"/>
          <w:color w:val="222222"/>
          <w:sz w:val="21"/>
        </w:rPr>
        <w:t>图1-1  项目应用背景与需求</w:t>
      </w:r>
    </w:p>
    <w:p>
      <w:pPr>
        <w:pStyle w:val="Heading1"/>
      </w:pPr>
      <w:r>
        <w:t>第二章 作品难点与创新（成员A统稿，成员B/C分项撰写）</w:t>
      </w:r>
    </w:p>
    <w:p>
      <w:pPr>
        <w:pStyle w:val="Heading2"/>
      </w:pPr>
      <w:r>
        <w:t>2.1 长文档多主题内容的法规证据召回难题（成员B主笔）</w:t>
      </w:r>
    </w:p>
    <w:p>
      <w:pPr>
        <w:spacing w:line="360" w:lineRule="auto" w:after="0"/>
        <w:ind w:firstLine="420"/>
        <w:jc w:val="both"/>
      </w:pPr>
      <w:r>
        <w:rPr>
          <w:rFonts w:ascii="Times New Roman" w:hAnsi="Times New Roman" w:eastAsia="宋体"/>
          <w:b w:val="0"/>
          <w:i w:val="0"/>
          <w:color w:val="222222"/>
          <w:sz w:val="24"/>
        </w:rPr>
        <w:t>待审规程中的单个段落或章节常同时包含多个动作、对象和数值要求。若将长文本整体作为查询，关键违规句的语义容易被其他内容稀释。项目通过结构保持型切分、父块查询与片段查询相结合的多查询检索方法，提高具体法规证据的召回覆盖。</w:t>
      </w:r>
    </w:p>
    <w:p>
      <w:pPr>
        <w:pStyle w:val="Heading2"/>
      </w:pPr>
      <w:r>
        <w:t>2.2 数值阈值与方向语义的可靠判断难题（成员B主笔）</w:t>
      </w:r>
    </w:p>
    <w:p>
      <w:pPr>
        <w:spacing w:line="360" w:lineRule="auto" w:after="0"/>
        <w:ind w:firstLine="420"/>
        <w:jc w:val="both"/>
      </w:pPr>
      <w:r>
        <w:rPr>
          <w:rFonts w:ascii="Times New Roman" w:hAnsi="Times New Roman" w:eastAsia="宋体"/>
          <w:b w:val="0"/>
          <w:i w:val="0"/>
          <w:color w:val="222222"/>
          <w:sz w:val="24"/>
        </w:rPr>
        <w:t>煤矿规程中大量使用“不得超过”“达到后断电”“低于后方可恢复”等方向性阈值。纯语言模型容易选错比较基准或混淆上下限。本作品将数值关系抽取交给语言模型，将单位归一化和方向比较交给确定性代码，并增加反向核验以发现潜在漏报。</w:t>
      </w:r>
    </w:p>
    <w:p>
      <w:pPr>
        <w:pStyle w:val="Heading2"/>
      </w:pPr>
      <w:r>
        <w:t>2.3 低置信争议项的自主决策与人机协同难题（成员A主笔）</w:t>
      </w:r>
    </w:p>
    <w:p>
      <w:pPr>
        <w:spacing w:line="360" w:lineRule="auto" w:after="0"/>
        <w:ind w:firstLine="420"/>
        <w:jc w:val="both"/>
      </w:pPr>
      <w:r>
        <w:rPr>
          <w:rFonts w:ascii="Times New Roman" w:hAnsi="Times New Roman" w:eastAsia="宋体"/>
          <w:b w:val="0"/>
          <w:i w:val="0"/>
          <w:color w:val="222222"/>
          <w:sz w:val="24"/>
        </w:rPr>
        <w:t>对于初审与复核分歧、数值工具与模型冲突、结论不确定和调用异常等情况，系统不强制给出结论，而是自动写入升级队列，由主智能体调用工具补充证据并进行裁决；仍无法确认的内容再交由人工处理。</w:t>
      </w:r>
    </w:p>
    <w:p>
      <w:pPr>
        <w:pStyle w:val="Heading2"/>
      </w:pPr>
      <w:r>
        <w:t>2.4 文档审查与嵌入式现场应用的自然融合难题（成员C主笔）</w:t>
      </w:r>
    </w:p>
    <w:p>
      <w:pPr>
        <w:spacing w:line="360" w:lineRule="auto" w:after="0"/>
        <w:ind w:firstLine="420"/>
        <w:jc w:val="both"/>
      </w:pPr>
      <w:r>
        <w:rPr>
          <w:rFonts w:ascii="Times New Roman" w:hAnsi="Times New Roman" w:eastAsia="宋体"/>
          <w:b w:val="0"/>
          <w:i w:val="0"/>
          <w:color w:val="222222"/>
          <w:sz w:val="24"/>
        </w:rPr>
        <w:t>微信小程序作为移动交互入口，嵌入式节点负责现场数据采集和基础告警，企业本地服务器负责知识检索与复杂推理。规程审查形成的法规证据和修订结果可转化为现场检查问题，现场处置结果又可回流为评估和标注数据。</w:t>
      </w:r>
    </w:p>
    <w:tbl>
      <w:tblPr>
        <w:tblStyle w:val="TableGrid"/>
        <w:tblW w:type="auto" w:w="0"/>
        <w:jc w:val="center"/>
        <w:tblLayout w:type="fixed"/>
        <w:tblLook w:firstColumn="1" w:firstRow="1" w:lastColumn="0" w:lastRow="0" w:noHBand="0" w:noVBand="1" w:val="04A0"/>
      </w:tblPr>
      <w:tblGrid>
        <w:gridCol w:w="2154"/>
        <w:gridCol w:w="3969"/>
        <w:gridCol w:w="283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创新点</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主要方法</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预期作用</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结构保持与多查询混合检索</w:t>
            </w:r>
          </w:p>
        </w:tc>
        <w:tc>
          <w:tcPr>
            <w:tcW w:type="dxa" w:w="3969"/>
            <w:vAlign w:val="center"/>
          </w:tcPr>
          <w:p>
            <w:pPr>
              <w:spacing w:after="0" w:line="276" w:lineRule="auto"/>
              <w:jc w:val="left"/>
            </w:pPr>
            <w:r/>
            <w:r>
              <w:rPr>
                <w:rFonts w:ascii="Times New Roman" w:hAnsi="Times New Roman" w:eastAsia="宋体"/>
                <w:b w:val="0"/>
                <w:i w:val="0"/>
                <w:color w:val="222222"/>
                <w:sz w:val="21"/>
              </w:rPr>
              <w:t>BGE-M3 Dense/Sparse + RRF + reranker + 父块/片段查询</w:t>
            </w:r>
          </w:p>
        </w:tc>
        <w:tc>
          <w:tcPr>
            <w:tcW w:type="dxa" w:w="2835"/>
            <w:vAlign w:val="center"/>
          </w:tcPr>
          <w:p>
            <w:pPr>
              <w:spacing w:after="0" w:line="276" w:lineRule="auto"/>
              <w:jc w:val="left"/>
            </w:pPr>
            <w:r/>
            <w:r>
              <w:rPr>
                <w:rFonts w:ascii="Times New Roman" w:hAnsi="Times New Roman" w:eastAsia="宋体"/>
                <w:b w:val="0"/>
                <w:i w:val="0"/>
                <w:color w:val="222222"/>
                <w:sz w:val="21"/>
              </w:rPr>
              <w:t>提高长文档证据覆盖率</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工具增强数值核验</w:t>
            </w:r>
          </w:p>
        </w:tc>
        <w:tc>
          <w:tcPr>
            <w:tcW w:type="dxa" w:w="3969"/>
            <w:vAlign w:val="center"/>
          </w:tcPr>
          <w:p>
            <w:pPr>
              <w:spacing w:after="0" w:line="276" w:lineRule="auto"/>
              <w:jc w:val="left"/>
            </w:pPr>
            <w:r/>
            <w:r>
              <w:rPr>
                <w:rFonts w:ascii="Times New Roman" w:hAnsi="Times New Roman" w:eastAsia="宋体"/>
                <w:b w:val="0"/>
                <w:i w:val="0"/>
                <w:color w:val="222222"/>
                <w:sz w:val="21"/>
              </w:rPr>
              <w:t>LLM 抽取 + 代码比较 + 反向核验</w:t>
            </w:r>
          </w:p>
        </w:tc>
        <w:tc>
          <w:tcPr>
            <w:tcW w:type="dxa" w:w="2835"/>
            <w:vAlign w:val="center"/>
          </w:tcPr>
          <w:p>
            <w:pPr>
              <w:spacing w:after="0" w:line="276" w:lineRule="auto"/>
              <w:jc w:val="left"/>
            </w:pPr>
            <w:r/>
            <w:r>
              <w:rPr>
                <w:rFonts w:ascii="Times New Roman" w:hAnsi="Times New Roman" w:eastAsia="宋体"/>
                <w:b w:val="0"/>
                <w:i w:val="0"/>
                <w:color w:val="222222"/>
                <w:sz w:val="21"/>
              </w:rPr>
              <w:t>降低数值方向误判和漏报</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升级队列与主智能体裁决</w:t>
            </w:r>
          </w:p>
        </w:tc>
        <w:tc>
          <w:tcPr>
            <w:tcW w:type="dxa" w:w="3969"/>
            <w:vAlign w:val="center"/>
          </w:tcPr>
          <w:p>
            <w:pPr>
              <w:spacing w:after="0" w:line="276" w:lineRule="auto"/>
              <w:jc w:val="left"/>
            </w:pPr>
            <w:r/>
            <w:r>
              <w:rPr>
                <w:rFonts w:ascii="Times New Roman" w:hAnsi="Times New Roman" w:eastAsia="宋体"/>
                <w:b w:val="0"/>
                <w:i w:val="0"/>
                <w:color w:val="222222"/>
                <w:sz w:val="21"/>
              </w:rPr>
              <w:t>自动识别争议并调用工具或升级人工</w:t>
            </w:r>
          </w:p>
        </w:tc>
        <w:tc>
          <w:tcPr>
            <w:tcW w:type="dxa" w:w="2835"/>
            <w:vAlign w:val="center"/>
          </w:tcPr>
          <w:p>
            <w:pPr>
              <w:spacing w:after="0" w:line="276" w:lineRule="auto"/>
              <w:jc w:val="left"/>
            </w:pPr>
            <w:r/>
            <w:r>
              <w:rPr>
                <w:rFonts w:ascii="Times New Roman" w:hAnsi="Times New Roman" w:eastAsia="宋体"/>
                <w:b w:val="0"/>
                <w:i w:val="0"/>
                <w:color w:val="222222"/>
                <w:sz w:val="21"/>
              </w:rPr>
              <w:t>提高决策可信度与可追溯性</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端云协同安全闭环</w:t>
            </w:r>
          </w:p>
        </w:tc>
        <w:tc>
          <w:tcPr>
            <w:tcW w:type="dxa" w:w="3969"/>
            <w:vAlign w:val="center"/>
          </w:tcPr>
          <w:p>
            <w:pPr>
              <w:spacing w:after="0" w:line="276" w:lineRule="auto"/>
              <w:jc w:val="left"/>
            </w:pPr>
            <w:r/>
            <w:r>
              <w:rPr>
                <w:rFonts w:ascii="Times New Roman" w:hAnsi="Times New Roman" w:eastAsia="宋体"/>
                <w:b w:val="0"/>
                <w:i w:val="0"/>
                <w:color w:val="222222"/>
                <w:sz w:val="21"/>
              </w:rPr>
              <w:t>嵌入式采集节点 + 小程序 + 智能服务端</w:t>
            </w:r>
          </w:p>
        </w:tc>
        <w:tc>
          <w:tcPr>
            <w:tcW w:type="dxa" w:w="2835"/>
            <w:vAlign w:val="center"/>
          </w:tcPr>
          <w:p>
            <w:pPr>
              <w:spacing w:after="0" w:line="276" w:lineRule="auto"/>
              <w:jc w:val="left"/>
            </w:pPr>
            <w:r/>
            <w:r>
              <w:rPr>
                <w:rFonts w:ascii="Times New Roman" w:hAnsi="Times New Roman" w:eastAsia="宋体"/>
                <w:b w:val="0"/>
                <w:i w:val="0"/>
                <w:color w:val="222222"/>
                <w:sz w:val="21"/>
              </w:rPr>
              <w:t>连接规程审查与现场风险研判</w:t>
            </w:r>
          </w:p>
        </w:tc>
      </w:tr>
    </w:tbl>
    <w:p/>
    <w:p>
      <w:pPr>
        <w:pStyle w:val="Heading1"/>
      </w:pPr>
      <w:r>
        <w:t>第三章 方案论证与设计（成员A统稿，成员B/C协作）</w:t>
      </w:r>
    </w:p>
    <w:p>
      <w:pPr>
        <w:pStyle w:val="Heading2"/>
      </w:pPr>
      <w:r>
        <w:t>3.1 系统总体方案（成员A主笔）</w:t>
      </w:r>
    </w:p>
    <w:p>
      <w:pPr>
        <w:spacing w:line="360" w:lineRule="auto" w:after="0"/>
        <w:ind w:firstLine="420"/>
        <w:jc w:val="both"/>
      </w:pPr>
      <w:r>
        <w:rPr>
          <w:rFonts w:ascii="Times New Roman" w:hAnsi="Times New Roman" w:eastAsia="宋体"/>
          <w:b w:val="0"/>
          <w:i w:val="0"/>
          <w:color w:val="222222"/>
          <w:sz w:val="24"/>
        </w:rPr>
        <w:t>系统由文档审查端、现场交互端、主智能体、工具服务、知识库和数据飞轮组成。文档审查端负责上传规程、实时展示问题、人工反馈与修订文档下载；现场交互端负责接收人员描述和嵌入式传感数据；主智能体根据任务类型选择审查、检索、数值核验、追问或告警工具。</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待补图：嵌入式节点—微信小程序—FastAPI/队列—主智能体—审查工具—知识库—反馈飞轮</w:t>
              <w:br/>
            </w:r>
          </w:p>
        </w:tc>
      </w:tr>
    </w:tbl>
    <w:p/>
    <w:p>
      <w:pPr>
        <w:spacing w:before="80" w:after="120"/>
        <w:jc w:val="center"/>
      </w:pPr>
      <w:r>
        <w:rPr>
          <w:rFonts w:ascii="Times New Roman" w:hAnsi="Times New Roman" w:eastAsia="宋体"/>
          <w:b w:val="0"/>
          <w:i w:val="0"/>
          <w:color w:val="222222"/>
          <w:sz w:val="21"/>
        </w:rPr>
        <w:t>图3-1  系统总体架构</w:t>
      </w:r>
    </w:p>
    <w:p>
      <w:pPr>
        <w:pStyle w:val="Heading2"/>
      </w:pPr>
      <w:r>
        <w:t>3.2 规程审查方案（成员B主笔，成员A协作）</w:t>
      </w:r>
    </w:p>
    <w:p>
      <w:pPr>
        <w:spacing w:line="360" w:lineRule="auto" w:after="0"/>
        <w:ind w:firstLine="420"/>
        <w:jc w:val="both"/>
      </w:pPr>
      <w:r>
        <w:rPr>
          <w:rFonts w:ascii="Times New Roman" w:hAnsi="Times New Roman" w:eastAsia="宋体"/>
          <w:b w:val="0"/>
          <w:i w:val="0"/>
          <w:color w:val="222222"/>
          <w:sz w:val="24"/>
        </w:rPr>
        <w:t>首先将规则文档和待审文档按章节结构切分并保留父级上下文；随后使用本地 BGE-M3 同时完成稠密和稀疏召回，经 RRF 融合和重排序获得法规依据。合规链调用语言模型初审、数值工具和二次核验，错别字链与文档级重复链并行执行。争议内容进入升级队列，确定的问题实时写入前端。</w:t>
      </w:r>
    </w:p>
    <w:p>
      <w:pPr>
        <w:pStyle w:val="Heading2"/>
      </w:pPr>
      <w:r>
        <w:t>3.3 现场风险研判方案（成员A主笔，成员C实现）</w:t>
      </w:r>
    </w:p>
    <w:p>
      <w:pPr>
        <w:spacing w:line="360" w:lineRule="auto" w:after="0"/>
        <w:ind w:firstLine="420"/>
        <w:jc w:val="both"/>
      </w:pPr>
      <w:r>
        <w:rPr>
          <w:rFonts w:ascii="Times New Roman" w:hAnsi="Times New Roman" w:eastAsia="宋体"/>
          <w:b w:val="0"/>
          <w:i w:val="0"/>
          <w:color w:val="222222"/>
          <w:sz w:val="24"/>
        </w:rPr>
        <w:t>现场人员通过小程序提交文字、语音、图片或设备数据。主智能体先识别任务和风险类型，若信息不足则生成追问；若需要事实依据则调用法规检索；若涉及气体浓度、温湿度等数据则读取嵌入式节点；达到高风险条件时生成处置建议并触发告警或人工升级。</w:t>
      </w:r>
    </w:p>
    <w:p>
      <w:pPr>
        <w:pStyle w:val="Heading2"/>
      </w:pPr>
      <w:r>
        <w:t>3.4 数据飞轮方案（成员A/B共同撰写）</w:t>
      </w:r>
    </w:p>
    <w:p>
      <w:pPr>
        <w:spacing w:line="360" w:lineRule="auto" w:after="0"/>
        <w:ind w:firstLine="420"/>
        <w:jc w:val="both"/>
      </w:pPr>
      <w:r>
        <w:rPr>
          <w:rFonts w:ascii="Times New Roman" w:hAnsi="Times New Roman" w:eastAsia="宋体"/>
          <w:b w:val="0"/>
          <w:i w:val="0"/>
          <w:color w:val="222222"/>
          <w:sz w:val="24"/>
        </w:rPr>
        <w:t>系统保存模型结论、检索依据、工具结果、人工接受/驳回/改写和最终处置结果。人工确认数据具有最高优先级，可导出为黄金案例，用于检索评估、审查误差分析和后续模型优化。</w:t>
      </w:r>
    </w:p>
    <w:p>
      <w:pPr>
        <w:pStyle w:val="Heading1"/>
      </w:pPr>
      <w:r>
        <w:t>第四章 原理分析及硬件电路图（成员B/C分项主笔）</w:t>
      </w:r>
    </w:p>
    <w:p>
      <w:pPr>
        <w:pStyle w:val="Heading2"/>
      </w:pPr>
      <w:r>
        <w:t>4.1 本地混合检索与重排序原理（成员B主笔）</w:t>
      </w:r>
    </w:p>
    <w:p>
      <w:pPr>
        <w:spacing w:line="360" w:lineRule="auto" w:after="0"/>
        <w:ind w:firstLine="420"/>
        <w:jc w:val="both"/>
      </w:pPr>
      <w:r>
        <w:rPr>
          <w:rFonts w:ascii="Times New Roman" w:hAnsi="Times New Roman" w:eastAsia="宋体"/>
          <w:b w:val="0"/>
          <w:i w:val="0"/>
          <w:color w:val="222222"/>
          <w:sz w:val="24"/>
        </w:rPr>
        <w:t>BGE-M3 同时输出语义稠密向量和学习型稀疏权重，系统分别计算稠密相似度和稀疏匹配分数，再使用倒数排名融合整合候选，最后通过重排序模型计算查询与法规片段的相关性。父块查询用于保留整体语义，片段查询用于突出具体动作、对象和阈值。</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待补图：父块查询/片段查询—Dense/Sparse—RRF—Reranker—证据去重</w:t>
              <w:br/>
            </w:r>
          </w:p>
        </w:tc>
      </w:tr>
    </w:tbl>
    <w:p/>
    <w:p>
      <w:pPr>
        <w:spacing w:before="80" w:after="120"/>
        <w:jc w:val="center"/>
      </w:pPr>
      <w:r>
        <w:rPr>
          <w:rFonts w:ascii="Times New Roman" w:hAnsi="Times New Roman" w:eastAsia="宋体"/>
          <w:b w:val="0"/>
          <w:i w:val="0"/>
          <w:color w:val="222222"/>
          <w:sz w:val="21"/>
        </w:rPr>
        <w:t>图4-1  混合检索与多查询召回流程</w:t>
      </w:r>
    </w:p>
    <w:p>
      <w:pPr>
        <w:pStyle w:val="Heading2"/>
      </w:pPr>
      <w:r>
        <w:t>4.2 数值核验工具原理（成员B主笔）</w:t>
      </w:r>
    </w:p>
    <w:p>
      <w:pPr>
        <w:spacing w:line="360" w:lineRule="auto" w:after="0"/>
        <w:ind w:firstLine="420"/>
        <w:jc w:val="both"/>
      </w:pPr>
      <w:r>
        <w:rPr>
          <w:rFonts w:ascii="Times New Roman" w:hAnsi="Times New Roman" w:eastAsia="宋体"/>
          <w:b w:val="0"/>
          <w:i w:val="0"/>
          <w:color w:val="222222"/>
          <w:sz w:val="24"/>
        </w:rPr>
        <w:t>语言模型从待审内容与法规依据中抽取数值、单位、比较方向和适用场景，确定性程序完成单位归一化与阈值比较。对于模型初审为合规但包含阈值语义的内容，系统执行反向核验，发现疑似漏报后将其升级处理。</w:t>
      </w:r>
    </w:p>
    <w:p>
      <w:pPr>
        <w:pStyle w:val="Heading2"/>
      </w:pPr>
      <w:r>
        <w:t>4.3 嵌入式节点与通信设计（成员C主笔）</w:t>
      </w:r>
    </w:p>
    <w:p>
      <w:pPr>
        <w:spacing w:line="360" w:lineRule="auto" w:after="0"/>
        <w:ind w:firstLine="420"/>
        <w:jc w:val="both"/>
      </w:pPr>
      <w:r>
        <w:rPr>
          <w:rFonts w:ascii="Times New Roman" w:hAnsi="Times New Roman" w:eastAsia="宋体"/>
          <w:b w:val="0"/>
          <w:i w:val="0"/>
          <w:color w:val="222222"/>
          <w:sz w:val="24"/>
        </w:rPr>
        <w:t>竞赛原型拟采用 ESP32-S3 或同类微控制器，连接温湿度、气体模拟量等传感模块，并配置蜂鸣器或指示灯完成本地告警。节点通过 BLE 或局域网与微信小程序连接，将采集数据上传至智能服务端。在断网情况下，节点保留基础阈值告警，小程序缓存任务并在恢复连接后补传。</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待补图：嵌入式采集节点硬件框图、电源与传感器接线图</w:t>
              <w:br/>
            </w:r>
          </w:p>
        </w:tc>
      </w:tr>
    </w:tbl>
    <w:p/>
    <w:p>
      <w:pPr>
        <w:spacing w:before="80" w:after="120"/>
        <w:jc w:val="center"/>
      </w:pPr>
      <w:r>
        <w:rPr>
          <w:rFonts w:ascii="Times New Roman" w:hAnsi="Times New Roman" w:eastAsia="宋体"/>
          <w:b w:val="0"/>
          <w:i w:val="0"/>
          <w:color w:val="222222"/>
          <w:sz w:val="21"/>
        </w:rPr>
        <w:t>图4-2  嵌入式采集节点硬件结构</w:t>
      </w:r>
    </w:p>
    <w:p>
      <w:pPr>
        <w:pStyle w:val="Heading1"/>
      </w:pPr>
      <w:r>
        <w:t>第五章 软件设计与流程（成员C主笔，成员A/B协作）</w:t>
      </w:r>
    </w:p>
    <w:p>
      <w:pPr>
        <w:pStyle w:val="Heading2"/>
      </w:pPr>
      <w:r>
        <w:t>5.1 审查引擎与主智能体流程（成员A/B共同撰写）</w:t>
      </w:r>
    </w:p>
    <w:p>
      <w:pPr>
        <w:spacing w:line="360" w:lineRule="auto" w:after="0"/>
        <w:ind w:firstLine="420"/>
        <w:jc w:val="both"/>
      </w:pPr>
      <w:r>
        <w:rPr>
          <w:rFonts w:ascii="Times New Roman" w:hAnsi="Times New Roman" w:eastAsia="宋体"/>
          <w:b w:val="0"/>
          <w:i w:val="0"/>
          <w:color w:val="222222"/>
          <w:sz w:val="24"/>
        </w:rPr>
        <w:t>审查引擎分为检索预计算和多链审查两个阶段。主智能体可调用文档审查、法规检索、数值比较、升级队列裁决和标注写入等工具。每个升级项使用独立上下文处理，防止不同问题之间相互干扰。</w:t>
      </w:r>
    </w:p>
    <w:p>
      <w:pPr>
        <w:pStyle w:val="Heading2"/>
      </w:pPr>
      <w:r>
        <w:t>5.2 Web 审查与 Word 修订流程（成员C主笔）</w:t>
      </w:r>
    </w:p>
    <w:p>
      <w:pPr>
        <w:spacing w:line="360" w:lineRule="auto" w:after="0"/>
        <w:ind w:firstLine="420"/>
        <w:jc w:val="both"/>
      </w:pPr>
      <w:r>
        <w:rPr>
          <w:rFonts w:ascii="Times New Roman" w:hAnsi="Times New Roman" w:eastAsia="宋体"/>
          <w:b w:val="0"/>
          <w:i w:val="0"/>
          <w:color w:val="222222"/>
          <w:sz w:val="24"/>
        </w:rPr>
        <w:t>FastAPI 后端与常驻 worker 通过 SQLite 任务库解耦。前端上传文档后，worker 解析 Word 段落并执行审查，后端通过 SSE 实时推送任务进度和问题。用户可接受、驳回或自定义修改意见；主智能体生成最终替换文本并写入 Word 工作副本。</w:t>
      </w:r>
    </w:p>
    <w:p>
      <w:pPr>
        <w:pStyle w:val="Heading2"/>
      </w:pPr>
      <w:r>
        <w:t>5.3 微信小程序交互流程（成员C主笔）</w:t>
      </w:r>
    </w:p>
    <w:p>
      <w:pPr>
        <w:spacing w:line="360" w:lineRule="auto" w:after="0"/>
        <w:ind w:firstLine="420"/>
        <w:jc w:val="both"/>
      </w:pPr>
      <w:r>
        <w:rPr>
          <w:rFonts w:ascii="Times New Roman" w:hAnsi="Times New Roman" w:eastAsia="宋体"/>
          <w:b w:val="0"/>
          <w:i w:val="0"/>
          <w:color w:val="222222"/>
          <w:sz w:val="24"/>
        </w:rPr>
        <w:t>小程序计划设置现场上报、风险对话、设备数据、处置确认和历史记录等页面。用户发起任务后，系统展示智能体追问、法规依据和风险等级；高风险任务要求人工确认，并保存处置结果。</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待补图：Web 审查页、小程序现场上报页与风险卡片截图</w:t>
              <w:br/>
            </w:r>
          </w:p>
        </w:tc>
      </w:tr>
    </w:tbl>
    <w:p/>
    <w:p>
      <w:pPr>
        <w:spacing w:before="80" w:after="120"/>
        <w:jc w:val="center"/>
      </w:pPr>
      <w:r>
        <w:rPr>
          <w:rFonts w:ascii="Times New Roman" w:hAnsi="Times New Roman" w:eastAsia="宋体"/>
          <w:b w:val="0"/>
          <w:i w:val="0"/>
          <w:color w:val="222222"/>
          <w:sz w:val="21"/>
        </w:rPr>
        <w:t>图5-1  系统主要交互界面</w:t>
      </w:r>
    </w:p>
    <w:p>
      <w:pPr>
        <w:pStyle w:val="Heading2"/>
      </w:pPr>
      <w:r>
        <w:t>5.4 数据库与接口设计（成员C主笔，成员A协作）</w:t>
      </w:r>
    </w:p>
    <w:p>
      <w:pPr>
        <w:spacing w:line="360" w:lineRule="auto" w:after="0"/>
        <w:ind w:firstLine="420"/>
        <w:jc w:val="both"/>
      </w:pPr>
      <w:r>
        <w:rPr>
          <w:rFonts w:ascii="Times New Roman" w:hAnsi="Times New Roman" w:eastAsia="宋体"/>
          <w:b w:val="0"/>
          <w:i w:val="0"/>
          <w:color w:val="222222"/>
          <w:sz w:val="24"/>
        </w:rPr>
        <w:t>任务库保存审查任务、实时问题、升级项和人工标注。接口包括文档上传、状态查询、问题流、人工反馈、修订文档下载、现场任务创建、传感器数据上报和风险处置确认等。所有关键决策均保存法规来源、工具结果和人工记录，以满足可追溯要求。</w:t>
      </w:r>
    </w:p>
    <w:p>
      <w:pPr>
        <w:pStyle w:val="Heading1"/>
      </w:pPr>
      <w:r>
        <w:t>第六章 系统测试与分析（成员B统稿，成员A/C分项测试）</w:t>
      </w:r>
    </w:p>
    <w:p>
      <w:pPr>
        <w:pStyle w:val="Heading2"/>
      </w:pPr>
      <w:r>
        <w:t>6.1 检索与审查算法实验（成员B主笔）</w:t>
      </w:r>
    </w:p>
    <w:p>
      <w:pPr>
        <w:spacing w:line="360" w:lineRule="auto" w:after="0"/>
        <w:ind w:firstLine="420"/>
        <w:jc w:val="both"/>
      </w:pPr>
      <w:r>
        <w:rPr>
          <w:rFonts w:ascii="Times New Roman" w:hAnsi="Times New Roman" w:eastAsia="宋体"/>
          <w:b w:val="0"/>
          <w:i w:val="0"/>
          <w:color w:val="222222"/>
          <w:sz w:val="24"/>
        </w:rPr>
        <w:t>检索实验拟在统一证据组黄金集上对比旧版混合检索、父块 BGE 检索和父块加片段双通道检索，报告 Hit@K、Recall@K、MRR、NDCG 和证据覆盖率。审查实验报告问题级准确率、召回率、F1 值，并分析法规缺失、场景不一致和模型误判等错误类型。</w:t>
      </w:r>
    </w:p>
    <w:p>
      <w:pPr>
        <w:pStyle w:val="Heading2"/>
      </w:pPr>
      <w:r>
        <w:t>6.2 数值核验与智能体消融实验（成员B主笔，成员A协作）</w:t>
      </w:r>
    </w:p>
    <w:p>
      <w:pPr>
        <w:spacing w:line="360" w:lineRule="auto" w:after="0"/>
        <w:ind w:firstLine="420"/>
        <w:jc w:val="both"/>
      </w:pPr>
      <w:r>
        <w:rPr>
          <w:rFonts w:ascii="Times New Roman" w:hAnsi="Times New Roman" w:eastAsia="宋体"/>
          <w:b w:val="0"/>
          <w:i w:val="0"/>
          <w:color w:val="222222"/>
          <w:sz w:val="24"/>
        </w:rPr>
        <w:t>数值实验对比纯语言模型、加入正向数值工具、加入正反向工具三种设置，统计方向误判率和漏报率。智能体消融实验对比无升级、自动升级、自动升级加人工三种流程，评估最终准确性、人工介入率和平均处理步骤。</w:t>
      </w:r>
    </w:p>
    <w:p>
      <w:pPr>
        <w:pStyle w:val="Heading2"/>
      </w:pPr>
      <w:r>
        <w:t>6.3 系统工程测试（成员C主笔）</w:t>
      </w:r>
    </w:p>
    <w:p>
      <w:pPr>
        <w:spacing w:line="360" w:lineRule="auto" w:after="0"/>
        <w:ind w:firstLine="420"/>
        <w:jc w:val="both"/>
      </w:pPr>
      <w:r>
        <w:rPr>
          <w:rFonts w:ascii="Times New Roman" w:hAnsi="Times New Roman" w:eastAsia="宋体"/>
          <w:b w:val="0"/>
          <w:i w:val="0"/>
          <w:color w:val="222222"/>
          <w:sz w:val="24"/>
        </w:rPr>
        <w:t>系统测试包括文档上传与实时问题推送、Word 定位改写、连续任务、弱网与断网缓存、设备数据上报和端到端响应时延。重点验证完整流程能否稳定运行，并记录失败案例和恢复方式。</w:t>
      </w:r>
    </w:p>
    <w:tbl>
      <w:tblPr>
        <w:tblStyle w:val="TableGrid"/>
        <w:tblW w:type="auto" w:w="0"/>
        <w:jc w:val="center"/>
        <w:tblLayout w:type="fixed"/>
        <w:tblLook w:firstColumn="1" w:firstRow="1" w:lastColumn="0" w:lastRow="0" w:noHBand="0" w:noVBand="1" w:val="04A0"/>
      </w:tblPr>
      <w:tblGrid>
        <w:gridCol w:w="1928"/>
        <w:gridCol w:w="3515"/>
        <w:gridCol w:w="351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测试项目</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核心指标</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当前状态/待填结果</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检索对比</w:t>
            </w:r>
          </w:p>
        </w:tc>
        <w:tc>
          <w:tcPr>
            <w:tcW w:type="dxa" w:w="3515"/>
            <w:vAlign w:val="center"/>
          </w:tcPr>
          <w:p>
            <w:pPr>
              <w:spacing w:after="0" w:line="276" w:lineRule="auto"/>
              <w:jc w:val="left"/>
            </w:pPr>
            <w:r/>
            <w:r>
              <w:rPr>
                <w:rFonts w:ascii="Times New Roman" w:hAnsi="Times New Roman" w:eastAsia="宋体"/>
                <w:b w:val="0"/>
                <w:i w:val="0"/>
                <w:color w:val="222222"/>
                <w:sz w:val="21"/>
              </w:rPr>
              <w:t>Hit@K、Recall@K、MRR、NDCG、覆盖率</w:t>
            </w:r>
          </w:p>
        </w:tc>
        <w:tc>
          <w:tcPr>
            <w:tcW w:type="dxa" w:w="3515"/>
            <w:vAlign w:val="center"/>
          </w:tcPr>
          <w:p>
            <w:pPr>
              <w:spacing w:after="0" w:line="276" w:lineRule="auto"/>
              <w:jc w:val="left"/>
            </w:pPr>
            <w:r/>
            <w:r>
              <w:rPr>
                <w:rFonts w:ascii="Times New Roman" w:hAnsi="Times New Roman" w:eastAsia="宋体"/>
                <w:b w:val="0"/>
                <w:i w:val="0"/>
                <w:color w:val="222222"/>
                <w:sz w:val="21"/>
              </w:rPr>
              <w:t>待建立统一黄金集后填写</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数值核验</w:t>
            </w:r>
          </w:p>
        </w:tc>
        <w:tc>
          <w:tcPr>
            <w:tcW w:type="dxa" w:w="3515"/>
            <w:vAlign w:val="center"/>
          </w:tcPr>
          <w:p>
            <w:pPr>
              <w:spacing w:after="0" w:line="276" w:lineRule="auto"/>
              <w:jc w:val="left"/>
            </w:pPr>
            <w:r/>
            <w:r>
              <w:rPr>
                <w:rFonts w:ascii="Times New Roman" w:hAnsi="Times New Roman" w:eastAsia="宋体"/>
                <w:b w:val="0"/>
                <w:i w:val="0"/>
                <w:color w:val="222222"/>
                <w:sz w:val="21"/>
              </w:rPr>
              <w:t>准确率、方向误判率、漏报率</w:t>
            </w:r>
          </w:p>
        </w:tc>
        <w:tc>
          <w:tcPr>
            <w:tcW w:type="dxa" w:w="3515"/>
            <w:vAlign w:val="center"/>
          </w:tcPr>
          <w:p>
            <w:pPr>
              <w:spacing w:after="0" w:line="276" w:lineRule="auto"/>
              <w:jc w:val="left"/>
            </w:pPr>
            <w:r/>
            <w:r>
              <w:rPr>
                <w:rFonts w:ascii="Times New Roman" w:hAnsi="Times New Roman" w:eastAsia="宋体"/>
                <w:b w:val="0"/>
                <w:i w:val="0"/>
                <w:color w:val="222222"/>
                <w:sz w:val="21"/>
              </w:rPr>
              <w:t>待完成对照实验</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智能体消融</w:t>
            </w:r>
          </w:p>
        </w:tc>
        <w:tc>
          <w:tcPr>
            <w:tcW w:type="dxa" w:w="3515"/>
            <w:vAlign w:val="center"/>
          </w:tcPr>
          <w:p>
            <w:pPr>
              <w:spacing w:after="0" w:line="276" w:lineRule="auto"/>
              <w:jc w:val="left"/>
            </w:pPr>
            <w:r/>
            <w:r>
              <w:rPr>
                <w:rFonts w:ascii="Times New Roman" w:hAnsi="Times New Roman" w:eastAsia="宋体"/>
                <w:b w:val="0"/>
                <w:i w:val="0"/>
                <w:color w:val="222222"/>
                <w:sz w:val="21"/>
              </w:rPr>
              <w:t>最终F1、人工介入率、平均步骤数</w:t>
            </w:r>
          </w:p>
        </w:tc>
        <w:tc>
          <w:tcPr>
            <w:tcW w:type="dxa" w:w="3515"/>
            <w:vAlign w:val="center"/>
          </w:tcPr>
          <w:p>
            <w:pPr>
              <w:spacing w:after="0" w:line="276" w:lineRule="auto"/>
              <w:jc w:val="left"/>
            </w:pPr>
            <w:r/>
            <w:r>
              <w:rPr>
                <w:rFonts w:ascii="Times New Roman" w:hAnsi="Times New Roman" w:eastAsia="宋体"/>
                <w:b w:val="0"/>
                <w:i w:val="0"/>
                <w:color w:val="222222"/>
                <w:sz w:val="21"/>
              </w:rPr>
              <w:t>待完成对照实验</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Word 改写</w:t>
            </w:r>
          </w:p>
        </w:tc>
        <w:tc>
          <w:tcPr>
            <w:tcW w:type="dxa" w:w="3515"/>
            <w:vAlign w:val="center"/>
          </w:tcPr>
          <w:p>
            <w:pPr>
              <w:spacing w:after="0" w:line="276" w:lineRule="auto"/>
              <w:jc w:val="left"/>
            </w:pPr>
            <w:r/>
            <w:r>
              <w:rPr>
                <w:rFonts w:ascii="Times New Roman" w:hAnsi="Times New Roman" w:eastAsia="宋体"/>
                <w:b w:val="0"/>
                <w:i w:val="0"/>
                <w:color w:val="222222"/>
                <w:sz w:val="21"/>
              </w:rPr>
              <w:t>定位成功率、改写成功率、格式保持率</w:t>
            </w:r>
          </w:p>
        </w:tc>
        <w:tc>
          <w:tcPr>
            <w:tcW w:type="dxa" w:w="3515"/>
            <w:vAlign w:val="center"/>
          </w:tcPr>
          <w:p>
            <w:pPr>
              <w:spacing w:after="0" w:line="276" w:lineRule="auto"/>
              <w:jc w:val="left"/>
            </w:pPr>
            <w:r/>
            <w:r>
              <w:rPr>
                <w:rFonts w:ascii="Times New Roman" w:hAnsi="Times New Roman" w:eastAsia="宋体"/>
                <w:b w:val="0"/>
                <w:i w:val="0"/>
                <w:color w:val="222222"/>
                <w:sz w:val="21"/>
              </w:rPr>
              <w:t>已具备闭环，待批量测试</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端侧链路</w:t>
            </w:r>
          </w:p>
        </w:tc>
        <w:tc>
          <w:tcPr>
            <w:tcW w:type="dxa" w:w="3515"/>
            <w:vAlign w:val="center"/>
          </w:tcPr>
          <w:p>
            <w:pPr>
              <w:spacing w:after="0" w:line="276" w:lineRule="auto"/>
              <w:jc w:val="left"/>
            </w:pPr>
            <w:r/>
            <w:r>
              <w:rPr>
                <w:rFonts w:ascii="Times New Roman" w:hAnsi="Times New Roman" w:eastAsia="宋体"/>
                <w:b w:val="0"/>
                <w:i w:val="0"/>
                <w:color w:val="222222"/>
                <w:sz w:val="21"/>
              </w:rPr>
              <w:t>上报时延、成功率、断网恢复时间</w:t>
            </w:r>
          </w:p>
        </w:tc>
        <w:tc>
          <w:tcPr>
            <w:tcW w:type="dxa" w:w="3515"/>
            <w:vAlign w:val="center"/>
          </w:tcPr>
          <w:p>
            <w:pPr>
              <w:spacing w:after="0" w:line="276" w:lineRule="auto"/>
              <w:jc w:val="left"/>
            </w:pPr>
            <w:r/>
            <w:r>
              <w:rPr>
                <w:rFonts w:ascii="Times New Roman" w:hAnsi="Times New Roman" w:eastAsia="宋体"/>
                <w:b w:val="0"/>
                <w:i w:val="0"/>
                <w:color w:val="222222"/>
                <w:sz w:val="21"/>
              </w:rPr>
              <w:t>待完成小程序与设备</w:t>
            </w:r>
          </w:p>
        </w:tc>
      </w:tr>
    </w:tbl>
    <w:p/>
    <w:p>
      <w:pPr>
        <w:spacing w:line="360" w:lineRule="auto" w:after="0"/>
        <w:ind w:firstLine="420"/>
        <w:jc w:val="both"/>
      </w:pPr>
      <w:r>
        <w:rPr>
          <w:rFonts w:ascii="Times New Roman" w:hAnsi="Times New Roman" w:eastAsia="宋体"/>
          <w:b w:val="0"/>
          <w:i w:val="0"/>
          <w:color w:val="222222"/>
          <w:sz w:val="24"/>
        </w:rPr>
        <w:t>现有阶段性检索结果显示，当前 BGE-M3 证据组版在 50 个案例中的 useful 证据覆盖率较高，但前排排序指标仍有优化空间。由于不同版本尚未完全采用同一黄金候选池，正式论文将统一实验口径后再给出最终结果。</w:t>
      </w:r>
    </w:p>
    <w:p>
      <w:pPr>
        <w:pStyle w:val="Heading1"/>
      </w:pPr>
      <w:r>
        <w:t>第七章 总结（成员A主笔，全员校核）</w:t>
      </w:r>
    </w:p>
    <w:p>
      <w:pPr>
        <w:spacing w:line="360" w:lineRule="auto" w:after="0"/>
        <w:ind w:firstLine="420"/>
        <w:jc w:val="both"/>
      </w:pPr>
      <w:r>
        <w:rPr>
          <w:rFonts w:ascii="Times New Roman" w:hAnsi="Times New Roman" w:eastAsia="宋体"/>
          <w:b w:val="0"/>
          <w:i w:val="0"/>
          <w:color w:val="222222"/>
          <w:sz w:val="24"/>
        </w:rPr>
        <w:t>本作品围绕煤矿规程审查和现场风险研判，设计了具备任务理解、工具调用、自主升级和人工协同能力的云边协同多智能体系统。当前项目已完成结构化切分、本地混合检索、多链并行审查、数值工具核验、升级队列、主智能体裁决、人工反馈、Word 修订和数据飞轮等核心链路。</w:t>
      </w:r>
    </w:p>
    <w:p>
      <w:pPr>
        <w:spacing w:line="360" w:lineRule="auto" w:after="0"/>
        <w:ind w:firstLine="420"/>
        <w:jc w:val="both"/>
      </w:pPr>
      <w:r>
        <w:rPr>
          <w:rFonts w:ascii="Times New Roman" w:hAnsi="Times New Roman" w:eastAsia="宋体"/>
          <w:b w:val="0"/>
          <w:i w:val="0"/>
          <w:color w:val="222222"/>
          <w:sz w:val="24"/>
        </w:rPr>
        <w:t>下一阶段将重点完成微信小程序和真实嵌入式采集节点，补齐现场风险对话与告警工具，并在统一黄金集上开展算法、智能体和系统工程测试。通过将作业前规程审查、作业中现场研判和作业后反馈沉淀连接起来，系统有望为煤矿安全管理提供更高效、可信和可追溯的技术支撑。</w:t>
      </w:r>
    </w:p>
    <w:p>
      <w:pPr>
        <w:pStyle w:val="Heading1"/>
      </w:pPr>
      <w:r>
        <w:t>研究成果及应用价值（成员A主笔，全员提供材料）</w:t>
      </w:r>
    </w:p>
    <w:p>
      <w:pPr>
        <w:spacing w:line="360" w:lineRule="auto" w:after="0"/>
        <w:ind w:left="420" w:hanging="420"/>
      </w:pPr>
      <w:r>
        <w:rPr>
          <w:rFonts w:ascii="Times New Roman" w:hAnsi="Times New Roman" w:eastAsia="宋体"/>
          <w:b w:val="0"/>
          <w:i w:val="0"/>
          <w:color w:val="222222"/>
          <w:sz w:val="24"/>
        </w:rPr>
        <w:t>（1）形成一套面向煤矿规程的结构保持型切分与本地混合检索方法。</w:t>
      </w:r>
    </w:p>
    <w:p>
      <w:pPr>
        <w:spacing w:line="360" w:lineRule="auto" w:after="0"/>
        <w:ind w:left="420" w:hanging="420"/>
      </w:pPr>
      <w:r>
        <w:rPr>
          <w:rFonts w:ascii="Times New Roman" w:hAnsi="Times New Roman" w:eastAsia="宋体"/>
          <w:b w:val="0"/>
          <w:i w:val="0"/>
          <w:color w:val="222222"/>
          <w:sz w:val="24"/>
        </w:rPr>
        <w:t>（2）形成“语言模型抽取、确定性代码比较”的数值核验工具，并支持反向漏报核验。</w:t>
      </w:r>
    </w:p>
    <w:p>
      <w:pPr>
        <w:spacing w:line="360" w:lineRule="auto" w:after="0"/>
        <w:ind w:left="420" w:hanging="420"/>
      </w:pPr>
      <w:r>
        <w:rPr>
          <w:rFonts w:ascii="Times New Roman" w:hAnsi="Times New Roman" w:eastAsia="宋体"/>
          <w:b w:val="0"/>
          <w:i w:val="0"/>
          <w:color w:val="222222"/>
          <w:sz w:val="24"/>
        </w:rPr>
        <w:t>（3）形成争议升级、主智能体裁决、人工反馈、Word 修订和标注回流的闭环系统。</w:t>
      </w:r>
    </w:p>
    <w:p>
      <w:pPr>
        <w:spacing w:line="360" w:lineRule="auto" w:after="0"/>
        <w:ind w:left="420" w:hanging="420"/>
      </w:pPr>
      <w:r>
        <w:rPr>
          <w:rFonts w:ascii="Times New Roman" w:hAnsi="Times New Roman" w:eastAsia="宋体"/>
          <w:b w:val="0"/>
          <w:i w:val="0"/>
          <w:color w:val="222222"/>
          <w:sz w:val="24"/>
        </w:rPr>
        <w:t>（4）拟形成小程序与嵌入式采集节点协同的现场风险研判原型。</w:t>
      </w:r>
    </w:p>
    <w:p>
      <w:pPr>
        <w:spacing w:line="360" w:lineRule="auto" w:after="0"/>
        <w:ind w:firstLine="420"/>
        <w:jc w:val="both"/>
      </w:pPr>
      <w:r>
        <w:rPr>
          <w:rFonts w:ascii="Times New Roman" w:hAnsi="Times New Roman" w:eastAsia="宋体"/>
          <w:b w:val="0"/>
          <w:i w:val="0"/>
          <w:color w:val="222222"/>
          <w:sz w:val="24"/>
        </w:rPr>
        <w:t>该系统可应用于煤矿作业规程审查、安全培训、现场隐患上报和风险处置，也可迁移至电力、化工和制造业等强规范、重安全场景。竞赛原型主要用于验证技术可行性，实际下井部署仍需满足矿用防爆、本安认证和生产通信网络等要求。</w:t>
      </w:r>
    </w:p>
    <w:p>
      <w:pPr>
        <w:pStyle w:val="Heading1"/>
      </w:pPr>
      <w:r>
        <w:t>参考文献（成员B整理，成员A终审）</w:t>
      </w:r>
    </w:p>
    <w:p>
      <w:pPr>
        <w:spacing w:line="300" w:lineRule="auto"/>
        <w:ind w:left="420" w:hanging="420"/>
      </w:pPr>
      <w:r>
        <w:rPr>
          <w:rFonts w:ascii="Times New Roman" w:hAnsi="Times New Roman" w:eastAsia="宋体"/>
          <w:b w:val="0"/>
          <w:i w:val="0"/>
          <w:color w:val="222222"/>
          <w:sz w:val="21"/>
        </w:rPr>
        <w:t>[1] 国家矿山安全监察局. 煤矿安全规程（2025版）.</w:t>
      </w:r>
    </w:p>
    <w:p>
      <w:pPr>
        <w:spacing w:line="300" w:lineRule="auto"/>
        <w:ind w:left="420" w:hanging="420"/>
      </w:pPr>
      <w:r>
        <w:rPr>
          <w:rFonts w:ascii="Times New Roman" w:hAnsi="Times New Roman" w:eastAsia="宋体"/>
          <w:b w:val="0"/>
          <w:i w:val="0"/>
          <w:color w:val="222222"/>
          <w:sz w:val="21"/>
        </w:rPr>
        <w:t>[2] Lewis P, Perez E, Piktus A, et al. Retrieval-Augmented Generation for Knowledge-Intensive NLP Tasks. NeurIPS, 2020.</w:t>
      </w:r>
    </w:p>
    <w:p>
      <w:pPr>
        <w:spacing w:line="300" w:lineRule="auto"/>
        <w:ind w:left="420" w:hanging="420"/>
      </w:pPr>
      <w:r>
        <w:rPr>
          <w:rFonts w:ascii="Times New Roman" w:hAnsi="Times New Roman" w:eastAsia="宋体"/>
          <w:b w:val="0"/>
          <w:i w:val="0"/>
          <w:color w:val="222222"/>
          <w:sz w:val="21"/>
        </w:rPr>
        <w:t>[3] Chen J, et al. BGE M3-Embedding: Multi-Lingual, Multi-Functionality, Multi-Granularity Text Embeddings Through Self-Knowledge Distillation. 2024.</w:t>
      </w:r>
    </w:p>
    <w:p>
      <w:pPr>
        <w:spacing w:line="300" w:lineRule="auto"/>
        <w:ind w:left="420" w:hanging="420"/>
      </w:pPr>
      <w:r>
        <w:rPr>
          <w:rFonts w:ascii="Times New Roman" w:hAnsi="Times New Roman" w:eastAsia="宋体"/>
          <w:b w:val="0"/>
          <w:i w:val="0"/>
          <w:color w:val="222222"/>
          <w:sz w:val="21"/>
        </w:rPr>
        <w:t>[4] Yao S, Zhao J, Yu D, et al. ReAct: Synergizing Reasoning and Acting in Language Models. ICLR, 2023.</w:t>
      </w:r>
    </w:p>
    <w:p>
      <w:pPr>
        <w:spacing w:line="300" w:lineRule="auto"/>
        <w:ind w:left="420" w:hanging="420"/>
      </w:pPr>
      <w:r>
        <w:rPr>
          <w:rFonts w:ascii="Times New Roman" w:hAnsi="Times New Roman" w:eastAsia="宋体"/>
          <w:b w:val="0"/>
          <w:i w:val="0"/>
          <w:color w:val="222222"/>
          <w:sz w:val="21"/>
        </w:rPr>
        <w:t>[5] 其余煤矿法规、智能体、边缘计算和多模态相关文献由成员B统一补充并按竞赛格式整理。</w:t>
      </w:r>
    </w:p>
    <w:sectPr w:rsidR="00FC693F" w:rsidRPr="0006063C" w:rsidSect="00034616">
      <w:footerReference w:type="default" r:id="rId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777777"/>
        <w:sz w:val="18"/>
      </w:rPr>
      <w:t>研电赛技术论文简要初稿（含分工标注）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60" w:lineRule="auto"/>
      <w:ind w:firstLine="0"/>
      <w:jc w:val="center"/>
      <w:outlineLvl w:val="0"/>
    </w:pPr>
    <w:rPr>
      <w:rFonts w:asciiTheme="majorHAnsi" w:eastAsiaTheme="majorEastAsia" w:hAnsiTheme="majorHAnsi" w:cstheme="majorBidi" w:ascii="Times New Roman" w:hAnsi="Times New Roman" w:eastAsia="黑体"/>
      <w:b/>
      <w:bCs/>
      <w:color w:val="222222"/>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60" w:lineRule="auto"/>
      <w:ind w:firstLine="0"/>
      <w:jc w:val="left"/>
      <w:outlineLvl w:val="1"/>
    </w:pPr>
    <w:rPr>
      <w:rFonts w:asciiTheme="majorHAnsi" w:eastAsiaTheme="majorEastAsia" w:hAnsiTheme="majorHAnsi" w:cstheme="majorBidi" w:ascii="Times New Roman" w:hAnsi="Times New Roman" w:eastAsia="黑体"/>
      <w:b/>
      <w:bCs/>
      <w:color w:val="222222"/>
      <w:sz w:val="30"/>
      <w:szCs w:val="26"/>
    </w:rPr>
  </w:style>
  <w:style w:type="paragraph" w:styleId="Heading3">
    <w:name w:val="heading 3"/>
    <w:basedOn w:val="Normal"/>
    <w:next w:val="Normal"/>
    <w:link w:val="Heading3Char"/>
    <w:uiPriority w:val="9"/>
    <w:unhideWhenUsed/>
    <w:qFormat/>
    <w:rsid w:val="00FC693F"/>
    <w:pPr>
      <w:keepNext/>
      <w:keepLines/>
      <w:spacing w:before="200" w:after="100" w:line="360" w:lineRule="auto"/>
      <w:ind w:firstLine="0"/>
      <w:jc w:val="left"/>
      <w:outlineLvl w:val="2"/>
    </w:pPr>
    <w:rPr>
      <w:rFonts w:asciiTheme="majorHAnsi" w:eastAsiaTheme="majorEastAsia" w:hAnsiTheme="majorHAnsi" w:cstheme="majorBidi" w:ascii="Times New Roman" w:hAnsi="Times New Roman" w:eastAsia="黑体"/>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研电赛技术论文简要初稿（含三人分工标注）</dc:title>
  <dc:subject>煤矿安全规程审查与现场风险研判多智能体系统</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