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5B8783" w14:textId="2AFCB25C" w:rsidR="00B8434C" w:rsidRPr="00C44590" w:rsidRDefault="003D51C1" w:rsidP="00B6119F">
      <w:pPr>
        <w:spacing w:line="480" w:lineRule="auto"/>
      </w:pPr>
      <w:r w:rsidRPr="00C44590">
        <w:t>Material</w:t>
      </w:r>
      <w:r w:rsidR="00674FF7" w:rsidRPr="00C44590">
        <w:t>s</w:t>
      </w:r>
      <w:r w:rsidRPr="00C44590">
        <w:t xml:space="preserve"> and </w:t>
      </w:r>
      <w:r w:rsidR="00674FF7" w:rsidRPr="00C44590">
        <w:t>m</w:t>
      </w:r>
      <w:r w:rsidRPr="00C44590">
        <w:t>ethods</w:t>
      </w:r>
    </w:p>
    <w:p w14:paraId="3B5334FC" w14:textId="6DC03F50" w:rsidR="00674FF7" w:rsidRPr="000C3B3B" w:rsidRDefault="00674FF7" w:rsidP="00B6119F">
      <w:pPr>
        <w:spacing w:line="480" w:lineRule="auto"/>
        <w:rPr>
          <w:u w:val="single"/>
        </w:rPr>
      </w:pPr>
      <w:r w:rsidRPr="000C3B3B">
        <w:rPr>
          <w:u w:val="single"/>
        </w:rPr>
        <w:t>1 Plant handling</w:t>
      </w:r>
    </w:p>
    <w:p w14:paraId="50263041" w14:textId="77777777" w:rsidR="00EB5B34" w:rsidRDefault="00674FF7" w:rsidP="00B6119F">
      <w:pPr>
        <w:spacing w:line="480" w:lineRule="auto"/>
        <w:sectPr w:rsidR="00EB5B34" w:rsidSect="00080D45">
          <w:pgSz w:w="12240" w:h="15840"/>
          <w:pgMar w:top="1440" w:right="1440" w:bottom="1440" w:left="1440" w:header="720" w:footer="720" w:gutter="0"/>
          <w:cols w:space="720"/>
          <w:docGrid w:linePitch="360"/>
        </w:sectPr>
      </w:pPr>
      <w:r w:rsidRPr="00C44590">
        <w:t>“Micro-Tom” is an experimental model cultivar used extensively for postharvest research</w:t>
      </w:r>
    </w:p>
    <w:p w14:paraId="67702A79" w14:textId="63019E63" w:rsidR="00E532A6" w:rsidRPr="00C44590" w:rsidRDefault="00674FF7" w:rsidP="00B6119F">
      <w:pPr>
        <w:spacing w:line="480" w:lineRule="auto"/>
      </w:pPr>
      <w:r w:rsidRPr="00C44590">
        <w:rPr>
          <w:rStyle w:val="EndnoteReference"/>
        </w:rPr>
        <w:endnoteReference w:id="1"/>
      </w:r>
      <w:r w:rsidRPr="00C44590">
        <w:t xml:space="preserve"> </w:t>
      </w:r>
      <w:r w:rsidRPr="00C44590">
        <w:rPr>
          <w:rStyle w:val="EndnoteReference"/>
        </w:rPr>
        <w:endnoteReference w:id="2"/>
      </w:r>
      <w:r w:rsidRPr="00C44590">
        <w:t xml:space="preserve"> </w:t>
      </w:r>
      <w:r w:rsidRPr="00C44590">
        <w:rPr>
          <w:rStyle w:val="EndnoteReference"/>
        </w:rPr>
        <w:endnoteReference w:id="3"/>
      </w:r>
      <w:r w:rsidRPr="00C44590">
        <w:t>. Fruit developmental stages include Mature Green (MG), Breaker (B), Turning (T) and Red Ripe (R)</w:t>
      </w:r>
      <w:r w:rsidRPr="00C44590">
        <w:rPr>
          <w:rStyle w:val="EndnoteReference"/>
        </w:rPr>
        <w:endnoteReference w:id="4"/>
      </w:r>
      <w:r w:rsidRPr="00C44590">
        <w:t xml:space="preserve"> (</w:t>
      </w:r>
      <w:r w:rsidRPr="00C44590">
        <w:rPr>
          <w:b/>
          <w:bCs/>
        </w:rPr>
        <w:t>Figure 1</w:t>
      </w:r>
      <w:r w:rsidRPr="00C44590">
        <w:t xml:space="preserve">). </w:t>
      </w:r>
      <w:r w:rsidR="00E532A6" w:rsidRPr="00C44590">
        <w:t xml:space="preserve">Wild-type Micro-Tom tomato seeds was from UCD Tomato Genomic Resources Center (TGRC). Seeds were soaked in 2.7 % (v/v) sodium hypochlorite for 45 minutes, rinsed thoroughly in running water to get rid of chemical left, placed into </w:t>
      </w:r>
      <w:bookmarkStart w:id="0" w:name="OLE_LINK48"/>
      <w:bookmarkStart w:id="1" w:name="OLE_LINK49"/>
      <w:r w:rsidR="00E532A6" w:rsidRPr="00C44590">
        <w:t xml:space="preserve">petri </w:t>
      </w:r>
      <w:bookmarkEnd w:id="0"/>
      <w:bookmarkEnd w:id="1"/>
      <w:r w:rsidR="00E532A6" w:rsidRPr="00C44590">
        <w:t>dishes with damp paper towels and located in a 20°C (± 2°C) room under 16/8 hour-photoperiod for one week. Routine watering was applied every other day. Seedlings were transferred into greenhouse under standard growth condition. After nearly three months, f</w:t>
      </w:r>
      <w:r w:rsidR="009E1BE8" w:rsidRPr="00C44590">
        <w:t xml:space="preserve">ruit were randomly harvested from a group of 80 wild type Micro-Tom plants. Harvested plants </w:t>
      </w:r>
      <w:r w:rsidR="00E532A6" w:rsidRPr="00C44590">
        <w:t xml:space="preserve">were soaked in 0.25% (v/v) sodium hypochlorite for three minutes and rinsed with nanopore water, placed into paper towels to wait until dry. </w:t>
      </w:r>
    </w:p>
    <w:p w14:paraId="17EABECB" w14:textId="1AB5D8E2" w:rsidR="00674FF7" w:rsidRPr="00674FF7" w:rsidRDefault="00674FF7" w:rsidP="00B6119F">
      <w:pPr>
        <w:spacing w:line="480" w:lineRule="auto"/>
        <w:jc w:val="center"/>
      </w:pPr>
    </w:p>
    <w:bookmarkStart w:id="2" w:name="OLE_LINK56"/>
    <w:bookmarkStart w:id="3" w:name="OLE_LINK57"/>
    <w:p w14:paraId="63355B3C" w14:textId="4D4E1903" w:rsidR="003D51C1" w:rsidRDefault="00674FF7" w:rsidP="00B6119F">
      <w:pPr>
        <w:spacing w:line="480" w:lineRule="auto"/>
        <w:jc w:val="center"/>
      </w:pPr>
      <w:r w:rsidRPr="00674FF7">
        <w:fldChar w:fldCharType="begin"/>
      </w:r>
      <w:r w:rsidRPr="00674FF7">
        <w:instrText xml:space="preserve"> INCLUDEPICTURE "https://www.researchgate.net/profile/Shinobu_Satoh/publication/260448183/figure/download/fig1/AS:213467857461250@1427906111065/A-The-fruit-ripening-stages-of-cv-Micro-Tom-The-six-stages-included-immature-green.png" \* MERGEFORMATINET </w:instrText>
      </w:r>
      <w:r w:rsidRPr="00674FF7">
        <w:fldChar w:fldCharType="separate"/>
      </w:r>
      <w:r w:rsidRPr="00674FF7">
        <w:rPr>
          <w:noProof/>
        </w:rPr>
        <w:drawing>
          <wp:inline distT="0" distB="0" distL="0" distR="0" wp14:anchorId="482269CC" wp14:editId="6E99A7A8">
            <wp:extent cx="2988047" cy="2005929"/>
            <wp:effectExtent l="0" t="0" r="0" b="1270"/>
            <wp:docPr id="2" name="Picture 2" descr="A picture containing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26344" r="2669" b="55963"/>
                    <a:stretch/>
                  </pic:blipFill>
                  <pic:spPr bwMode="auto">
                    <a:xfrm>
                      <a:off x="0" y="0"/>
                      <a:ext cx="3010409" cy="2020941"/>
                    </a:xfrm>
                    <a:prstGeom prst="rect">
                      <a:avLst/>
                    </a:prstGeom>
                    <a:noFill/>
                    <a:ln>
                      <a:noFill/>
                    </a:ln>
                    <a:extLst>
                      <a:ext uri="{53640926-AAD7-44D8-BBD7-CCE9431645EC}">
                        <a14:shadowObscured xmlns:a14="http://schemas.microsoft.com/office/drawing/2010/main"/>
                      </a:ext>
                    </a:extLst>
                  </pic:spPr>
                </pic:pic>
              </a:graphicData>
            </a:graphic>
          </wp:inline>
        </w:drawing>
      </w:r>
      <w:r w:rsidRPr="00674FF7">
        <w:fldChar w:fldCharType="end"/>
      </w:r>
      <w:bookmarkEnd w:id="2"/>
      <w:bookmarkEnd w:id="3"/>
    </w:p>
    <w:p w14:paraId="6A837B94" w14:textId="122662A4" w:rsidR="00674FF7" w:rsidRPr="00C44590" w:rsidRDefault="00674FF7" w:rsidP="00B6119F">
      <w:pPr>
        <w:spacing w:line="480" w:lineRule="auto"/>
        <w:rPr>
          <w:rFonts w:eastAsia="Arial"/>
          <w:color w:val="000000"/>
        </w:rPr>
      </w:pPr>
      <w:r w:rsidRPr="00674FF7">
        <w:rPr>
          <w:rFonts w:eastAsia="Arial"/>
          <w:b/>
          <w:bCs/>
          <w:color w:val="000000"/>
        </w:rPr>
        <w:t xml:space="preserve">Fig 1. Fruit developmental stages. </w:t>
      </w:r>
      <w:r w:rsidRPr="00674FF7">
        <w:rPr>
          <w:rFonts w:eastAsia="Arial"/>
          <w:color w:val="000000"/>
        </w:rPr>
        <w:t xml:space="preserve">Mature Green (M); Breaker (B); Turning (T); Ripen(R) and Over Ripe (OR). Fruit quality improves with ripening. In addition, demethylation increases, and </w:t>
      </w:r>
      <w:r w:rsidRPr="00C44590">
        <w:rPr>
          <w:rFonts w:eastAsia="Arial"/>
          <w:color w:val="000000"/>
        </w:rPr>
        <w:t xml:space="preserve">methylation decreases with ripening. </w:t>
      </w:r>
    </w:p>
    <w:p w14:paraId="2A46E040" w14:textId="77777777" w:rsidR="00C44590" w:rsidRPr="000C3B3B" w:rsidRDefault="00C44590" w:rsidP="00B6119F">
      <w:pPr>
        <w:spacing w:line="480" w:lineRule="auto"/>
        <w:rPr>
          <w:u w:val="single"/>
        </w:rPr>
      </w:pPr>
      <w:r w:rsidRPr="000C3B3B">
        <w:rPr>
          <w:u w:val="single"/>
        </w:rPr>
        <w:lastRenderedPageBreak/>
        <w:t>2 Fruit sampling</w:t>
      </w:r>
    </w:p>
    <w:p w14:paraId="7C15B0DE" w14:textId="6BE8A390" w:rsidR="00C44590" w:rsidRPr="00C44590" w:rsidRDefault="00C44590" w:rsidP="00B6119F">
      <w:pPr>
        <w:spacing w:line="480" w:lineRule="auto"/>
      </w:pPr>
      <w:r w:rsidRPr="00C44590">
        <w:t xml:space="preserve">Treatment groups are described in </w:t>
      </w:r>
      <w:r w:rsidRPr="00C44590">
        <w:rPr>
          <w:b/>
          <w:color w:val="000000" w:themeColor="text1"/>
        </w:rPr>
        <w:t>Figure 2</w:t>
      </w:r>
      <w:r w:rsidRPr="00C44590">
        <w:t xml:space="preserve">. After </w:t>
      </w:r>
      <w:r>
        <w:t>specific</w:t>
      </w:r>
      <w:r w:rsidRPr="00C44590">
        <w:t xml:space="preserve"> treatment, fruit pericarp was sampled </w:t>
      </w:r>
      <w:r>
        <w:t>with</w:t>
      </w:r>
      <w:r w:rsidRPr="00C44590">
        <w:t xml:space="preserve"> autoclaved</w:t>
      </w:r>
      <w:r>
        <w:t xml:space="preserve"> sterile</w:t>
      </w:r>
      <w:r w:rsidRPr="00C44590">
        <w:t xml:space="preserve"> knives, tweezers and</w:t>
      </w:r>
      <w:r>
        <w:t xml:space="preserve"> </w:t>
      </w:r>
      <w:r w:rsidRPr="00C44590">
        <w:t xml:space="preserve">tubes, put into liquid nitrogen directly and then stored at -80 freezer. Six individual fruits were randomly chosen from a group of 20 </w:t>
      </w:r>
      <w:r>
        <w:t xml:space="preserve">middle- shape </w:t>
      </w:r>
      <w:r w:rsidRPr="00C44590">
        <w:t>fruits, and they were pooled together as one biological replicates. Three biological replicates were used.</w:t>
      </w:r>
      <w:r w:rsidRPr="00C44590">
        <w:rPr>
          <w:vertAlign w:val="superscript"/>
        </w:rPr>
        <w:t xml:space="preserve">17 </w:t>
      </w:r>
      <w:bookmarkStart w:id="4" w:name="OLE_LINK54"/>
      <w:bookmarkStart w:id="5" w:name="OLE_LINK55"/>
    </w:p>
    <w:bookmarkEnd w:id="4"/>
    <w:bookmarkEnd w:id="5"/>
    <w:p w14:paraId="65A2DAE8" w14:textId="77777777" w:rsidR="00C44590" w:rsidRPr="00C44590" w:rsidRDefault="00C44590" w:rsidP="00B6119F">
      <w:pPr>
        <w:spacing w:line="480" w:lineRule="auto"/>
        <w:rPr>
          <w:rFonts w:eastAsia="Arial"/>
          <w:color w:val="000000"/>
        </w:rPr>
      </w:pPr>
    </w:p>
    <w:p w14:paraId="1FA68AE8" w14:textId="4F8D3DDF" w:rsidR="00674FF7" w:rsidRPr="00674FF7" w:rsidRDefault="00674FF7" w:rsidP="00674FF7">
      <w:pPr>
        <w:jc w:val="center"/>
      </w:pPr>
      <w:r w:rsidRPr="00674FF7">
        <w:drawing>
          <wp:inline distT="0" distB="0" distL="0" distR="0" wp14:anchorId="788B7364" wp14:editId="48F55C9A">
            <wp:extent cx="5609545" cy="2496727"/>
            <wp:effectExtent l="0" t="0" r="4445" b="5715"/>
            <wp:docPr id="25" name="Picture 24" descr="A screenshot of a cell phone&#10;&#10;Description automatically generated">
              <a:extLst xmlns:a="http://schemas.openxmlformats.org/drawingml/2006/main">
                <a:ext uri="{FF2B5EF4-FFF2-40B4-BE49-F238E27FC236}">
                  <a16:creationId xmlns:a16="http://schemas.microsoft.com/office/drawing/2014/main" id="{D76505E1-49B9-3247-9516-A5619E17E9A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descr="A screenshot of a cell phone&#10;&#10;Description automatically generated">
                      <a:extLst>
                        <a:ext uri="{FF2B5EF4-FFF2-40B4-BE49-F238E27FC236}">
                          <a16:creationId xmlns:a16="http://schemas.microsoft.com/office/drawing/2014/main" id="{D76505E1-49B9-3247-9516-A5619E17E9A6}"/>
                        </a:ext>
                      </a:extLst>
                    </pic:cNvPr>
                    <pic:cNvPicPr>
                      <a:picLocks noChangeAspect="1"/>
                    </pic:cNvPicPr>
                  </pic:nvPicPr>
                  <pic:blipFill>
                    <a:blip r:embed="rId9"/>
                    <a:stretch>
                      <a:fillRect/>
                    </a:stretch>
                  </pic:blipFill>
                  <pic:spPr>
                    <a:xfrm>
                      <a:off x="0" y="0"/>
                      <a:ext cx="5642582" cy="2511431"/>
                    </a:xfrm>
                    <a:prstGeom prst="rect">
                      <a:avLst/>
                    </a:prstGeom>
                  </pic:spPr>
                </pic:pic>
              </a:graphicData>
            </a:graphic>
          </wp:inline>
        </w:drawing>
      </w:r>
    </w:p>
    <w:p w14:paraId="138B969E" w14:textId="4D05A196" w:rsidR="00674FF7" w:rsidRDefault="00674FF7">
      <w:bookmarkStart w:id="6" w:name="OLE_LINK58"/>
      <w:bookmarkStart w:id="7" w:name="OLE_LINK59"/>
      <w:r w:rsidRPr="00C44590">
        <w:rPr>
          <w:b/>
          <w:bCs/>
        </w:rPr>
        <w:t>Fig 2</w:t>
      </w:r>
      <w:bookmarkEnd w:id="6"/>
      <w:bookmarkEnd w:id="7"/>
      <w:r w:rsidRPr="00C44590">
        <w:rPr>
          <w:b/>
          <w:bCs/>
        </w:rPr>
        <w:t xml:space="preserve">. Fruit </w:t>
      </w:r>
      <w:r w:rsidR="00C44590" w:rsidRPr="00C44590">
        <w:rPr>
          <w:b/>
          <w:bCs/>
        </w:rPr>
        <w:t>treatment</w:t>
      </w:r>
      <w:r w:rsidR="009E1BE8" w:rsidRPr="00C44590">
        <w:rPr>
          <w:b/>
          <w:bCs/>
        </w:rPr>
        <w:t>.</w:t>
      </w:r>
      <w:r w:rsidR="009E1BE8">
        <w:t xml:space="preserve"> </w:t>
      </w:r>
      <w:r w:rsidR="009E1BE8" w:rsidRPr="00C44590">
        <w:t xml:space="preserve">FHM, FHT: Tomato fruits are fresh harvested at Mature green and </w:t>
      </w:r>
      <w:bookmarkStart w:id="8" w:name="OLE_LINK60"/>
      <w:bookmarkStart w:id="9" w:name="OLE_LINK61"/>
      <w:r w:rsidR="009E1BE8" w:rsidRPr="00C44590">
        <w:t xml:space="preserve">Turning (T) stage; 20T and 12.5T: </w:t>
      </w:r>
      <w:r w:rsidR="009E1BE8" w:rsidRPr="00C44590">
        <w:rPr>
          <w:noProof/>
        </w:rPr>
        <w:t>Fruits were harvested at MG, stored at 20 or 12.5</w:t>
      </w:r>
      <w:r w:rsidR="009E1BE8" w:rsidRPr="00C44590">
        <w:t>℃</w:t>
      </w:r>
      <w:r w:rsidR="009E1BE8" w:rsidRPr="00C44590">
        <w:rPr>
          <w:noProof/>
        </w:rPr>
        <w:t xml:space="preserve">, and </w:t>
      </w:r>
      <w:bookmarkEnd w:id="8"/>
      <w:bookmarkEnd w:id="9"/>
      <w:r w:rsidR="009E1BE8" w:rsidRPr="00C44590">
        <w:rPr>
          <w:noProof/>
        </w:rPr>
        <w:t>sampled until T; 5M: Fruits were harvested at MG, stored at 5</w:t>
      </w:r>
      <w:r w:rsidR="009E1BE8" w:rsidRPr="00C44590">
        <w:t xml:space="preserve">℃ for two weeks, and directly sampled; 5T: </w:t>
      </w:r>
      <w:r w:rsidR="009E1BE8" w:rsidRPr="00C44590">
        <w:rPr>
          <w:noProof/>
        </w:rPr>
        <w:t>Fruits were harvested at MG, stored at 5</w:t>
      </w:r>
      <w:r w:rsidR="009E1BE8" w:rsidRPr="00C44590">
        <w:t>℃ for two weeks and then rewarmed at 20℃ until T.</w:t>
      </w:r>
    </w:p>
    <w:p w14:paraId="6C14D6F3" w14:textId="44C4082D" w:rsidR="000C598A" w:rsidRDefault="000C598A" w:rsidP="00AE274E">
      <w:pPr>
        <w:spacing w:line="480" w:lineRule="auto"/>
        <w:rPr>
          <w:u w:val="single"/>
        </w:rPr>
      </w:pPr>
      <w:r w:rsidRPr="000C598A">
        <w:rPr>
          <w:u w:val="single"/>
        </w:rPr>
        <w:t>3 Quality assessment</w:t>
      </w:r>
    </w:p>
    <w:p w14:paraId="7347F613" w14:textId="1155AED6" w:rsidR="000C598A" w:rsidRDefault="000C598A" w:rsidP="00AE274E">
      <w:pPr>
        <w:spacing w:line="480" w:lineRule="auto"/>
        <w:rPr>
          <w:u w:val="single"/>
        </w:rPr>
      </w:pPr>
      <w:r>
        <w:rPr>
          <w:u w:val="single"/>
        </w:rPr>
        <w:t>3.1 Firmness</w:t>
      </w:r>
    </w:p>
    <w:p w14:paraId="4E48B52E" w14:textId="6B973C18" w:rsidR="000C598A" w:rsidRPr="00A349EB" w:rsidRDefault="00A349EB" w:rsidP="00AE274E">
      <w:pPr>
        <w:spacing w:line="480" w:lineRule="auto"/>
      </w:pPr>
      <w:r w:rsidRPr="00A349EB">
        <w:t xml:space="preserve">For </w:t>
      </w:r>
      <w:r>
        <w:t>each</w:t>
      </w:r>
      <w:r w:rsidRPr="00A349EB">
        <w:t xml:space="preserve"> treatment groups, six fruits were picked up randomly. Fruit firmness was measured using Texture Analyzer (TA. XT Plus, Texture Technologies, Scarsdale, NY)</w:t>
      </w:r>
      <w:r>
        <w:t xml:space="preserve"> by compressing the middle of the whole fruit 3mm. The maximum force for each measurement was recorded. </w:t>
      </w:r>
    </w:p>
    <w:p w14:paraId="74738839" w14:textId="79969152" w:rsidR="000C598A" w:rsidRDefault="000C598A" w:rsidP="00AE274E">
      <w:pPr>
        <w:spacing w:line="480" w:lineRule="auto"/>
        <w:rPr>
          <w:u w:val="single"/>
        </w:rPr>
      </w:pPr>
      <w:r>
        <w:rPr>
          <w:u w:val="single"/>
        </w:rPr>
        <w:t>3.2</w:t>
      </w:r>
      <w:r w:rsidR="00CB29FA">
        <w:rPr>
          <w:u w:val="single"/>
        </w:rPr>
        <w:t xml:space="preserve"> Objective</w:t>
      </w:r>
      <w:r>
        <w:rPr>
          <w:u w:val="single"/>
        </w:rPr>
        <w:t xml:space="preserve"> </w:t>
      </w:r>
      <w:r w:rsidR="00EB6B95">
        <w:rPr>
          <w:u w:val="single"/>
        </w:rPr>
        <w:t>C</w:t>
      </w:r>
      <w:r>
        <w:rPr>
          <w:u w:val="single"/>
        </w:rPr>
        <w:t>olor</w:t>
      </w:r>
    </w:p>
    <w:p w14:paraId="10E414AC" w14:textId="03327F96" w:rsidR="00EB6B95" w:rsidRPr="00EB6B95" w:rsidRDefault="00A349EB" w:rsidP="00AE274E">
      <w:pPr>
        <w:spacing w:line="480" w:lineRule="auto"/>
      </w:pPr>
      <w:r>
        <w:lastRenderedPageBreak/>
        <w:t xml:space="preserve">The three parameters of L, a and b </w:t>
      </w:r>
      <w:r w:rsidRPr="00A349EB">
        <w:t xml:space="preserve">was recorded </w:t>
      </w:r>
      <w:r>
        <w:t xml:space="preserve">for each individual fruit </w:t>
      </w:r>
      <w:r w:rsidRPr="00A349EB">
        <w:t>using a Konica Minolta colorimeter</w:t>
      </w:r>
      <w:r>
        <w:t xml:space="preserve"> </w:t>
      </w:r>
      <w:r w:rsidRPr="00A349EB">
        <w:t>(Chroma Meter CR-400, Konica Minolta Sensing Americas, Ramsey, NJ, USA) (2° observer and</w:t>
      </w:r>
      <w:r>
        <w:t xml:space="preserve"> </w:t>
      </w:r>
      <w:r w:rsidRPr="00A349EB">
        <w:t>standard illuminant C) in a three-dimensional color space</w:t>
      </w:r>
      <w:r>
        <w:t xml:space="preserve">. </w:t>
      </w:r>
      <w:r w:rsidR="00EB6B95">
        <w:t>S</w:t>
      </w:r>
      <w:r w:rsidR="00CB29FA" w:rsidRPr="00CB29FA">
        <w:t>tandard calculation for hue [Arc tan(b/a)]</w:t>
      </w:r>
      <w:r w:rsidR="00EB6B95">
        <w:t xml:space="preserve"> was done</w:t>
      </w:r>
      <w:r w:rsidR="00EB6B95">
        <w:rPr>
          <w:rStyle w:val="EndnoteReference"/>
        </w:rPr>
        <w:endnoteReference w:id="5"/>
      </w:r>
      <w:r w:rsidR="00EB6B95">
        <w:t xml:space="preserve">. </w:t>
      </w:r>
    </w:p>
    <w:p w14:paraId="561A49AF" w14:textId="77777777" w:rsidR="00EB6B95" w:rsidRDefault="000C598A" w:rsidP="00AE274E">
      <w:pPr>
        <w:spacing w:line="480" w:lineRule="auto"/>
        <w:rPr>
          <w:u w:val="single"/>
        </w:rPr>
      </w:pPr>
      <w:r>
        <w:rPr>
          <w:u w:val="single"/>
        </w:rPr>
        <w:t>3.3 Total Soluble Solids (TSS)</w:t>
      </w:r>
      <w:r w:rsidR="00EB6B95">
        <w:rPr>
          <w:u w:val="single"/>
        </w:rPr>
        <w:t xml:space="preserve"> and Reducing Sugar</w:t>
      </w:r>
    </w:p>
    <w:p w14:paraId="7ABBB3A9" w14:textId="0C39E0C7" w:rsidR="00EB6B95" w:rsidRPr="00EB6B95" w:rsidRDefault="00EB6B95" w:rsidP="00AE274E">
      <w:pPr>
        <w:spacing w:line="480" w:lineRule="auto"/>
        <w:rPr>
          <w:u w:val="single"/>
        </w:rPr>
      </w:pPr>
      <w:r>
        <w:rPr>
          <w:rFonts w:ascii="TimesNewRomanPSMT" w:hAnsi="TimesNewRomanPSMT"/>
        </w:rPr>
        <w:t xml:space="preserve">Total soluble solids include </w:t>
      </w:r>
      <w:r w:rsidRPr="00EB6B95">
        <w:rPr>
          <w:rFonts w:ascii="TimesNewRomanPSMT" w:hAnsi="TimesNewRomanPSMT"/>
        </w:rPr>
        <w:t>carbohydrates, organic acids, proteins, fats and minerals of the fruit.</w:t>
      </w:r>
      <w:r>
        <w:rPr>
          <w:rFonts w:ascii="TimesNewRomanPSMT" w:hAnsi="TimesNewRomanPSMT"/>
        </w:rPr>
        <w:t xml:space="preserve"> Degree brix of each fruit was evaluated to test TSS content, using a portable digital brix refractometer (Hanna Instruments, Inc.). To further test sugar content in tomato fruits, reducing sugar (fructose and glucose) was tested. Six </w:t>
      </w:r>
      <w:r w:rsidR="00D24D22">
        <w:rPr>
          <w:rFonts w:ascii="TimesNewRomanPSMT" w:hAnsi="TimesNewRomanPSMT"/>
        </w:rPr>
        <w:t xml:space="preserve">randomly-chose </w:t>
      </w:r>
      <w:r>
        <w:rPr>
          <w:rFonts w:ascii="TimesNewRomanPSMT" w:hAnsi="TimesNewRomanPSMT"/>
        </w:rPr>
        <w:t xml:space="preserve">fruits were pooled together as one biological replicate. </w:t>
      </w:r>
      <w:r w:rsidR="00D24D22">
        <w:rPr>
          <w:rFonts w:ascii="TimesNewRomanPSMT" w:hAnsi="TimesNewRomanPSMT"/>
        </w:rPr>
        <w:t>The protocol is based on one published paper with some modification in our lab</w:t>
      </w:r>
      <w:r w:rsidR="00D24D22">
        <w:rPr>
          <w:rStyle w:val="EndnoteReference"/>
          <w:rFonts w:ascii="TimesNewRomanPSMT" w:hAnsi="TimesNewRomanPSMT" w:hint="eastAsia"/>
        </w:rPr>
        <w:endnoteReference w:id="6"/>
      </w:r>
      <w:r w:rsidR="00D24D22">
        <w:rPr>
          <w:rFonts w:ascii="TimesNewRomanPSMT" w:hAnsi="TimesNewRomanPSMT"/>
        </w:rPr>
        <w:t xml:space="preserve">. </w:t>
      </w:r>
    </w:p>
    <w:p w14:paraId="7F332448" w14:textId="6BC90F03" w:rsidR="000C598A" w:rsidRDefault="000C598A" w:rsidP="00AE274E">
      <w:pPr>
        <w:spacing w:line="480" w:lineRule="auto"/>
        <w:rPr>
          <w:u w:val="single"/>
        </w:rPr>
      </w:pPr>
      <w:r>
        <w:rPr>
          <w:u w:val="single"/>
        </w:rPr>
        <w:t>3.</w:t>
      </w:r>
      <w:r w:rsidR="00D24D22">
        <w:rPr>
          <w:u w:val="single"/>
        </w:rPr>
        <w:t>4</w:t>
      </w:r>
      <w:r>
        <w:rPr>
          <w:u w:val="single"/>
        </w:rPr>
        <w:t xml:space="preserve"> Starch</w:t>
      </w:r>
      <w:r w:rsidR="00D24D22">
        <w:rPr>
          <w:u w:val="single"/>
        </w:rPr>
        <w:t xml:space="preserve"> content </w:t>
      </w:r>
    </w:p>
    <w:p w14:paraId="5F6E0DAA" w14:textId="2D477EE2" w:rsidR="00684124" w:rsidRPr="00D24D22" w:rsidRDefault="00D24D22" w:rsidP="00AE274E">
      <w:pPr>
        <w:spacing w:line="480" w:lineRule="auto"/>
      </w:pPr>
      <w:bookmarkStart w:id="12" w:name="OLE_LINK64"/>
      <w:bookmarkStart w:id="13" w:name="OLE_LINK65"/>
      <w:r w:rsidRPr="00D24D22">
        <w:t>Quantification of starch content was applied on pooled fruit pericarp. Three-day protocol was used based on published work</w:t>
      </w:r>
      <w:r w:rsidR="00684124">
        <w:rPr>
          <w:rStyle w:val="EndnoteReference"/>
        </w:rPr>
        <w:endnoteReference w:id="7"/>
      </w:r>
      <w:r>
        <w:t xml:space="preserve">. </w:t>
      </w:r>
      <w:r w:rsidR="008F4EA2">
        <w:t>Six f</w:t>
      </w:r>
      <w:r>
        <w:t xml:space="preserve">ruit pericarp strips were finely grinded </w:t>
      </w:r>
      <w:r w:rsidR="008F4EA2">
        <w:t xml:space="preserve">together </w:t>
      </w:r>
      <w:r>
        <w:t xml:space="preserve">in 75% (v/v) ethanol and then boiled three times in 10 mL each time. The starch pellet without any supernatant was totally dried overnight to get rid of ethanol left. Then the pellet was grinded again and resuspended in 5ml sterile water. </w:t>
      </w:r>
      <w:r w:rsidR="00684124">
        <w:t xml:space="preserve">Equally disturbing 500 ul homogenate into three screw-up 2mL tubes, all tubes were autoclaved for 45 min. Same amount of 200 mM sodium acetate (PH 5.5) was added. </w:t>
      </w:r>
      <w:r w:rsidR="00684124" w:rsidRPr="00D24D22">
        <w:t>α-</w:t>
      </w:r>
      <w:proofErr w:type="spellStart"/>
      <w:r w:rsidR="00684124" w:rsidRPr="00D24D22">
        <w:t>amyloglucosidase</w:t>
      </w:r>
      <w:proofErr w:type="spellEnd"/>
      <w:r w:rsidR="00684124" w:rsidRPr="00D24D22">
        <w:t xml:space="preserve"> and α-amylase were added</w:t>
      </w:r>
      <w:r w:rsidR="00684124">
        <w:t xml:space="preserve"> into two of three tubes</w:t>
      </w:r>
      <w:r w:rsidR="00684124" w:rsidRPr="00D24D22">
        <w:t>, and all samples were incubated at 37 °C</w:t>
      </w:r>
      <w:r w:rsidR="00684124">
        <w:t xml:space="preserve"> overnight to fully digest starch into glucose. One left non-enzyme tube was as control. 3,5-dinitrosalicylic acid (DNS) reagent was used for assaying glucose content. The concentration of each sample was determined by glucose standard curve. The reading of control was subtracted from corresponding enzyme-treated ones. </w:t>
      </w:r>
    </w:p>
    <w:bookmarkEnd w:id="12"/>
    <w:bookmarkEnd w:id="13"/>
    <w:p w14:paraId="7AAA2904" w14:textId="3633CB35" w:rsidR="008F4EA2" w:rsidRDefault="008F4EA2" w:rsidP="00AE274E">
      <w:pPr>
        <w:spacing w:line="480" w:lineRule="auto"/>
      </w:pPr>
      <w:r>
        <w:lastRenderedPageBreak/>
        <w:t xml:space="preserve">4 </w:t>
      </w:r>
      <w:r w:rsidR="00B155E4">
        <w:t>Gene expression</w:t>
      </w:r>
    </w:p>
    <w:p w14:paraId="0C050F44" w14:textId="3DFA5439" w:rsidR="00EC5AAD" w:rsidRDefault="00EC5AAD" w:rsidP="00AE274E">
      <w:pPr>
        <w:spacing w:line="480" w:lineRule="auto"/>
      </w:pPr>
      <w:r>
        <w:t>4.1 RNA isolation</w:t>
      </w:r>
    </w:p>
    <w:p w14:paraId="2179AA0C" w14:textId="5D76068F" w:rsidR="008F4EA2" w:rsidRDefault="008F4EA2" w:rsidP="00AE274E">
      <w:pPr>
        <w:spacing w:line="480" w:lineRule="auto"/>
      </w:pPr>
      <w:r>
        <w:t xml:space="preserve">Prechilled mortar and pestle was used for grinding frozen pericarp tissue. Liquid nitrogen was applied to make sure no melting during grinding. RNA was isolated from 100mg grinded power using homemade </w:t>
      </w:r>
      <w:proofErr w:type="spellStart"/>
      <w:r>
        <w:t>Trizol</w:t>
      </w:r>
      <w:proofErr w:type="spellEnd"/>
      <w:r>
        <w:t xml:space="preserve">. DNase treatment was applied during extraction using </w:t>
      </w:r>
      <w:r w:rsidRPr="008F4EA2">
        <w:t>TURBO DNA-free™ Kit (Life Technologies, Carlsbad, CA,</w:t>
      </w:r>
      <w:r>
        <w:t xml:space="preserve"> </w:t>
      </w:r>
      <w:r w:rsidRPr="008F4EA2">
        <w:t>USA).</w:t>
      </w:r>
      <w:r>
        <w:t xml:space="preserve"> The absorbance of 260/280 was between 1.9-2.1 and 260/230 were above 2.0, </w:t>
      </w:r>
      <w:r w:rsidR="00EC5AAD">
        <w:t xml:space="preserve">which means good RNA quality. By running 1% Agarose gel at 84 V for 30min, there was clearly two separated 23s and 15s bands, which represents rarely RNA degradation. </w:t>
      </w:r>
    </w:p>
    <w:p w14:paraId="3E4B0045" w14:textId="7C077556" w:rsidR="00EC5AAD" w:rsidRDefault="008F4EA2" w:rsidP="00AE274E">
      <w:pPr>
        <w:spacing w:line="480" w:lineRule="auto"/>
      </w:pPr>
      <w:r>
        <w:t>4.</w:t>
      </w:r>
      <w:r w:rsidR="00EC5AAD">
        <w:t>2</w:t>
      </w:r>
      <w:r>
        <w:t xml:space="preserve"> </w:t>
      </w:r>
      <w:r w:rsidR="00EC5AAD">
        <w:t>cDNA synthesis</w:t>
      </w:r>
    </w:p>
    <w:p w14:paraId="452D5037" w14:textId="5BA67119" w:rsidR="00B155E4" w:rsidRDefault="00B155E4" w:rsidP="00AE274E">
      <w:pPr>
        <w:spacing w:line="480" w:lineRule="auto"/>
      </w:pPr>
      <w:r w:rsidRPr="008F4EA2">
        <w:t xml:space="preserve">cDNA was synthesized from </w:t>
      </w:r>
      <w:r>
        <w:t>1</w:t>
      </w:r>
      <w:r w:rsidR="00A02767">
        <w:t>u</w:t>
      </w:r>
      <w:r>
        <w:t>g</w:t>
      </w:r>
      <w:r w:rsidRPr="008F4EA2">
        <w:t xml:space="preserve"> of RNA using random primers</w:t>
      </w:r>
      <w:r>
        <w:t xml:space="preserve"> in 20ul reaction</w:t>
      </w:r>
      <w:r w:rsidRPr="008F4EA2">
        <w:t xml:space="preserve"> with the High-Capacity cDNA Reverse</w:t>
      </w:r>
      <w:r>
        <w:t xml:space="preserve"> </w:t>
      </w:r>
      <w:r w:rsidRPr="008F4EA2">
        <w:t>Transcription Kit (Applied Biosystems, Foster City, CA, USA).</w:t>
      </w:r>
    </w:p>
    <w:p w14:paraId="604D0953" w14:textId="66856152" w:rsidR="008F4EA2" w:rsidRDefault="008F4EA2" w:rsidP="00AE274E">
      <w:pPr>
        <w:spacing w:line="480" w:lineRule="auto"/>
      </w:pPr>
      <w:r>
        <w:t>4.</w:t>
      </w:r>
      <w:r w:rsidR="00EC5AAD">
        <w:t xml:space="preserve">3 </w:t>
      </w:r>
      <w:r w:rsidR="004E0380">
        <w:t>Semiquantitative RT-PCR</w:t>
      </w:r>
    </w:p>
    <w:p w14:paraId="5F324EE7" w14:textId="161F66D9" w:rsidR="005306AA" w:rsidRDefault="00214E67" w:rsidP="00AE274E">
      <w:pPr>
        <w:spacing w:line="480" w:lineRule="auto"/>
      </w:pPr>
      <w:r>
        <w:t>Semiquantitative RT-PCR is an efficient method for quantification of specific RNA transcripts and the detection of any variation in their expression level under specific experimental conditions</w:t>
      </w:r>
      <w:r>
        <w:rPr>
          <w:rStyle w:val="EndnoteReference"/>
        </w:rPr>
        <w:endnoteReference w:id="8"/>
      </w:r>
      <w:r>
        <w:t>. This method also cost</w:t>
      </w:r>
      <w:r w:rsidR="00A02767">
        <w:t>s</w:t>
      </w:r>
      <w:r>
        <w:t xml:space="preserve"> less than quantitative real-time PCR (RT-qPCR) with relative</w:t>
      </w:r>
      <w:r w:rsidR="00A02767">
        <w:t>ly</w:t>
      </w:r>
      <w:r>
        <w:t xml:space="preserve"> high accuracy, which </w:t>
      </w:r>
      <w:r w:rsidR="00A02767">
        <w:t>has been</w:t>
      </w:r>
      <w:r>
        <w:t xml:space="preserve"> verified by other works</w:t>
      </w:r>
      <w:r>
        <w:rPr>
          <w:rStyle w:val="EndnoteReference"/>
        </w:rPr>
        <w:endnoteReference w:id="9"/>
      </w:r>
      <w:r>
        <w:t xml:space="preserve"> </w:t>
      </w:r>
      <w:r>
        <w:rPr>
          <w:rStyle w:val="EndnoteReference"/>
        </w:rPr>
        <w:endnoteReference w:id="10"/>
      </w:r>
      <w:r>
        <w:t xml:space="preserve">. </w:t>
      </w:r>
      <w:r w:rsidR="00A02767">
        <w:t xml:space="preserve">Based on this, preliminarily analyzing relative gene expression level with semiquantitative RT-PCR is reasonable and efficient. 1 ul cDNA (100mg) product was amplified with 1 unit of </w:t>
      </w:r>
      <w:proofErr w:type="spellStart"/>
      <w:r w:rsidR="00A02767">
        <w:t>Ampli</w:t>
      </w:r>
      <w:proofErr w:type="spellEnd"/>
      <w:r w:rsidR="00A02767">
        <w:t xml:space="preserve"> </w:t>
      </w:r>
      <w:proofErr w:type="spellStart"/>
      <w:r w:rsidR="00A02767">
        <w:t>Taq</w:t>
      </w:r>
      <w:proofErr w:type="spellEnd"/>
      <w:r w:rsidR="00A02767">
        <w:t xml:space="preserve"> polymerase in the corresponding buffer. ripening related RIN and demethylation related DML2 were tested. </w:t>
      </w:r>
      <w:r w:rsidR="00A02767" w:rsidRPr="008F4EA2">
        <w:t>T</w:t>
      </w:r>
      <w:r w:rsidR="00A02767">
        <w:t>he</w:t>
      </w:r>
      <w:r w:rsidR="00A02767" w:rsidRPr="008F4EA2">
        <w:t xml:space="preserve"> tomato actin gene (SlACT7) was used as a</w:t>
      </w:r>
      <w:r w:rsidR="00A02767">
        <w:t xml:space="preserve">n internal control. </w:t>
      </w:r>
      <w:r w:rsidR="005306AA">
        <w:t xml:space="preserve">The amount of tested gene primers and primers of controlled should be extractly same. </w:t>
      </w:r>
      <w:r w:rsidR="00A02767">
        <w:t xml:space="preserve">Designed primers </w:t>
      </w:r>
      <w:r w:rsidR="004E5A12">
        <w:t xml:space="preserve">and product length </w:t>
      </w:r>
      <w:r w:rsidR="00A02767">
        <w:t xml:space="preserve">are listed in Table 2. Reactions were carried out in the Gene Amp PCR system 9600. </w:t>
      </w:r>
      <w:r w:rsidR="005306AA">
        <w:t xml:space="preserve">The annealing </w:t>
      </w:r>
      <w:r w:rsidR="005306AA">
        <w:lastRenderedPageBreak/>
        <w:t>temperature was optimized to fit well in both two primer pairs. Since the amplicon length is short, cycling numbers as 30 were considered best for quantification analysis. PCR products were directly loaded in</w:t>
      </w:r>
      <w:r w:rsidR="00AE274E">
        <w:t xml:space="preserve"> </w:t>
      </w:r>
      <w:r w:rsidR="00AE274E" w:rsidRPr="00AE274E">
        <w:t>Ethidium Bromide- stained</w:t>
      </w:r>
      <w:r w:rsidR="00AE274E">
        <w:t>,</w:t>
      </w:r>
      <w:r w:rsidR="005306AA">
        <w:t xml:space="preserve"> 2% Agarose gel</w:t>
      </w:r>
      <w:r w:rsidR="00AE274E">
        <w:t xml:space="preserve"> with</w:t>
      </w:r>
      <w:r w:rsidR="005306AA">
        <w:t xml:space="preserve">, running </w:t>
      </w:r>
      <w:r w:rsidR="00AE274E">
        <w:t xml:space="preserve">for </w:t>
      </w:r>
      <w:r w:rsidR="005306AA">
        <w:t xml:space="preserve">45min at 84 V. </w:t>
      </w:r>
      <w:r w:rsidR="00AE274E">
        <w:t xml:space="preserve">Two amplified bands were separated clear for each sample. Image J was applied for data analysis. </w:t>
      </w:r>
    </w:p>
    <w:p w14:paraId="06CFE458" w14:textId="19AA27C9" w:rsidR="004E5A12" w:rsidRDefault="004E5A12" w:rsidP="005306AA">
      <w:pPr>
        <w:jc w:val="center"/>
      </w:pPr>
      <w:bookmarkStart w:id="16" w:name="OLE_LINK82"/>
      <w:bookmarkStart w:id="17" w:name="OLE_LINK83"/>
      <w:bookmarkStart w:id="18" w:name="OLE_LINK89"/>
      <w:r>
        <w:t>Table 2 Primers in Semiquantitative RT-PCR</w:t>
      </w:r>
    </w:p>
    <w:tbl>
      <w:tblPr>
        <w:tblStyle w:val="TableGrid"/>
        <w:tblW w:w="0" w:type="auto"/>
        <w:tblLook w:val="04A0" w:firstRow="1" w:lastRow="0" w:firstColumn="1" w:lastColumn="0" w:noHBand="0" w:noVBand="1"/>
      </w:tblPr>
      <w:tblGrid>
        <w:gridCol w:w="2213"/>
        <w:gridCol w:w="2263"/>
        <w:gridCol w:w="3550"/>
        <w:gridCol w:w="1324"/>
      </w:tblGrid>
      <w:tr w:rsidR="00C02586" w14:paraId="2A91E41E" w14:textId="77777777" w:rsidTr="005306AA">
        <w:tc>
          <w:tcPr>
            <w:tcW w:w="2213" w:type="dxa"/>
          </w:tcPr>
          <w:p w14:paraId="3D784869" w14:textId="60D0E85D" w:rsidR="00C02586" w:rsidRDefault="00C02586">
            <w:bookmarkStart w:id="19" w:name="OLE_LINK90"/>
            <w:bookmarkStart w:id="20" w:name="OLE_LINK91"/>
            <w:bookmarkEnd w:id="16"/>
            <w:bookmarkEnd w:id="17"/>
            <w:bookmarkEnd w:id="18"/>
            <w:r>
              <w:t>Gene ID</w:t>
            </w:r>
          </w:p>
        </w:tc>
        <w:tc>
          <w:tcPr>
            <w:tcW w:w="2263" w:type="dxa"/>
          </w:tcPr>
          <w:p w14:paraId="52A2B76A" w14:textId="725AB2C3" w:rsidR="00C02586" w:rsidRDefault="00C02586">
            <w:r>
              <w:t xml:space="preserve">Name </w:t>
            </w:r>
          </w:p>
        </w:tc>
        <w:tc>
          <w:tcPr>
            <w:tcW w:w="3550" w:type="dxa"/>
          </w:tcPr>
          <w:p w14:paraId="47634FED" w14:textId="48960ACB" w:rsidR="00C02586" w:rsidRDefault="00C02586">
            <w:r>
              <w:t>Nucleotide sequence (5’-3’)</w:t>
            </w:r>
          </w:p>
        </w:tc>
        <w:tc>
          <w:tcPr>
            <w:tcW w:w="1324" w:type="dxa"/>
          </w:tcPr>
          <w:p w14:paraId="47FE040D" w14:textId="0BE9B4CA" w:rsidR="00C02586" w:rsidRDefault="00C02586">
            <w:r>
              <w:t>Product length (bp)</w:t>
            </w:r>
          </w:p>
        </w:tc>
      </w:tr>
      <w:tr w:rsidR="005306AA" w14:paraId="291A49B1" w14:textId="77777777" w:rsidTr="005306AA">
        <w:tc>
          <w:tcPr>
            <w:tcW w:w="2213" w:type="dxa"/>
            <w:vMerge w:val="restart"/>
          </w:tcPr>
          <w:p w14:paraId="7BDDD79F" w14:textId="07D735B2" w:rsidR="005306AA" w:rsidRDefault="005306AA" w:rsidP="005306AA">
            <w:pPr>
              <w:jc w:val="center"/>
            </w:pPr>
            <w:r w:rsidRPr="005306AA">
              <w:rPr>
                <w:rFonts w:eastAsiaTheme="minorEastAsia"/>
              </w:rPr>
              <w:t>Solyc03g078400.2</w:t>
            </w:r>
          </w:p>
        </w:tc>
        <w:tc>
          <w:tcPr>
            <w:tcW w:w="2263" w:type="dxa"/>
          </w:tcPr>
          <w:p w14:paraId="39E92D7D" w14:textId="4A7EC1CE" w:rsidR="005306AA" w:rsidRDefault="005306AA">
            <w:r>
              <w:t>SlACT7-F</w:t>
            </w:r>
          </w:p>
        </w:tc>
        <w:tc>
          <w:tcPr>
            <w:tcW w:w="3550" w:type="dxa"/>
          </w:tcPr>
          <w:p w14:paraId="4182DF0A" w14:textId="00A1F9E6" w:rsidR="005306AA" w:rsidRDefault="005306AA">
            <w:r>
              <w:t>GCTATCCAGGCTGTGCTTTC</w:t>
            </w:r>
          </w:p>
        </w:tc>
        <w:tc>
          <w:tcPr>
            <w:tcW w:w="1324" w:type="dxa"/>
            <w:vMerge w:val="restart"/>
          </w:tcPr>
          <w:p w14:paraId="54B3592D" w14:textId="042A018E" w:rsidR="005306AA" w:rsidRDefault="005306AA" w:rsidP="005306AA">
            <w:pPr>
              <w:jc w:val="center"/>
            </w:pPr>
            <w:r>
              <w:t>157</w:t>
            </w:r>
          </w:p>
        </w:tc>
      </w:tr>
      <w:tr w:rsidR="005306AA" w14:paraId="63A218F4" w14:textId="77777777" w:rsidTr="005306AA">
        <w:tc>
          <w:tcPr>
            <w:tcW w:w="2213" w:type="dxa"/>
            <w:vMerge/>
          </w:tcPr>
          <w:p w14:paraId="5DFBCBDD" w14:textId="77777777" w:rsidR="005306AA" w:rsidRDefault="005306AA"/>
        </w:tc>
        <w:tc>
          <w:tcPr>
            <w:tcW w:w="2263" w:type="dxa"/>
          </w:tcPr>
          <w:p w14:paraId="7089C91D" w14:textId="08A5DC29" w:rsidR="005306AA" w:rsidRDefault="005306AA">
            <w:r>
              <w:t>SlACT7-R</w:t>
            </w:r>
          </w:p>
        </w:tc>
        <w:tc>
          <w:tcPr>
            <w:tcW w:w="3550" w:type="dxa"/>
          </w:tcPr>
          <w:p w14:paraId="70F5581D" w14:textId="4136F1A0" w:rsidR="005306AA" w:rsidRDefault="005306AA">
            <w:r>
              <w:t>CAGTAAGGTCACGACCAGCA</w:t>
            </w:r>
          </w:p>
        </w:tc>
        <w:tc>
          <w:tcPr>
            <w:tcW w:w="1324" w:type="dxa"/>
            <w:vMerge/>
          </w:tcPr>
          <w:p w14:paraId="0F425709" w14:textId="77777777" w:rsidR="005306AA" w:rsidRDefault="005306AA"/>
        </w:tc>
      </w:tr>
      <w:tr w:rsidR="005306AA" w14:paraId="4E060BD0" w14:textId="77777777" w:rsidTr="005306AA">
        <w:tc>
          <w:tcPr>
            <w:tcW w:w="2213" w:type="dxa"/>
            <w:vMerge w:val="restart"/>
          </w:tcPr>
          <w:p w14:paraId="74A1B87A" w14:textId="77777777" w:rsidR="005306AA" w:rsidRPr="005306AA" w:rsidRDefault="005306AA" w:rsidP="005306AA">
            <w:pPr>
              <w:jc w:val="center"/>
            </w:pPr>
            <w:r w:rsidRPr="005306AA">
              <w:t>Solyc05g012020</w:t>
            </w:r>
          </w:p>
          <w:p w14:paraId="71DE3B87" w14:textId="77777777" w:rsidR="005306AA" w:rsidRDefault="005306AA" w:rsidP="005306AA">
            <w:pPr>
              <w:jc w:val="center"/>
            </w:pPr>
          </w:p>
        </w:tc>
        <w:tc>
          <w:tcPr>
            <w:tcW w:w="2263" w:type="dxa"/>
          </w:tcPr>
          <w:p w14:paraId="5C8FC4E9" w14:textId="1FC8B541" w:rsidR="005306AA" w:rsidRDefault="005306AA" w:rsidP="004E5A12">
            <w:r>
              <w:t>RIN-F</w:t>
            </w:r>
          </w:p>
        </w:tc>
        <w:tc>
          <w:tcPr>
            <w:tcW w:w="3550" w:type="dxa"/>
          </w:tcPr>
          <w:p w14:paraId="1281FE42" w14:textId="0814A757" w:rsidR="005306AA" w:rsidRDefault="005306AA" w:rsidP="004E5A12">
            <w:r>
              <w:t>ATTGGGCACAAAAGACTTGG</w:t>
            </w:r>
          </w:p>
        </w:tc>
        <w:tc>
          <w:tcPr>
            <w:tcW w:w="1324" w:type="dxa"/>
            <w:vMerge w:val="restart"/>
          </w:tcPr>
          <w:p w14:paraId="2003D4C3" w14:textId="44523482" w:rsidR="005306AA" w:rsidRDefault="005306AA" w:rsidP="004E5A12">
            <w:pPr>
              <w:jc w:val="center"/>
            </w:pPr>
            <w:r>
              <w:t>212</w:t>
            </w:r>
          </w:p>
        </w:tc>
      </w:tr>
      <w:tr w:rsidR="005306AA" w14:paraId="55DB3109" w14:textId="77777777" w:rsidTr="005306AA">
        <w:tc>
          <w:tcPr>
            <w:tcW w:w="2213" w:type="dxa"/>
            <w:vMerge/>
          </w:tcPr>
          <w:p w14:paraId="6115FA27" w14:textId="77777777" w:rsidR="005306AA" w:rsidRDefault="005306AA" w:rsidP="005306AA">
            <w:pPr>
              <w:jc w:val="center"/>
            </w:pPr>
          </w:p>
        </w:tc>
        <w:tc>
          <w:tcPr>
            <w:tcW w:w="2263" w:type="dxa"/>
          </w:tcPr>
          <w:p w14:paraId="0212D854" w14:textId="759E9DBB" w:rsidR="005306AA" w:rsidRDefault="005306AA" w:rsidP="004E5A12">
            <w:r>
              <w:t>RIN-R</w:t>
            </w:r>
          </w:p>
        </w:tc>
        <w:tc>
          <w:tcPr>
            <w:tcW w:w="3550" w:type="dxa"/>
          </w:tcPr>
          <w:p w14:paraId="2801B687" w14:textId="1C72BC61" w:rsidR="005306AA" w:rsidRDefault="005306AA" w:rsidP="004E5A12">
            <w:r>
              <w:t>CACTTTGCTCACCACAATGC</w:t>
            </w:r>
          </w:p>
        </w:tc>
        <w:tc>
          <w:tcPr>
            <w:tcW w:w="1324" w:type="dxa"/>
            <w:vMerge/>
          </w:tcPr>
          <w:p w14:paraId="64C432BC" w14:textId="77777777" w:rsidR="005306AA" w:rsidRDefault="005306AA" w:rsidP="004E5A12"/>
        </w:tc>
      </w:tr>
      <w:tr w:rsidR="005306AA" w14:paraId="3A02085B" w14:textId="77777777" w:rsidTr="005306AA">
        <w:tc>
          <w:tcPr>
            <w:tcW w:w="2213" w:type="dxa"/>
            <w:vMerge w:val="restart"/>
          </w:tcPr>
          <w:p w14:paraId="366F54D7" w14:textId="05EC865B" w:rsidR="005306AA" w:rsidRDefault="005306AA" w:rsidP="005306AA">
            <w:pPr>
              <w:jc w:val="center"/>
            </w:pPr>
            <w:r>
              <w:t>Solyc10g083630</w:t>
            </w:r>
          </w:p>
        </w:tc>
        <w:tc>
          <w:tcPr>
            <w:tcW w:w="2263" w:type="dxa"/>
          </w:tcPr>
          <w:p w14:paraId="160EC8B4" w14:textId="232AA7AD" w:rsidR="005306AA" w:rsidRDefault="005306AA" w:rsidP="004E5A12">
            <w:r>
              <w:t>DML2-F</w:t>
            </w:r>
          </w:p>
        </w:tc>
        <w:tc>
          <w:tcPr>
            <w:tcW w:w="3550" w:type="dxa"/>
          </w:tcPr>
          <w:p w14:paraId="50365C49" w14:textId="77777777" w:rsidR="005306AA" w:rsidRDefault="005306AA" w:rsidP="004E5A12"/>
        </w:tc>
        <w:tc>
          <w:tcPr>
            <w:tcW w:w="1324" w:type="dxa"/>
          </w:tcPr>
          <w:p w14:paraId="507F2D84" w14:textId="77777777" w:rsidR="005306AA" w:rsidRDefault="005306AA" w:rsidP="004E5A12"/>
        </w:tc>
      </w:tr>
      <w:tr w:rsidR="005306AA" w14:paraId="5E287A69" w14:textId="77777777" w:rsidTr="005306AA">
        <w:tc>
          <w:tcPr>
            <w:tcW w:w="2213" w:type="dxa"/>
            <w:vMerge/>
          </w:tcPr>
          <w:p w14:paraId="44AE8028" w14:textId="77777777" w:rsidR="005306AA" w:rsidRDefault="005306AA" w:rsidP="004E5A12"/>
        </w:tc>
        <w:tc>
          <w:tcPr>
            <w:tcW w:w="2263" w:type="dxa"/>
          </w:tcPr>
          <w:p w14:paraId="5090CDEF" w14:textId="68169066" w:rsidR="005306AA" w:rsidRDefault="005306AA" w:rsidP="004E5A12">
            <w:r>
              <w:t>DML2-R</w:t>
            </w:r>
          </w:p>
        </w:tc>
        <w:tc>
          <w:tcPr>
            <w:tcW w:w="3550" w:type="dxa"/>
          </w:tcPr>
          <w:p w14:paraId="5E392190" w14:textId="77777777" w:rsidR="005306AA" w:rsidRDefault="005306AA" w:rsidP="004E5A12"/>
        </w:tc>
        <w:tc>
          <w:tcPr>
            <w:tcW w:w="1324" w:type="dxa"/>
          </w:tcPr>
          <w:p w14:paraId="50C9860D" w14:textId="77777777" w:rsidR="005306AA" w:rsidRDefault="005306AA" w:rsidP="004E5A12"/>
        </w:tc>
      </w:tr>
      <w:bookmarkEnd w:id="19"/>
      <w:bookmarkEnd w:id="20"/>
    </w:tbl>
    <w:p w14:paraId="4C49D0C5" w14:textId="14D60288" w:rsidR="004E0380" w:rsidRDefault="004E0380"/>
    <w:p w14:paraId="692CD493" w14:textId="5C9F628E" w:rsidR="00B155E4" w:rsidRPr="00B6119F" w:rsidRDefault="00B155E4" w:rsidP="00B6119F">
      <w:pPr>
        <w:spacing w:line="480" w:lineRule="auto"/>
      </w:pPr>
      <w:r w:rsidRPr="00B6119F">
        <w:t>4.4 Quantitative real-time PCR (RT-qPCR)</w:t>
      </w:r>
    </w:p>
    <w:p w14:paraId="41140BFB" w14:textId="66F51CC1" w:rsidR="00B6119F" w:rsidRDefault="00AE274E" w:rsidP="00B6119F">
      <w:pPr>
        <w:spacing w:line="480" w:lineRule="auto"/>
      </w:pPr>
      <w:r w:rsidRPr="00B6119F">
        <w:t xml:space="preserve">To further accurately test DML-2 expression level, RT-qPCR was applied. cDNA was diluted 80-fold and RT-qPCR was performed in a 10 </w:t>
      </w:r>
      <w:proofErr w:type="spellStart"/>
      <w:r w:rsidRPr="00B6119F">
        <w:t>uL</w:t>
      </w:r>
      <w:proofErr w:type="spellEnd"/>
      <w:r w:rsidRPr="00B6119F">
        <w:t xml:space="preserve"> reaction using </w:t>
      </w:r>
      <w:proofErr w:type="spellStart"/>
      <w:r w:rsidRPr="00B6119F">
        <w:t>iQ</w:t>
      </w:r>
      <w:proofErr w:type="spellEnd"/>
      <w:r w:rsidRPr="00B6119F">
        <w:t xml:space="preserve">™ SYBR® Green </w:t>
      </w:r>
      <w:proofErr w:type="spellStart"/>
      <w:r w:rsidRPr="00B6119F">
        <w:t>Supermix</w:t>
      </w:r>
      <w:proofErr w:type="spellEnd"/>
      <w:r w:rsidRPr="00B6119F">
        <w:t xml:space="preserve"> (Bio-Rad, Hercules, CA, USA). Applied Biosystems 7300 Real Time PCR system was applied</w:t>
      </w:r>
      <w:r w:rsidR="00B6119F" w:rsidRPr="00B6119F">
        <w:t>.</w:t>
      </w:r>
      <w:r w:rsidRPr="00B6119F">
        <w:t xml:space="preserve"> </w:t>
      </w:r>
      <w:r w:rsidR="00B6119F" w:rsidRPr="00B6119F">
        <w:t>Primers were designed based on the cDNA sequences</w:t>
      </w:r>
      <w:r w:rsidR="00F740CE">
        <w:rPr>
          <w:rStyle w:val="EndnoteReference"/>
        </w:rPr>
        <w:endnoteReference w:id="11"/>
      </w:r>
      <w:r w:rsidR="00B6119F" w:rsidRPr="00B6119F">
        <w:t xml:space="preserve"> (Table 3). Validation experiment was designed for testing the efficiency of two primer pairs. The efficiency for </w:t>
      </w:r>
      <w:r w:rsidR="00F740CE">
        <w:t xml:space="preserve">all </w:t>
      </w:r>
      <w:r w:rsidR="00B6119F" w:rsidRPr="00B6119F">
        <w:t>pairs of primes was close to 100%, so the comparative Ct Method (ΔΔC</w:t>
      </w:r>
      <w:r w:rsidR="00B6119F" w:rsidRPr="00B6119F">
        <w:rPr>
          <w:position w:val="-4"/>
        </w:rPr>
        <w:t xml:space="preserve">T </w:t>
      </w:r>
      <w:r w:rsidR="00B6119F" w:rsidRPr="00B6119F">
        <w:t>Method) was able to apply for analyzing data. T</w:t>
      </w:r>
      <w:r w:rsidR="00B6119F">
        <w:t>h</w:t>
      </w:r>
      <w:r w:rsidR="00B6119F" w:rsidRPr="00B6119F">
        <w:t>ree biological and three technical replicates were used for each experimental condition.</w:t>
      </w:r>
    </w:p>
    <w:p w14:paraId="0B04352D" w14:textId="119C06BC" w:rsidR="00B6119F" w:rsidRDefault="00B6119F" w:rsidP="00B6119F">
      <w:pPr>
        <w:jc w:val="center"/>
      </w:pPr>
      <w:r>
        <w:t>Table 3 Primers in quantitative real-time PCR</w:t>
      </w:r>
    </w:p>
    <w:p w14:paraId="29BB0981" w14:textId="77777777" w:rsidR="00B6119F" w:rsidRDefault="00B6119F" w:rsidP="00B6119F">
      <w:pPr>
        <w:jc w:val="center"/>
      </w:pPr>
    </w:p>
    <w:tbl>
      <w:tblPr>
        <w:tblStyle w:val="TableGrid"/>
        <w:tblW w:w="0" w:type="auto"/>
        <w:tblLook w:val="04A0" w:firstRow="1" w:lastRow="0" w:firstColumn="1" w:lastColumn="0" w:noHBand="0" w:noVBand="1"/>
      </w:tblPr>
      <w:tblGrid>
        <w:gridCol w:w="2213"/>
        <w:gridCol w:w="2263"/>
        <w:gridCol w:w="3550"/>
        <w:gridCol w:w="1324"/>
      </w:tblGrid>
      <w:tr w:rsidR="00B6119F" w14:paraId="080A36E5" w14:textId="77777777" w:rsidTr="00B8434C">
        <w:tc>
          <w:tcPr>
            <w:tcW w:w="2213" w:type="dxa"/>
          </w:tcPr>
          <w:p w14:paraId="418DCE32" w14:textId="77777777" w:rsidR="00B6119F" w:rsidRDefault="00B6119F" w:rsidP="00B8434C">
            <w:r>
              <w:t>Gene ID</w:t>
            </w:r>
          </w:p>
        </w:tc>
        <w:tc>
          <w:tcPr>
            <w:tcW w:w="2263" w:type="dxa"/>
          </w:tcPr>
          <w:p w14:paraId="782C38DD" w14:textId="77777777" w:rsidR="00B6119F" w:rsidRDefault="00B6119F" w:rsidP="00B8434C">
            <w:r>
              <w:t xml:space="preserve">Name </w:t>
            </w:r>
          </w:p>
        </w:tc>
        <w:tc>
          <w:tcPr>
            <w:tcW w:w="3550" w:type="dxa"/>
          </w:tcPr>
          <w:p w14:paraId="538E7B48" w14:textId="77777777" w:rsidR="00B6119F" w:rsidRDefault="00B6119F" w:rsidP="00B8434C">
            <w:bookmarkStart w:id="21" w:name="OLE_LINK154"/>
            <w:bookmarkStart w:id="22" w:name="OLE_LINK155"/>
            <w:r>
              <w:t>Nucleotide sequence (5’-3’)</w:t>
            </w:r>
            <w:bookmarkEnd w:id="21"/>
            <w:bookmarkEnd w:id="22"/>
          </w:p>
        </w:tc>
        <w:tc>
          <w:tcPr>
            <w:tcW w:w="1324" w:type="dxa"/>
          </w:tcPr>
          <w:p w14:paraId="1C1C62E2" w14:textId="77777777" w:rsidR="00B6119F" w:rsidRDefault="00B6119F" w:rsidP="00B8434C">
            <w:r>
              <w:t>Product length (bp)</w:t>
            </w:r>
          </w:p>
        </w:tc>
      </w:tr>
      <w:tr w:rsidR="00B6119F" w14:paraId="2DB073E5" w14:textId="77777777" w:rsidTr="00B8434C">
        <w:tc>
          <w:tcPr>
            <w:tcW w:w="2213" w:type="dxa"/>
            <w:vMerge w:val="restart"/>
          </w:tcPr>
          <w:p w14:paraId="0AE8AAEA" w14:textId="77777777" w:rsidR="00B6119F" w:rsidRDefault="00B6119F" w:rsidP="00B8434C">
            <w:pPr>
              <w:jc w:val="center"/>
            </w:pPr>
            <w:r w:rsidRPr="005306AA">
              <w:rPr>
                <w:rFonts w:eastAsiaTheme="minorEastAsia"/>
              </w:rPr>
              <w:t>Solyc03g078400.2</w:t>
            </w:r>
          </w:p>
        </w:tc>
        <w:tc>
          <w:tcPr>
            <w:tcW w:w="2263" w:type="dxa"/>
          </w:tcPr>
          <w:p w14:paraId="1AF17D92" w14:textId="77777777" w:rsidR="00B6119F" w:rsidRDefault="00B6119F" w:rsidP="00B8434C">
            <w:r>
              <w:t>SlACT7-F</w:t>
            </w:r>
          </w:p>
        </w:tc>
        <w:tc>
          <w:tcPr>
            <w:tcW w:w="3550" w:type="dxa"/>
          </w:tcPr>
          <w:p w14:paraId="3D6B041C" w14:textId="77777777" w:rsidR="00B6119F" w:rsidRDefault="00B6119F" w:rsidP="00B8434C">
            <w:r>
              <w:t>GCTATCCAGGCTGTGCTTTC</w:t>
            </w:r>
          </w:p>
        </w:tc>
        <w:tc>
          <w:tcPr>
            <w:tcW w:w="1324" w:type="dxa"/>
            <w:vMerge w:val="restart"/>
          </w:tcPr>
          <w:p w14:paraId="4D89773E" w14:textId="77777777" w:rsidR="00B6119F" w:rsidRDefault="00B6119F" w:rsidP="00B8434C">
            <w:pPr>
              <w:jc w:val="center"/>
            </w:pPr>
            <w:r>
              <w:t>157</w:t>
            </w:r>
          </w:p>
        </w:tc>
      </w:tr>
      <w:tr w:rsidR="00B6119F" w14:paraId="1B562679" w14:textId="77777777" w:rsidTr="00B8434C">
        <w:tc>
          <w:tcPr>
            <w:tcW w:w="2213" w:type="dxa"/>
            <w:vMerge/>
          </w:tcPr>
          <w:p w14:paraId="655AE105" w14:textId="77777777" w:rsidR="00B6119F" w:rsidRDefault="00B6119F" w:rsidP="00B8434C"/>
        </w:tc>
        <w:tc>
          <w:tcPr>
            <w:tcW w:w="2263" w:type="dxa"/>
          </w:tcPr>
          <w:p w14:paraId="6A776BEF" w14:textId="77777777" w:rsidR="00B6119F" w:rsidRDefault="00B6119F" w:rsidP="00B8434C">
            <w:r>
              <w:t>SlACT7-R</w:t>
            </w:r>
          </w:p>
        </w:tc>
        <w:tc>
          <w:tcPr>
            <w:tcW w:w="3550" w:type="dxa"/>
          </w:tcPr>
          <w:p w14:paraId="027497FB" w14:textId="77777777" w:rsidR="00B6119F" w:rsidRDefault="00B6119F" w:rsidP="00B8434C">
            <w:r>
              <w:t>CAGTAAGGTCACGACCAGCA</w:t>
            </w:r>
          </w:p>
        </w:tc>
        <w:tc>
          <w:tcPr>
            <w:tcW w:w="1324" w:type="dxa"/>
            <w:vMerge/>
          </w:tcPr>
          <w:p w14:paraId="4DF717BA" w14:textId="77777777" w:rsidR="00B6119F" w:rsidRDefault="00B6119F" w:rsidP="00B8434C"/>
        </w:tc>
      </w:tr>
      <w:tr w:rsidR="00B6119F" w14:paraId="0AB02163" w14:textId="77777777" w:rsidTr="00B8434C">
        <w:tc>
          <w:tcPr>
            <w:tcW w:w="2213" w:type="dxa"/>
            <w:vMerge w:val="restart"/>
          </w:tcPr>
          <w:p w14:paraId="2C45A53A" w14:textId="77777777" w:rsidR="00B6119F" w:rsidRDefault="00B6119F" w:rsidP="00B8434C">
            <w:pPr>
              <w:jc w:val="center"/>
            </w:pPr>
            <w:r>
              <w:t>Solyc10g083630</w:t>
            </w:r>
          </w:p>
        </w:tc>
        <w:tc>
          <w:tcPr>
            <w:tcW w:w="2263" w:type="dxa"/>
          </w:tcPr>
          <w:p w14:paraId="06E07CBD" w14:textId="77777777" w:rsidR="00B6119F" w:rsidRDefault="00B6119F" w:rsidP="00B8434C">
            <w:r>
              <w:t>DML2-F</w:t>
            </w:r>
          </w:p>
        </w:tc>
        <w:tc>
          <w:tcPr>
            <w:tcW w:w="3550" w:type="dxa"/>
          </w:tcPr>
          <w:p w14:paraId="6D1E09E4" w14:textId="437602A4" w:rsidR="00B6119F" w:rsidRDefault="00B6119F" w:rsidP="00B8434C">
            <w:r>
              <w:t>GCAGCAGTTCATGCTTACCA</w:t>
            </w:r>
          </w:p>
        </w:tc>
        <w:tc>
          <w:tcPr>
            <w:tcW w:w="1324" w:type="dxa"/>
            <w:vMerge w:val="restart"/>
          </w:tcPr>
          <w:p w14:paraId="346E689D" w14:textId="4F16AC68" w:rsidR="00B6119F" w:rsidRDefault="00B6119F" w:rsidP="00B6119F">
            <w:pPr>
              <w:jc w:val="center"/>
            </w:pPr>
            <w:r>
              <w:t>95</w:t>
            </w:r>
          </w:p>
        </w:tc>
      </w:tr>
      <w:tr w:rsidR="00B6119F" w14:paraId="00C429BD" w14:textId="77777777" w:rsidTr="00B8434C">
        <w:tc>
          <w:tcPr>
            <w:tcW w:w="2213" w:type="dxa"/>
            <w:vMerge/>
          </w:tcPr>
          <w:p w14:paraId="21FD77FB" w14:textId="77777777" w:rsidR="00B6119F" w:rsidRDefault="00B6119F" w:rsidP="00B8434C"/>
        </w:tc>
        <w:tc>
          <w:tcPr>
            <w:tcW w:w="2263" w:type="dxa"/>
          </w:tcPr>
          <w:p w14:paraId="13F0A7AF" w14:textId="77777777" w:rsidR="00B6119F" w:rsidRDefault="00B6119F" w:rsidP="00B8434C">
            <w:r>
              <w:t>DML2-R</w:t>
            </w:r>
          </w:p>
        </w:tc>
        <w:tc>
          <w:tcPr>
            <w:tcW w:w="3550" w:type="dxa"/>
          </w:tcPr>
          <w:p w14:paraId="125DB3B4" w14:textId="4D04856C" w:rsidR="00B6119F" w:rsidRDefault="00B6119F" w:rsidP="00B8434C">
            <w:r>
              <w:t>CCCTTTGGCATTTATGCTGT</w:t>
            </w:r>
          </w:p>
        </w:tc>
        <w:tc>
          <w:tcPr>
            <w:tcW w:w="1324" w:type="dxa"/>
            <w:vMerge/>
          </w:tcPr>
          <w:p w14:paraId="2FC3ACAD" w14:textId="77777777" w:rsidR="00B6119F" w:rsidRDefault="00B6119F" w:rsidP="00B8434C"/>
        </w:tc>
      </w:tr>
    </w:tbl>
    <w:p w14:paraId="3AF40B85" w14:textId="3CA97549" w:rsidR="00AE274E" w:rsidRDefault="00AE274E"/>
    <w:p w14:paraId="19AE3209" w14:textId="57A1BF5A" w:rsidR="00EC5AAD" w:rsidRDefault="00EC5AAD">
      <w:r>
        <w:t xml:space="preserve">5 </w:t>
      </w:r>
      <w:r w:rsidR="007748F3">
        <w:t>Methyl-sensitive amplification polymorphism (</w:t>
      </w:r>
      <w:r>
        <w:t>MASP</w:t>
      </w:r>
      <w:r w:rsidR="007748F3">
        <w:t>)</w:t>
      </w:r>
    </w:p>
    <w:p w14:paraId="1D50327D" w14:textId="53CDCAE2" w:rsidR="002B0098" w:rsidRDefault="002B0098">
      <w:r>
        <w:lastRenderedPageBreak/>
        <w:t>5.1 DNA extraction</w:t>
      </w:r>
    </w:p>
    <w:p w14:paraId="18ED245C" w14:textId="77777777" w:rsidR="007748F3" w:rsidRDefault="007748F3"/>
    <w:p w14:paraId="15BC69B2" w14:textId="77777777" w:rsidR="00EB5B34" w:rsidRDefault="007748F3" w:rsidP="007748F3">
      <w:pPr>
        <w:spacing w:before="10" w:line="480" w:lineRule="auto"/>
        <w:jc w:val="both"/>
        <w:sectPr w:rsidR="00EB5B34" w:rsidSect="00EB5B34">
          <w:endnotePr>
            <w:numFmt w:val="decimal"/>
          </w:endnotePr>
          <w:type w:val="continuous"/>
          <w:pgSz w:w="12240" w:h="15840"/>
          <w:pgMar w:top="1440" w:right="1440" w:bottom="1440" w:left="1440" w:header="720" w:footer="720" w:gutter="0"/>
          <w:cols w:space="720"/>
          <w:docGrid w:linePitch="360"/>
        </w:sectPr>
      </w:pPr>
      <w:r w:rsidRPr="00774EF6">
        <w:t xml:space="preserve">Genomic DNA </w:t>
      </w:r>
      <w:r>
        <w:t>from</w:t>
      </w:r>
      <w:r w:rsidRPr="00774EF6">
        <w:t xml:space="preserve"> tomato fruit </w:t>
      </w:r>
      <w:r>
        <w:t xml:space="preserve">pericarp </w:t>
      </w:r>
      <w:r w:rsidRPr="00774EF6">
        <w:t>was extracted by optimiz</w:t>
      </w:r>
      <w:r>
        <w:t>ing published</w:t>
      </w:r>
      <w:r w:rsidRPr="00774EF6">
        <w:t xml:space="preserve"> </w:t>
      </w:r>
      <w:r w:rsidR="00B8434C">
        <w:t xml:space="preserve">CTAB </w:t>
      </w:r>
      <w:r w:rsidRPr="00774EF6">
        <w:t>protocol</w:t>
      </w:r>
      <w:r>
        <w:t>s</w:t>
      </w:r>
    </w:p>
    <w:p w14:paraId="0F824F79" w14:textId="0BC4BE12" w:rsidR="00EB5B34" w:rsidRDefault="007748F3" w:rsidP="007748F3">
      <w:pPr>
        <w:spacing w:before="10" w:line="480" w:lineRule="auto"/>
        <w:jc w:val="both"/>
      </w:pPr>
      <w:r>
        <w:rPr>
          <w:rStyle w:val="EndnoteReference"/>
        </w:rPr>
        <w:endnoteReference w:id="12"/>
      </w:r>
      <w:r w:rsidRPr="00774EF6">
        <w:t xml:space="preserve">. </w:t>
      </w:r>
      <w:r w:rsidR="00B8434C">
        <w:t>Fruit tissue was first used prechilled mortar and pestle in liquid nitrogen. 300mg frozen powder was added 1ml chilled prewash buffer to reduce carbohydrates inside samples, put on the ice for 10 min, and centrifuged 2 min to get rid of all supernatant. Then 65 degree Celsius prewarmed 1ml CTAB buffer was added into each sample. The following step is according to the well-established CTAB extraction protocol, in which chloroform and 95% ethanol were applied</w:t>
      </w:r>
      <w:r w:rsidR="00B8434C">
        <w:rPr>
          <w:rStyle w:val="EndnoteReference"/>
        </w:rPr>
        <w:endnoteReference w:id="13"/>
      </w:r>
      <w:r w:rsidR="00B8434C">
        <w:t xml:space="preserve">. </w:t>
      </w:r>
      <w:r w:rsidR="00EB5B34">
        <w:t xml:space="preserve">DNA pellet was dissolved using 50ul nuclear-free water. </w:t>
      </w:r>
      <w:r w:rsidRPr="00774EF6">
        <w:t xml:space="preserve">The absorbance ratio </w:t>
      </w:r>
      <w:bookmarkStart w:id="23" w:name="OLE_LINK222"/>
      <w:bookmarkStart w:id="24" w:name="OLE_LINK223"/>
      <w:r w:rsidRPr="00774EF6">
        <w:t>260/280 nm</w:t>
      </w:r>
      <w:r>
        <w:t xml:space="preserve"> </w:t>
      </w:r>
      <w:bookmarkEnd w:id="23"/>
      <w:bookmarkEnd w:id="24"/>
      <w:r>
        <w:t xml:space="preserve">and </w:t>
      </w:r>
      <w:r w:rsidRPr="00774EF6">
        <w:t>260/2</w:t>
      </w:r>
      <w:r>
        <w:t>3</w:t>
      </w:r>
      <w:r w:rsidRPr="00774EF6">
        <w:t xml:space="preserve">0 nm were between 1.8 </w:t>
      </w:r>
      <w:r w:rsidR="00EB5B34">
        <w:t>and</w:t>
      </w:r>
      <w:r w:rsidRPr="00774EF6">
        <w:t xml:space="preserve"> 2.0</w:t>
      </w:r>
      <w:r>
        <w:t>. Further,</w:t>
      </w:r>
      <w:r w:rsidRPr="00774EF6">
        <w:t xml:space="preserve"> DNA appeared </w:t>
      </w:r>
      <w:r>
        <w:t>on</w:t>
      </w:r>
      <w:r w:rsidRPr="00774EF6">
        <w:t xml:space="preserve"> the agarose gel as a</w:t>
      </w:r>
      <w:r>
        <w:t xml:space="preserve"> single</w:t>
      </w:r>
      <w:r w:rsidRPr="00774EF6">
        <w:t xml:space="preserve"> high molecular weight band</w:t>
      </w:r>
      <w:r>
        <w:t>. Together,</w:t>
      </w:r>
      <w:r w:rsidRPr="00774EF6">
        <w:t xml:space="preserve"> </w:t>
      </w:r>
      <w:r>
        <w:t xml:space="preserve">these data </w:t>
      </w:r>
      <w:r w:rsidRPr="00774EF6">
        <w:t>si</w:t>
      </w:r>
      <w:r>
        <w:t>gn</w:t>
      </w:r>
      <w:r w:rsidRPr="00774EF6">
        <w:t>if</w:t>
      </w:r>
      <w:r>
        <w:t>y</w:t>
      </w:r>
      <w:r w:rsidRPr="00774EF6">
        <w:t xml:space="preserve"> </w:t>
      </w:r>
      <w:r>
        <w:t xml:space="preserve">that the </w:t>
      </w:r>
      <w:r w:rsidRPr="00774EF6">
        <w:t xml:space="preserve">DNA </w:t>
      </w:r>
      <w:r w:rsidRPr="008770E0">
        <w:rPr>
          <w:rFonts w:eastAsia="SimSun"/>
        </w:rPr>
        <w:t>was of</w:t>
      </w:r>
      <w:r>
        <w:rPr>
          <w:rFonts w:ascii="SimSun" w:eastAsia="SimSun" w:hAnsi="SimSun" w:cs="SimSun"/>
        </w:rPr>
        <w:t xml:space="preserve"> </w:t>
      </w:r>
      <w:r w:rsidRPr="00774EF6">
        <w:t>high quality.</w:t>
      </w:r>
      <w:r>
        <w:t xml:space="preserve"> </w:t>
      </w:r>
    </w:p>
    <w:p w14:paraId="5EC344CD" w14:textId="77777777" w:rsidR="00EB5B34" w:rsidRDefault="00EB5B34" w:rsidP="007748F3">
      <w:pPr>
        <w:spacing w:before="10" w:line="480" w:lineRule="auto"/>
        <w:jc w:val="both"/>
        <w:rPr>
          <w:b/>
        </w:rPr>
      </w:pPr>
      <w:r>
        <w:rPr>
          <w:b/>
        </w:rPr>
        <w:t>5</w:t>
      </w:r>
      <w:r w:rsidR="007748F3">
        <w:rPr>
          <w:b/>
        </w:rPr>
        <w:t>.2</w:t>
      </w:r>
      <w:bookmarkStart w:id="25" w:name="OLE_LINK232"/>
      <w:bookmarkStart w:id="26" w:name="OLE_LINK233"/>
      <w:r>
        <w:rPr>
          <w:b/>
        </w:rPr>
        <w:t xml:space="preserve"> </w:t>
      </w:r>
      <w:r w:rsidR="007748F3" w:rsidRPr="006C6248">
        <w:rPr>
          <w:b/>
        </w:rPr>
        <w:t>Methyl-sensitive amplification polymorphism (MSAP)</w:t>
      </w:r>
      <w:bookmarkEnd w:id="25"/>
      <w:bookmarkEnd w:id="26"/>
    </w:p>
    <w:p w14:paraId="795806F2" w14:textId="0CC395DB" w:rsidR="00EB5B34" w:rsidRDefault="007748F3" w:rsidP="007748F3">
      <w:pPr>
        <w:spacing w:before="10" w:line="480" w:lineRule="auto"/>
        <w:jc w:val="both"/>
      </w:pPr>
      <w:r w:rsidRPr="00826416">
        <w:t xml:space="preserve">MSAP is </w:t>
      </w:r>
      <w:r>
        <w:t xml:space="preserve">a low-cost method </w:t>
      </w:r>
      <w:r w:rsidRPr="00826416">
        <w:t xml:space="preserve">used to provide a global overview of </w:t>
      </w:r>
      <w:r>
        <w:t xml:space="preserve">changes in </w:t>
      </w:r>
      <w:r w:rsidRPr="00826416">
        <w:t>genome methylation status</w:t>
      </w:r>
      <w:r w:rsidRPr="005F71CD">
        <w:t xml:space="preserve"> </w:t>
      </w:r>
      <w:r>
        <w:t>including percent methylation level and changes in methylation sites</w:t>
      </w:r>
      <w:r w:rsidRPr="00607DDC">
        <w:rPr>
          <w:vertAlign w:val="superscript"/>
        </w:rPr>
        <w:t xml:space="preserve"> </w:t>
      </w:r>
      <w:r w:rsidRPr="00607DDC">
        <w:rPr>
          <w:vertAlign w:val="superscript"/>
        </w:rPr>
        <w:endnoteReference w:id="14"/>
      </w:r>
      <w:r>
        <w:rPr>
          <w:vertAlign w:val="superscript"/>
        </w:rPr>
        <w:t xml:space="preserve"> </w:t>
      </w:r>
      <w:r w:rsidRPr="00607DDC">
        <w:rPr>
          <w:vertAlign w:val="superscript"/>
        </w:rPr>
        <w:endnoteReference w:id="15"/>
      </w:r>
      <w:r>
        <w:t xml:space="preserve">. In </w:t>
      </w:r>
      <w:r w:rsidRPr="00826416">
        <w:t>MSAP</w:t>
      </w:r>
      <w:r>
        <w:t xml:space="preserve">, </w:t>
      </w:r>
      <w:proofErr w:type="spellStart"/>
      <w:r w:rsidRPr="00607DDC">
        <w:rPr>
          <w:i/>
        </w:rPr>
        <w:t>Hpa</w:t>
      </w:r>
      <w:r w:rsidRPr="00826416">
        <w:t>II</w:t>
      </w:r>
      <w:proofErr w:type="spellEnd"/>
      <w:r w:rsidRPr="00826416">
        <w:t xml:space="preserve"> and </w:t>
      </w:r>
      <w:proofErr w:type="spellStart"/>
      <w:r w:rsidRPr="00607DDC">
        <w:rPr>
          <w:i/>
        </w:rPr>
        <w:t>Msp</w:t>
      </w:r>
      <w:r w:rsidRPr="00826416">
        <w:t>I</w:t>
      </w:r>
      <w:proofErr w:type="spellEnd"/>
      <w:r w:rsidRPr="00826416">
        <w:t xml:space="preserve"> recognize the same CCGG sequence</w:t>
      </w:r>
      <w:r>
        <w:t>,</w:t>
      </w:r>
      <w:r w:rsidRPr="00826416">
        <w:t xml:space="preserve"> but have differential sensitivity to methylation at the inner or outer cytosine</w:t>
      </w:r>
      <w:r w:rsidRPr="002A6DEF">
        <w:rPr>
          <w:vertAlign w:val="superscript"/>
        </w:rPr>
        <w:endnoteReference w:id="16"/>
      </w:r>
      <w:r>
        <w:t xml:space="preserve">. Changes in DNA methylation can be determined by analyzing a subset of these fragments. </w:t>
      </w:r>
    </w:p>
    <w:p w14:paraId="4658A330" w14:textId="553EE65C" w:rsidR="00EB5B34" w:rsidRDefault="00EB5B34" w:rsidP="007748F3">
      <w:pPr>
        <w:spacing w:before="10" w:line="480" w:lineRule="auto"/>
        <w:jc w:val="both"/>
      </w:pPr>
      <w:r>
        <w:t xml:space="preserve">5.2.1 </w:t>
      </w:r>
      <w:r w:rsidR="004235B0">
        <w:t>Genomic DNA digestion</w:t>
      </w:r>
    </w:p>
    <w:p w14:paraId="691839CD" w14:textId="30773B13" w:rsidR="004235B0" w:rsidRDefault="004235B0" w:rsidP="007748F3">
      <w:pPr>
        <w:spacing w:before="10" w:line="480" w:lineRule="auto"/>
        <w:jc w:val="both"/>
      </w:pPr>
      <w:r>
        <w:t>Two copy of 500 ng genomic DNA from each sample was treated by 1U each of HF-</w:t>
      </w:r>
      <w:proofErr w:type="spellStart"/>
      <w:r w:rsidRPr="005955A0">
        <w:rPr>
          <w:i/>
          <w:iCs/>
        </w:rPr>
        <w:t>EcoR</w:t>
      </w:r>
      <w:r w:rsidR="005955A0" w:rsidRPr="005955A0">
        <w:t>I</w:t>
      </w:r>
      <w:proofErr w:type="spellEnd"/>
      <w:r w:rsidR="005955A0">
        <w:rPr>
          <w:i/>
          <w:iCs/>
        </w:rPr>
        <w:t xml:space="preserve"> </w:t>
      </w:r>
      <w:r>
        <w:t xml:space="preserve">and either methylation-sensitive </w:t>
      </w:r>
      <w:proofErr w:type="spellStart"/>
      <w:r w:rsidRPr="005955A0">
        <w:rPr>
          <w:i/>
          <w:iCs/>
        </w:rPr>
        <w:t>Hpa</w:t>
      </w:r>
      <w:r w:rsidRPr="005955A0">
        <w:t>II</w:t>
      </w:r>
      <w:proofErr w:type="spellEnd"/>
      <w:r>
        <w:t xml:space="preserve"> or methylation-insensitive </w:t>
      </w:r>
      <w:proofErr w:type="spellStart"/>
      <w:r w:rsidRPr="005955A0">
        <w:rPr>
          <w:i/>
          <w:iCs/>
        </w:rPr>
        <w:t>Msp</w:t>
      </w:r>
      <w:r w:rsidRPr="005955A0">
        <w:t>I</w:t>
      </w:r>
      <w:proofErr w:type="spellEnd"/>
      <w:r w:rsidRPr="005955A0">
        <w:t xml:space="preserve"> </w:t>
      </w:r>
      <w:r>
        <w:t xml:space="preserve">with </w:t>
      </w:r>
      <w:proofErr w:type="spellStart"/>
      <w:r>
        <w:t>cusmart</w:t>
      </w:r>
      <w:proofErr w:type="spellEnd"/>
      <w:r>
        <w:t xml:space="preserve"> buffer in a total volume of 10ul. One was labeled as H, and the other was labeled as M. The reaction was ongoing at 37 degree Celsius for 4 hours and followed by heating at 80 degree Celsius 10 min to deactivate the digestion enzyme.</w:t>
      </w:r>
    </w:p>
    <w:p w14:paraId="266DB099" w14:textId="10143DD2" w:rsidR="004235B0" w:rsidRDefault="004235B0" w:rsidP="007748F3">
      <w:pPr>
        <w:spacing w:before="10" w:line="480" w:lineRule="auto"/>
        <w:jc w:val="both"/>
      </w:pPr>
      <w:r>
        <w:t>5.2.2 Adaptor ligation</w:t>
      </w:r>
    </w:p>
    <w:p w14:paraId="73945211" w14:textId="78A1D2ED" w:rsidR="004235B0" w:rsidRDefault="004235B0" w:rsidP="007748F3">
      <w:pPr>
        <w:spacing w:before="10" w:line="480" w:lineRule="auto"/>
        <w:jc w:val="both"/>
      </w:pPr>
      <w:r>
        <w:lastRenderedPageBreak/>
        <w:t xml:space="preserve">Two pairs of adaptors were designed for </w:t>
      </w:r>
      <w:proofErr w:type="spellStart"/>
      <w:r w:rsidRPr="005955A0">
        <w:rPr>
          <w:i/>
          <w:iCs/>
        </w:rPr>
        <w:t>EcoR</w:t>
      </w:r>
      <w:r w:rsidRPr="005955A0">
        <w:t>I</w:t>
      </w:r>
      <w:proofErr w:type="spellEnd"/>
      <w:r>
        <w:t xml:space="preserve"> and </w:t>
      </w:r>
      <w:proofErr w:type="spellStart"/>
      <w:r w:rsidRPr="005955A0">
        <w:rPr>
          <w:i/>
          <w:iCs/>
        </w:rPr>
        <w:t>Hpa</w:t>
      </w:r>
      <w:r w:rsidRPr="005955A0">
        <w:t>II</w:t>
      </w:r>
      <w:proofErr w:type="spellEnd"/>
      <w:r w:rsidRPr="005955A0">
        <w:rPr>
          <w:i/>
          <w:iCs/>
        </w:rPr>
        <w:t>/</w:t>
      </w:r>
      <w:proofErr w:type="spellStart"/>
      <w:r w:rsidRPr="005955A0">
        <w:rPr>
          <w:i/>
          <w:iCs/>
        </w:rPr>
        <w:t>Msp</w:t>
      </w:r>
      <w:r w:rsidRPr="005955A0">
        <w:t>I</w:t>
      </w:r>
      <w:proofErr w:type="spellEnd"/>
      <w:r>
        <w:t xml:space="preserve">. (See table 4) First, annealing adaptor pairs in two separate tubes. One was for </w:t>
      </w:r>
      <w:proofErr w:type="spellStart"/>
      <w:r w:rsidRPr="005955A0">
        <w:rPr>
          <w:i/>
          <w:iCs/>
        </w:rPr>
        <w:t>EcoR</w:t>
      </w:r>
      <w:r w:rsidRPr="005955A0">
        <w:t>I</w:t>
      </w:r>
      <w:proofErr w:type="spellEnd"/>
      <w:r w:rsidRPr="005955A0">
        <w:rPr>
          <w:i/>
          <w:iCs/>
        </w:rPr>
        <w:t>,</w:t>
      </w:r>
      <w:r>
        <w:t xml:space="preserve"> and one was for H/P</w:t>
      </w:r>
      <w:r w:rsidR="000610E3">
        <w:t>. 60pmol of each complementary primer in a total volume of 40ul was heat up to 72 degree centigrade for 10min and then cooled down in a well-closed box overnight. Then the ligation buffer containing 10ul digested DNA, annealed adaptor pairs, T</w:t>
      </w:r>
      <w:r w:rsidR="000610E3" w:rsidRPr="000610E3">
        <w:rPr>
          <w:vertAlign w:val="subscript"/>
        </w:rPr>
        <w:t>4</w:t>
      </w:r>
      <w:r w:rsidR="000610E3">
        <w:t xml:space="preserve"> ligase and ligase buffer, was incubated overnight at 18 degree Celsius.</w:t>
      </w:r>
    </w:p>
    <w:p w14:paraId="7325B832" w14:textId="6D257616" w:rsidR="000610E3" w:rsidRDefault="000610E3" w:rsidP="007748F3">
      <w:pPr>
        <w:spacing w:before="10" w:line="480" w:lineRule="auto"/>
        <w:jc w:val="both"/>
      </w:pPr>
      <w:r>
        <w:t>5.2.3 Preselective PCR amplification</w:t>
      </w:r>
    </w:p>
    <w:p w14:paraId="074689E9" w14:textId="4064AC26" w:rsidR="00EB5B34" w:rsidRDefault="000610E3" w:rsidP="007748F3">
      <w:pPr>
        <w:spacing w:before="10" w:line="480" w:lineRule="auto"/>
        <w:jc w:val="both"/>
      </w:pPr>
      <w:r>
        <w:t xml:space="preserve">Ligation reaction was diluted four times, and then 3ul from each one was added to PCR reaction, which includes </w:t>
      </w:r>
      <w:proofErr w:type="spellStart"/>
      <w:r w:rsidRPr="005955A0">
        <w:rPr>
          <w:i/>
          <w:iCs/>
        </w:rPr>
        <w:t>EcoR</w:t>
      </w:r>
      <w:r w:rsidRPr="005955A0">
        <w:t>I</w:t>
      </w:r>
      <w:proofErr w:type="spellEnd"/>
      <w:r w:rsidRPr="005955A0">
        <w:rPr>
          <w:i/>
          <w:iCs/>
        </w:rPr>
        <w:t xml:space="preserve"> </w:t>
      </w:r>
      <w:r w:rsidR="00983F42">
        <w:t xml:space="preserve">pre-selected </w:t>
      </w:r>
      <w:r>
        <w:t xml:space="preserve">primer, </w:t>
      </w:r>
      <w:proofErr w:type="spellStart"/>
      <w:r w:rsidRPr="005955A0">
        <w:rPr>
          <w:i/>
          <w:iCs/>
        </w:rPr>
        <w:t>Hpa</w:t>
      </w:r>
      <w:r w:rsidRPr="005955A0">
        <w:t>II</w:t>
      </w:r>
      <w:proofErr w:type="spellEnd"/>
      <w:r w:rsidR="005955A0">
        <w:rPr>
          <w:i/>
          <w:iCs/>
        </w:rPr>
        <w:t>/</w:t>
      </w:r>
      <w:proofErr w:type="spellStart"/>
      <w:r w:rsidRPr="005955A0">
        <w:rPr>
          <w:i/>
          <w:iCs/>
        </w:rPr>
        <w:t>Msp</w:t>
      </w:r>
      <w:r w:rsidRPr="005955A0">
        <w:t>I</w:t>
      </w:r>
      <w:proofErr w:type="spellEnd"/>
      <w:r>
        <w:t xml:space="preserve"> </w:t>
      </w:r>
      <w:r w:rsidR="00983F42">
        <w:t xml:space="preserve">pre-selected </w:t>
      </w:r>
      <w:r>
        <w:t xml:space="preserve">primer, dNTPs, </w:t>
      </w:r>
      <w:proofErr w:type="spellStart"/>
      <w:r w:rsidRPr="005955A0">
        <w:rPr>
          <w:i/>
          <w:iCs/>
        </w:rPr>
        <w:t>Taq</w:t>
      </w:r>
      <w:proofErr w:type="spellEnd"/>
      <w:r>
        <w:t xml:space="preserve"> DNA polymerase and PCR buffer I. The reaction conditions: 94, 56. 72, for 20 cycles.</w:t>
      </w:r>
    </w:p>
    <w:p w14:paraId="3BE73EEB" w14:textId="0B688DD0" w:rsidR="000610E3" w:rsidRDefault="00983F42" w:rsidP="007748F3">
      <w:pPr>
        <w:spacing w:before="10" w:line="480" w:lineRule="auto"/>
        <w:jc w:val="both"/>
      </w:pPr>
      <w:r>
        <w:t>9ul PCR reactions was checked in agarose gel electrophoresis 1% at 84V for 45 min. The long smear bands were tested, which verified successful digestion and ligation.</w:t>
      </w:r>
    </w:p>
    <w:p w14:paraId="45152826" w14:textId="0FD98936" w:rsidR="00983F42" w:rsidRDefault="00983F42" w:rsidP="007748F3">
      <w:pPr>
        <w:spacing w:before="10" w:line="480" w:lineRule="auto"/>
        <w:jc w:val="both"/>
      </w:pPr>
      <w:r>
        <w:t>5.2.4 Selective PCR amplification</w:t>
      </w:r>
    </w:p>
    <w:p w14:paraId="277187A1" w14:textId="6BC8F374" w:rsidR="00983F42" w:rsidRDefault="00983F42" w:rsidP="007748F3">
      <w:pPr>
        <w:spacing w:before="10" w:line="480" w:lineRule="auto"/>
        <w:jc w:val="both"/>
      </w:pPr>
      <w:r>
        <w:t xml:space="preserve">Collected reaction above was diluted 10 times as a template in the following PCR reaction. </w:t>
      </w:r>
      <w:r w:rsidR="00F04EC6">
        <w:t xml:space="preserve">Two pairs of </w:t>
      </w:r>
      <w:r>
        <w:t>selective primers w</w:t>
      </w:r>
      <w:r w:rsidR="005955A0">
        <w:t>ere</w:t>
      </w:r>
      <w:r>
        <w:t xml:space="preserve"> applied</w:t>
      </w:r>
      <w:r w:rsidR="00F04EC6">
        <w:t xml:space="preserve"> </w:t>
      </w:r>
      <w:proofErr w:type="gramStart"/>
      <w:r w:rsidR="00F04EC6">
        <w:t>separately</w:t>
      </w:r>
      <w:proofErr w:type="gramEnd"/>
      <w:r w:rsidR="00F04EC6">
        <w:t xml:space="preserve"> and a </w:t>
      </w:r>
      <w:r>
        <w:t>touchdown program was optimized to get decent band amount, which was as following: 94, 66. 72. The annealing temperature falls 1 degree Celsius in each cycle.</w:t>
      </w:r>
    </w:p>
    <w:p w14:paraId="12DE00AD" w14:textId="566B3542" w:rsidR="00983F42" w:rsidRDefault="00983F42" w:rsidP="007748F3">
      <w:pPr>
        <w:spacing w:before="10" w:line="480" w:lineRule="auto"/>
        <w:jc w:val="both"/>
      </w:pPr>
      <w:r>
        <w:t>5.2.5 Analyzing selective PCR band number and size.</w:t>
      </w:r>
    </w:p>
    <w:p w14:paraId="7F0A2957" w14:textId="71C6D9E4" w:rsidR="00983F42" w:rsidRDefault="00983F42" w:rsidP="00983F42">
      <w:pPr>
        <w:spacing w:before="10" w:line="480" w:lineRule="auto"/>
        <w:jc w:val="both"/>
      </w:pPr>
      <w:r>
        <w:t>The</w:t>
      </w:r>
      <w:r>
        <w:t xml:space="preserve"> </w:t>
      </w:r>
      <w:r>
        <w:t xml:space="preserve">2100 </w:t>
      </w:r>
      <w:r>
        <w:t xml:space="preserve">Agilent </w:t>
      </w:r>
      <w:r w:rsidRPr="003903DD">
        <w:t>Bioanalyzer</w:t>
      </w:r>
      <w:r>
        <w:t>,</w:t>
      </w:r>
      <w:r w:rsidRPr="003903DD">
        <w:t xml:space="preserve"> which uses a micro-capillary based electrophoretic cell</w:t>
      </w:r>
      <w:r>
        <w:t xml:space="preserve">, </w:t>
      </w:r>
      <w:r w:rsidRPr="003903DD">
        <w:t>will be used</w:t>
      </w:r>
      <w:r>
        <w:t xml:space="preserve"> to analyze PCR</w:t>
      </w:r>
      <w:r w:rsidRPr="003903DD">
        <w:t xml:space="preserve"> bands</w:t>
      </w:r>
      <w:r>
        <w:t xml:space="preserve">. The Bioanalyzer gives </w:t>
      </w:r>
      <w:r w:rsidRPr="003903DD">
        <w:t>more precise information on the</w:t>
      </w:r>
      <w:r>
        <w:t xml:space="preserve"> number and sizes of DNA</w:t>
      </w:r>
      <w:r w:rsidRPr="003903DD">
        <w:t xml:space="preserve"> fragmen</w:t>
      </w:r>
      <w:r>
        <w:t>t</w:t>
      </w:r>
      <w:r w:rsidRPr="003903DD">
        <w:t xml:space="preserve"> than </w:t>
      </w:r>
      <w:r w:rsidRPr="003903DD">
        <w:rPr>
          <w:rFonts w:hint="eastAsia"/>
        </w:rPr>
        <w:t>agarose</w:t>
      </w:r>
      <w:r>
        <w:t xml:space="preserve"> gel</w:t>
      </w:r>
      <w:r w:rsidRPr="003903DD">
        <w:rPr>
          <w:rFonts w:hint="eastAsia"/>
        </w:rPr>
        <w:t xml:space="preserve"> electrophoresis</w:t>
      </w:r>
      <w:r w:rsidRPr="003903DD">
        <w:t>.</w:t>
      </w:r>
      <w:r>
        <w:t xml:space="preserve"> </w:t>
      </w:r>
      <w:r w:rsidR="0026247B">
        <w:t xml:space="preserve">Selective </w:t>
      </w:r>
      <w:r>
        <w:t xml:space="preserve">PCR products were purified </w:t>
      </w:r>
      <w:r w:rsidR="0026247B">
        <w:t xml:space="preserve">using QIAQGEN </w:t>
      </w:r>
      <w:proofErr w:type="spellStart"/>
      <w:r w:rsidR="0026247B">
        <w:t>MinElute</w:t>
      </w:r>
      <w:proofErr w:type="spellEnd"/>
      <w:r w:rsidR="0026247B" w:rsidRPr="0026247B">
        <w:rPr>
          <w:vertAlign w:val="superscript"/>
        </w:rPr>
        <w:t>@</w:t>
      </w:r>
      <w:r w:rsidR="0026247B">
        <w:t xml:space="preserve"> PCR purification kit, collecting 70bp to 4Kb PCR bands. Then PCR </w:t>
      </w:r>
      <w:r w:rsidR="0026247B">
        <w:lastRenderedPageBreak/>
        <w:t xml:space="preserve">fragments were diluted between 1-10ng/ul as required by </w:t>
      </w:r>
      <w:r w:rsidR="00F04EC6">
        <w:t xml:space="preserve">Agilent </w:t>
      </w:r>
      <w:r w:rsidR="0026247B">
        <w:t>High Sensitivity DNA kit</w:t>
      </w:r>
      <w:r w:rsidR="0026247B">
        <w:t xml:space="preserve">. 1ul of each sample was analyzed in </w:t>
      </w:r>
      <w:r w:rsidR="00F04EC6">
        <w:t>Agilent 2100 bioanalyzer.</w:t>
      </w:r>
    </w:p>
    <w:p w14:paraId="74A1FF5A" w14:textId="0EE2FC97" w:rsidR="00F04EC6" w:rsidRDefault="00F04EC6" w:rsidP="005955A0">
      <w:pPr>
        <w:jc w:val="center"/>
      </w:pPr>
      <w:r>
        <w:t>Table 4 Adaptors and primers used in MSAP</w:t>
      </w:r>
    </w:p>
    <w:tbl>
      <w:tblPr>
        <w:tblStyle w:val="TableGrid"/>
        <w:tblW w:w="9445" w:type="dxa"/>
        <w:jc w:val="center"/>
        <w:tblLook w:val="04A0" w:firstRow="1" w:lastRow="0" w:firstColumn="1" w:lastColumn="0" w:noHBand="0" w:noVBand="1"/>
      </w:tblPr>
      <w:tblGrid>
        <w:gridCol w:w="4215"/>
        <w:gridCol w:w="5230"/>
      </w:tblGrid>
      <w:tr w:rsidR="00965C61" w14:paraId="0E5AD531" w14:textId="77777777" w:rsidTr="00965C61">
        <w:trPr>
          <w:jc w:val="center"/>
        </w:trPr>
        <w:tc>
          <w:tcPr>
            <w:tcW w:w="4215" w:type="dxa"/>
          </w:tcPr>
          <w:p w14:paraId="215629B6" w14:textId="269695C1" w:rsidR="00965C61" w:rsidRDefault="005955A0" w:rsidP="005955A0">
            <w:pPr>
              <w:jc w:val="center"/>
            </w:pPr>
            <w:r>
              <w:t>Name</w:t>
            </w:r>
          </w:p>
        </w:tc>
        <w:tc>
          <w:tcPr>
            <w:tcW w:w="5230" w:type="dxa"/>
          </w:tcPr>
          <w:p w14:paraId="018AECD5" w14:textId="7B0F7275" w:rsidR="00965C61" w:rsidRDefault="005955A0" w:rsidP="005955A0">
            <w:pPr>
              <w:jc w:val="center"/>
            </w:pPr>
            <w:r>
              <w:t>Nucleotide sequence (5’-3’)</w:t>
            </w:r>
          </w:p>
        </w:tc>
      </w:tr>
      <w:tr w:rsidR="00965C61" w14:paraId="11B207BD" w14:textId="77777777" w:rsidTr="00965C61">
        <w:trPr>
          <w:jc w:val="center"/>
        </w:trPr>
        <w:tc>
          <w:tcPr>
            <w:tcW w:w="4215" w:type="dxa"/>
          </w:tcPr>
          <w:p w14:paraId="4DB17917" w14:textId="4553DEA8" w:rsidR="00965C61" w:rsidRDefault="00965C61" w:rsidP="005955A0">
            <w:pPr>
              <w:jc w:val="center"/>
            </w:pPr>
            <w:proofErr w:type="spellStart"/>
            <w:r w:rsidRPr="005955A0">
              <w:rPr>
                <w:i/>
                <w:iCs/>
              </w:rPr>
              <w:t>EcoR</w:t>
            </w:r>
            <w:r w:rsidRPr="005955A0">
              <w:t>I</w:t>
            </w:r>
            <w:proofErr w:type="spellEnd"/>
            <w:r>
              <w:t xml:space="preserve"> adaptors</w:t>
            </w:r>
          </w:p>
        </w:tc>
        <w:tc>
          <w:tcPr>
            <w:tcW w:w="5230" w:type="dxa"/>
          </w:tcPr>
          <w:p w14:paraId="35249F90" w14:textId="77777777" w:rsidR="00965C61" w:rsidRDefault="00965C61" w:rsidP="005955A0">
            <w:pPr>
              <w:jc w:val="center"/>
            </w:pPr>
            <w:r>
              <w:t>CTCGTAGACTGCGTACC</w:t>
            </w:r>
          </w:p>
          <w:p w14:paraId="2C7F3B5A" w14:textId="3D104B46" w:rsidR="00965C61" w:rsidRDefault="00965C61" w:rsidP="005955A0">
            <w:pPr>
              <w:jc w:val="center"/>
            </w:pPr>
            <w:r w:rsidRPr="00965C61">
              <w:t>AATTGGTACGCAGTCTAC</w:t>
            </w:r>
          </w:p>
        </w:tc>
      </w:tr>
      <w:tr w:rsidR="00965C61" w14:paraId="6D0EC712" w14:textId="77777777" w:rsidTr="00965C61">
        <w:trPr>
          <w:jc w:val="center"/>
        </w:trPr>
        <w:tc>
          <w:tcPr>
            <w:tcW w:w="4215" w:type="dxa"/>
          </w:tcPr>
          <w:p w14:paraId="75DFA597" w14:textId="34893380" w:rsidR="00965C61" w:rsidRDefault="00965C61" w:rsidP="005955A0">
            <w:pPr>
              <w:jc w:val="center"/>
            </w:pPr>
            <w:bookmarkStart w:id="29" w:name="OLE_LINK136"/>
            <w:bookmarkStart w:id="30" w:name="OLE_LINK137"/>
            <w:proofErr w:type="spellStart"/>
            <w:r w:rsidRPr="005955A0">
              <w:t>HpaII</w:t>
            </w:r>
            <w:proofErr w:type="spellEnd"/>
            <w:r w:rsidRPr="005955A0">
              <w:t>/</w:t>
            </w:r>
            <w:proofErr w:type="spellStart"/>
            <w:r w:rsidRPr="005955A0">
              <w:t>MspI</w:t>
            </w:r>
            <w:proofErr w:type="spellEnd"/>
            <w:r>
              <w:t xml:space="preserve"> adaptors</w:t>
            </w:r>
            <w:bookmarkEnd w:id="29"/>
            <w:bookmarkEnd w:id="30"/>
          </w:p>
        </w:tc>
        <w:tc>
          <w:tcPr>
            <w:tcW w:w="5230" w:type="dxa"/>
          </w:tcPr>
          <w:p w14:paraId="18C2FF4F" w14:textId="77777777" w:rsidR="00965C61" w:rsidRPr="00965C61" w:rsidRDefault="00965C61" w:rsidP="005955A0">
            <w:pPr>
              <w:jc w:val="center"/>
            </w:pPr>
            <w:r w:rsidRPr="00965C61">
              <w:t>GATCATGAGTCCTGCT</w:t>
            </w:r>
          </w:p>
          <w:p w14:paraId="1FE07A15" w14:textId="0BC946A7" w:rsidR="00965C61" w:rsidRDefault="00965C61" w:rsidP="005955A0">
            <w:pPr>
              <w:jc w:val="center"/>
            </w:pPr>
            <w:r w:rsidRPr="00965C61">
              <w:t>CGAGCAGGACTCA TGA</w:t>
            </w:r>
          </w:p>
        </w:tc>
      </w:tr>
      <w:tr w:rsidR="00965C61" w14:paraId="5A6868DB" w14:textId="77777777" w:rsidTr="00965C61">
        <w:trPr>
          <w:jc w:val="center"/>
        </w:trPr>
        <w:tc>
          <w:tcPr>
            <w:tcW w:w="4215" w:type="dxa"/>
          </w:tcPr>
          <w:p w14:paraId="6AF7DE7E" w14:textId="534767C9" w:rsidR="00965C61" w:rsidRDefault="00965C61" w:rsidP="005955A0">
            <w:pPr>
              <w:jc w:val="center"/>
            </w:pPr>
            <w:proofErr w:type="spellStart"/>
            <w:r w:rsidRPr="005955A0">
              <w:rPr>
                <w:i/>
                <w:iCs/>
              </w:rPr>
              <w:t>EcoR</w:t>
            </w:r>
            <w:r w:rsidRPr="005955A0">
              <w:t>I</w:t>
            </w:r>
            <w:proofErr w:type="spellEnd"/>
            <w:r w:rsidRPr="005955A0">
              <w:rPr>
                <w:i/>
                <w:iCs/>
              </w:rPr>
              <w:t xml:space="preserve"> </w:t>
            </w:r>
            <w:r>
              <w:t>Preselective primer</w:t>
            </w:r>
          </w:p>
        </w:tc>
        <w:tc>
          <w:tcPr>
            <w:tcW w:w="5230" w:type="dxa"/>
          </w:tcPr>
          <w:p w14:paraId="421F89C6" w14:textId="001FE4CA" w:rsidR="00965C61" w:rsidRDefault="00965C61" w:rsidP="005955A0">
            <w:pPr>
              <w:jc w:val="center"/>
            </w:pPr>
            <w:r w:rsidRPr="00965C61">
              <w:t>GACTGCGTACCAATTC</w:t>
            </w:r>
          </w:p>
        </w:tc>
      </w:tr>
      <w:tr w:rsidR="00965C61" w14:paraId="219F8D4C" w14:textId="77777777" w:rsidTr="00965C61">
        <w:trPr>
          <w:jc w:val="center"/>
        </w:trPr>
        <w:tc>
          <w:tcPr>
            <w:tcW w:w="4215" w:type="dxa"/>
          </w:tcPr>
          <w:p w14:paraId="728B8C92" w14:textId="59C576D1" w:rsidR="00965C61" w:rsidRDefault="00965C61" w:rsidP="005955A0">
            <w:pPr>
              <w:jc w:val="center"/>
            </w:pPr>
            <w:proofErr w:type="spellStart"/>
            <w:r w:rsidRPr="005955A0">
              <w:rPr>
                <w:i/>
                <w:iCs/>
              </w:rPr>
              <w:t>Hpa</w:t>
            </w:r>
            <w:r w:rsidRPr="005955A0">
              <w:t>II</w:t>
            </w:r>
            <w:proofErr w:type="spellEnd"/>
            <w:r w:rsidRPr="005955A0">
              <w:rPr>
                <w:i/>
                <w:iCs/>
              </w:rPr>
              <w:t>/</w:t>
            </w:r>
            <w:proofErr w:type="spellStart"/>
            <w:r w:rsidRPr="005955A0">
              <w:rPr>
                <w:i/>
                <w:iCs/>
              </w:rPr>
              <w:t>Msp</w:t>
            </w:r>
            <w:r w:rsidRPr="005955A0">
              <w:t>I</w:t>
            </w:r>
            <w:proofErr w:type="spellEnd"/>
            <w:r>
              <w:t xml:space="preserve"> </w:t>
            </w:r>
            <w:r>
              <w:t>Preselective primer</w:t>
            </w:r>
          </w:p>
        </w:tc>
        <w:tc>
          <w:tcPr>
            <w:tcW w:w="5230" w:type="dxa"/>
          </w:tcPr>
          <w:p w14:paraId="6E9CB645" w14:textId="4DF1E0BC" w:rsidR="00965C61" w:rsidRDefault="00965C61" w:rsidP="005955A0">
            <w:pPr>
              <w:jc w:val="center"/>
            </w:pPr>
            <w:r w:rsidRPr="00965C61">
              <w:t>ATCATGAGTCCTGC TCGG</w:t>
            </w:r>
          </w:p>
        </w:tc>
      </w:tr>
      <w:tr w:rsidR="00965C61" w14:paraId="14DC351E" w14:textId="77777777" w:rsidTr="00965C61">
        <w:trPr>
          <w:jc w:val="center"/>
        </w:trPr>
        <w:tc>
          <w:tcPr>
            <w:tcW w:w="4215" w:type="dxa"/>
          </w:tcPr>
          <w:p w14:paraId="3204884A" w14:textId="5299FBE8" w:rsidR="00965C61" w:rsidRDefault="00965C61" w:rsidP="005955A0">
            <w:pPr>
              <w:jc w:val="center"/>
            </w:pPr>
            <w:r>
              <w:t>Selective primer pair 1</w:t>
            </w:r>
          </w:p>
        </w:tc>
        <w:tc>
          <w:tcPr>
            <w:tcW w:w="5230" w:type="dxa"/>
          </w:tcPr>
          <w:p w14:paraId="663AA26C" w14:textId="3867B9F4" w:rsidR="00965C61" w:rsidRPr="00965C61" w:rsidRDefault="00965C61" w:rsidP="005955A0">
            <w:pPr>
              <w:jc w:val="center"/>
            </w:pPr>
            <w:bookmarkStart w:id="31" w:name="OLE_LINK152"/>
            <w:bookmarkStart w:id="32" w:name="OLE_LINK153"/>
            <w:r w:rsidRPr="00965C61">
              <w:t>GACTGCGTACCAATTC</w:t>
            </w:r>
            <w:r w:rsidRPr="00965C61">
              <w:t>ACC</w:t>
            </w:r>
          </w:p>
          <w:bookmarkEnd w:id="31"/>
          <w:bookmarkEnd w:id="32"/>
          <w:p w14:paraId="72ED4E27" w14:textId="3F331FF9" w:rsidR="00965C61" w:rsidRPr="00965C61" w:rsidRDefault="00965C61" w:rsidP="005955A0">
            <w:pPr>
              <w:jc w:val="center"/>
            </w:pPr>
            <w:r w:rsidRPr="00965C61">
              <w:t>ATCATGAGTCCTGCTCGGTCAA</w:t>
            </w:r>
          </w:p>
        </w:tc>
      </w:tr>
      <w:tr w:rsidR="00965C61" w14:paraId="7D69E3C5" w14:textId="77777777" w:rsidTr="00965C61">
        <w:trPr>
          <w:jc w:val="center"/>
        </w:trPr>
        <w:tc>
          <w:tcPr>
            <w:tcW w:w="4215" w:type="dxa"/>
          </w:tcPr>
          <w:p w14:paraId="061BF799" w14:textId="528CF730" w:rsidR="00965C61" w:rsidRDefault="00965C61" w:rsidP="005955A0">
            <w:pPr>
              <w:jc w:val="center"/>
            </w:pPr>
            <w:r>
              <w:t>Selective primer pair 2</w:t>
            </w:r>
          </w:p>
        </w:tc>
        <w:tc>
          <w:tcPr>
            <w:tcW w:w="5230" w:type="dxa"/>
          </w:tcPr>
          <w:p w14:paraId="488932CA" w14:textId="61078517" w:rsidR="00965C61" w:rsidRPr="00965C61" w:rsidRDefault="00965C61" w:rsidP="005955A0">
            <w:pPr>
              <w:jc w:val="center"/>
            </w:pPr>
            <w:r w:rsidRPr="00965C61">
              <w:t>GACTGCGTACCAATTCACC</w:t>
            </w:r>
          </w:p>
          <w:p w14:paraId="79F66ABE" w14:textId="3C55B5FB" w:rsidR="00965C61" w:rsidRPr="00965C61" w:rsidRDefault="00965C61" w:rsidP="005955A0">
            <w:pPr>
              <w:jc w:val="center"/>
            </w:pPr>
            <w:r w:rsidRPr="00965C61">
              <w:t>ATCATGAGTCCTGCTCGGTCCA</w:t>
            </w:r>
          </w:p>
        </w:tc>
      </w:tr>
    </w:tbl>
    <w:p w14:paraId="3500D970" w14:textId="77777777" w:rsidR="00F04EC6" w:rsidRDefault="00F04EC6" w:rsidP="00965C61"/>
    <w:p w14:paraId="182FF645" w14:textId="5E7F46EA" w:rsidR="00F04EC6" w:rsidRDefault="00F04EC6" w:rsidP="00965C61">
      <w:r>
        <w:t xml:space="preserve">5.2.6 </w:t>
      </w:r>
      <w:r w:rsidR="003445E2">
        <w:t>D</w:t>
      </w:r>
      <w:r w:rsidR="005955A0">
        <w:t xml:space="preserve">ata </w:t>
      </w:r>
      <w:r>
        <w:t>analysis</w:t>
      </w:r>
    </w:p>
    <w:p w14:paraId="6B6E81AD" w14:textId="71D7DE50" w:rsidR="00F04EC6" w:rsidRDefault="00F04EC6" w:rsidP="00983F42">
      <w:pPr>
        <w:spacing w:before="10" w:line="480" w:lineRule="auto"/>
        <w:jc w:val="both"/>
      </w:pPr>
      <w:r>
        <w:t xml:space="preserve">Positive tested PCR bands shown in at least once among three biological replicates, were considered as effective. </w:t>
      </w:r>
      <w:r w:rsidR="005955A0">
        <w:t>The restriction digestion sites of each primer pair were recognized first. The presence and absence of bands cut by H and M separately are considered as “1” and “0”. Based on the mechanism of two enzymes, there are different type of situations</w:t>
      </w:r>
      <w:r w:rsidR="005955A0">
        <w:rPr>
          <w:rStyle w:val="EndnoteReference"/>
        </w:rPr>
        <w:endnoteReference w:id="17"/>
      </w:r>
      <w:r w:rsidR="005955A0">
        <w:t>. (Table 5)</w:t>
      </w:r>
    </w:p>
    <w:p w14:paraId="01789C60" w14:textId="4163CB54" w:rsidR="005955A0" w:rsidRDefault="005955A0" w:rsidP="003445E2">
      <w:pPr>
        <w:spacing w:before="10" w:line="480" w:lineRule="auto"/>
        <w:jc w:val="center"/>
      </w:pPr>
      <w:r>
        <w:t>Table 5 MSAP site types and methylation status</w:t>
      </w:r>
    </w:p>
    <w:tbl>
      <w:tblPr>
        <w:tblStyle w:val="TableGrid"/>
        <w:tblW w:w="0" w:type="auto"/>
        <w:jc w:val="center"/>
        <w:tblLook w:val="04A0" w:firstRow="1" w:lastRow="0" w:firstColumn="1" w:lastColumn="0" w:noHBand="0" w:noVBand="1"/>
      </w:tblPr>
      <w:tblGrid>
        <w:gridCol w:w="1075"/>
        <w:gridCol w:w="990"/>
        <w:gridCol w:w="990"/>
        <w:gridCol w:w="4425"/>
      </w:tblGrid>
      <w:tr w:rsidR="003445E2" w14:paraId="0BD24E72" w14:textId="77777777" w:rsidTr="003445E2">
        <w:trPr>
          <w:jc w:val="center"/>
        </w:trPr>
        <w:tc>
          <w:tcPr>
            <w:tcW w:w="1075" w:type="dxa"/>
          </w:tcPr>
          <w:p w14:paraId="5B4B51E1" w14:textId="367A6B78" w:rsidR="003445E2" w:rsidRDefault="003445E2" w:rsidP="00983F42">
            <w:pPr>
              <w:spacing w:before="10" w:line="480" w:lineRule="auto"/>
              <w:jc w:val="both"/>
            </w:pPr>
            <w:r>
              <w:t>Site type</w:t>
            </w:r>
          </w:p>
        </w:tc>
        <w:tc>
          <w:tcPr>
            <w:tcW w:w="990" w:type="dxa"/>
          </w:tcPr>
          <w:p w14:paraId="739110C9" w14:textId="73E445EE" w:rsidR="003445E2" w:rsidRDefault="003445E2" w:rsidP="00983F42">
            <w:pPr>
              <w:spacing w:before="10" w:line="480" w:lineRule="auto"/>
              <w:jc w:val="both"/>
            </w:pPr>
            <w:proofErr w:type="spellStart"/>
            <w:r>
              <w:t>MspI</w:t>
            </w:r>
            <w:proofErr w:type="spellEnd"/>
          </w:p>
        </w:tc>
        <w:tc>
          <w:tcPr>
            <w:tcW w:w="990" w:type="dxa"/>
          </w:tcPr>
          <w:p w14:paraId="1F3DDD04" w14:textId="240301B5" w:rsidR="003445E2" w:rsidRDefault="003445E2" w:rsidP="00983F42">
            <w:pPr>
              <w:spacing w:before="10" w:line="480" w:lineRule="auto"/>
              <w:jc w:val="both"/>
            </w:pPr>
            <w:proofErr w:type="spellStart"/>
            <w:r>
              <w:t>HpaII</w:t>
            </w:r>
            <w:proofErr w:type="spellEnd"/>
          </w:p>
        </w:tc>
        <w:tc>
          <w:tcPr>
            <w:tcW w:w="4425" w:type="dxa"/>
          </w:tcPr>
          <w:p w14:paraId="2354AECF" w14:textId="5E5114CC" w:rsidR="003445E2" w:rsidRDefault="003445E2" w:rsidP="00983F42">
            <w:pPr>
              <w:spacing w:before="10" w:line="480" w:lineRule="auto"/>
              <w:jc w:val="both"/>
            </w:pPr>
            <w:r>
              <w:t>Methylation status</w:t>
            </w:r>
          </w:p>
        </w:tc>
      </w:tr>
      <w:tr w:rsidR="003445E2" w14:paraId="7171E92C" w14:textId="77777777" w:rsidTr="003445E2">
        <w:trPr>
          <w:jc w:val="center"/>
        </w:trPr>
        <w:tc>
          <w:tcPr>
            <w:tcW w:w="1075" w:type="dxa"/>
          </w:tcPr>
          <w:p w14:paraId="1E181C92" w14:textId="0684E31D" w:rsidR="003445E2" w:rsidRDefault="003445E2" w:rsidP="00983F42">
            <w:pPr>
              <w:spacing w:before="10" w:line="480" w:lineRule="auto"/>
              <w:jc w:val="both"/>
            </w:pPr>
            <w:r>
              <w:t>I</w:t>
            </w:r>
          </w:p>
        </w:tc>
        <w:tc>
          <w:tcPr>
            <w:tcW w:w="990" w:type="dxa"/>
          </w:tcPr>
          <w:p w14:paraId="1E0CDD81" w14:textId="66868F6E" w:rsidR="003445E2" w:rsidRDefault="003445E2" w:rsidP="00983F42">
            <w:pPr>
              <w:spacing w:before="10" w:line="480" w:lineRule="auto"/>
              <w:jc w:val="both"/>
            </w:pPr>
            <w:r>
              <w:t>1</w:t>
            </w:r>
          </w:p>
        </w:tc>
        <w:tc>
          <w:tcPr>
            <w:tcW w:w="990" w:type="dxa"/>
          </w:tcPr>
          <w:p w14:paraId="6E9A6B99" w14:textId="53396592" w:rsidR="003445E2" w:rsidRDefault="003445E2" w:rsidP="00983F42">
            <w:pPr>
              <w:spacing w:before="10" w:line="480" w:lineRule="auto"/>
              <w:jc w:val="both"/>
            </w:pPr>
            <w:r>
              <w:t>1</w:t>
            </w:r>
          </w:p>
        </w:tc>
        <w:tc>
          <w:tcPr>
            <w:tcW w:w="4425" w:type="dxa"/>
          </w:tcPr>
          <w:p w14:paraId="351ECAF3" w14:textId="3BB31F34" w:rsidR="003445E2" w:rsidRDefault="003445E2" w:rsidP="00983F42">
            <w:pPr>
              <w:spacing w:before="10" w:line="480" w:lineRule="auto"/>
              <w:jc w:val="both"/>
            </w:pPr>
            <w:r>
              <w:t>Demethylated</w:t>
            </w:r>
          </w:p>
        </w:tc>
      </w:tr>
      <w:tr w:rsidR="003445E2" w14:paraId="3E6B636A" w14:textId="77777777" w:rsidTr="003445E2">
        <w:trPr>
          <w:jc w:val="center"/>
        </w:trPr>
        <w:tc>
          <w:tcPr>
            <w:tcW w:w="1075" w:type="dxa"/>
          </w:tcPr>
          <w:p w14:paraId="3A0B3565" w14:textId="0CCED477" w:rsidR="003445E2" w:rsidRDefault="003445E2" w:rsidP="00983F42">
            <w:pPr>
              <w:spacing w:before="10" w:line="480" w:lineRule="auto"/>
              <w:jc w:val="both"/>
            </w:pPr>
            <w:r>
              <w:t>II</w:t>
            </w:r>
          </w:p>
        </w:tc>
        <w:tc>
          <w:tcPr>
            <w:tcW w:w="990" w:type="dxa"/>
          </w:tcPr>
          <w:p w14:paraId="5B0C39A2" w14:textId="5BFA807B" w:rsidR="003445E2" w:rsidRDefault="003445E2" w:rsidP="00983F42">
            <w:pPr>
              <w:spacing w:before="10" w:line="480" w:lineRule="auto"/>
              <w:jc w:val="both"/>
            </w:pPr>
            <w:r>
              <w:t>1</w:t>
            </w:r>
          </w:p>
        </w:tc>
        <w:tc>
          <w:tcPr>
            <w:tcW w:w="990" w:type="dxa"/>
          </w:tcPr>
          <w:p w14:paraId="7F0BE2CD" w14:textId="341FE4D9" w:rsidR="003445E2" w:rsidRDefault="003445E2" w:rsidP="00983F42">
            <w:pPr>
              <w:spacing w:before="10" w:line="480" w:lineRule="auto"/>
              <w:jc w:val="both"/>
            </w:pPr>
            <w:r>
              <w:t>0</w:t>
            </w:r>
          </w:p>
        </w:tc>
        <w:tc>
          <w:tcPr>
            <w:tcW w:w="4425" w:type="dxa"/>
          </w:tcPr>
          <w:p w14:paraId="0608C258" w14:textId="70389ACA" w:rsidR="003445E2" w:rsidRDefault="003445E2" w:rsidP="00983F42">
            <w:pPr>
              <w:spacing w:before="10" w:line="480" w:lineRule="auto"/>
              <w:jc w:val="both"/>
            </w:pPr>
            <w:r>
              <w:t>Fully methylated internal C</w:t>
            </w:r>
          </w:p>
        </w:tc>
      </w:tr>
      <w:tr w:rsidR="003445E2" w14:paraId="68723838" w14:textId="77777777" w:rsidTr="003445E2">
        <w:trPr>
          <w:jc w:val="center"/>
        </w:trPr>
        <w:tc>
          <w:tcPr>
            <w:tcW w:w="1075" w:type="dxa"/>
          </w:tcPr>
          <w:p w14:paraId="38D19EAB" w14:textId="56ADC9BE" w:rsidR="003445E2" w:rsidRDefault="003445E2" w:rsidP="00983F42">
            <w:pPr>
              <w:spacing w:before="10" w:line="480" w:lineRule="auto"/>
              <w:jc w:val="both"/>
            </w:pPr>
            <w:r>
              <w:t>III</w:t>
            </w:r>
          </w:p>
        </w:tc>
        <w:tc>
          <w:tcPr>
            <w:tcW w:w="990" w:type="dxa"/>
          </w:tcPr>
          <w:p w14:paraId="5CC0D2B2" w14:textId="469B1D77" w:rsidR="003445E2" w:rsidRDefault="003445E2" w:rsidP="00983F42">
            <w:pPr>
              <w:spacing w:before="10" w:line="480" w:lineRule="auto"/>
              <w:jc w:val="both"/>
            </w:pPr>
            <w:r>
              <w:t>0</w:t>
            </w:r>
          </w:p>
        </w:tc>
        <w:tc>
          <w:tcPr>
            <w:tcW w:w="990" w:type="dxa"/>
          </w:tcPr>
          <w:p w14:paraId="6C5FE8ED" w14:textId="47C646C1" w:rsidR="003445E2" w:rsidRDefault="003445E2" w:rsidP="00983F42">
            <w:pPr>
              <w:spacing w:before="10" w:line="480" w:lineRule="auto"/>
              <w:jc w:val="both"/>
            </w:pPr>
            <w:r>
              <w:t>1</w:t>
            </w:r>
          </w:p>
        </w:tc>
        <w:tc>
          <w:tcPr>
            <w:tcW w:w="4425" w:type="dxa"/>
          </w:tcPr>
          <w:p w14:paraId="3677CC60" w14:textId="7E9CF808" w:rsidR="003445E2" w:rsidRDefault="003445E2" w:rsidP="003445E2">
            <w:pPr>
              <w:pStyle w:val="NormalWeb"/>
            </w:pPr>
            <w:r>
              <w:rPr>
                <w:rFonts w:ascii="TimesNewRomanPSMT" w:hAnsi="TimesNewRomanPSMT"/>
              </w:rPr>
              <w:t xml:space="preserve">Hemi-methylated external C </w:t>
            </w:r>
          </w:p>
        </w:tc>
      </w:tr>
      <w:tr w:rsidR="003445E2" w14:paraId="1DFD47CB" w14:textId="77777777" w:rsidTr="003445E2">
        <w:trPr>
          <w:jc w:val="center"/>
        </w:trPr>
        <w:tc>
          <w:tcPr>
            <w:tcW w:w="1075" w:type="dxa"/>
          </w:tcPr>
          <w:p w14:paraId="00E3B150" w14:textId="70902FCC" w:rsidR="003445E2" w:rsidRDefault="003445E2" w:rsidP="00983F42">
            <w:pPr>
              <w:spacing w:before="10" w:line="480" w:lineRule="auto"/>
              <w:jc w:val="both"/>
            </w:pPr>
            <w:r>
              <w:t>IV</w:t>
            </w:r>
          </w:p>
        </w:tc>
        <w:tc>
          <w:tcPr>
            <w:tcW w:w="990" w:type="dxa"/>
          </w:tcPr>
          <w:p w14:paraId="3A15EBEE" w14:textId="1C9542DE" w:rsidR="003445E2" w:rsidRDefault="003445E2" w:rsidP="00983F42">
            <w:pPr>
              <w:spacing w:before="10" w:line="480" w:lineRule="auto"/>
              <w:jc w:val="both"/>
            </w:pPr>
            <w:r>
              <w:t>0</w:t>
            </w:r>
          </w:p>
        </w:tc>
        <w:tc>
          <w:tcPr>
            <w:tcW w:w="990" w:type="dxa"/>
          </w:tcPr>
          <w:p w14:paraId="7608E732" w14:textId="2532EF94" w:rsidR="003445E2" w:rsidRDefault="003445E2" w:rsidP="00983F42">
            <w:pPr>
              <w:spacing w:before="10" w:line="480" w:lineRule="auto"/>
              <w:jc w:val="both"/>
            </w:pPr>
            <w:r>
              <w:t>0</w:t>
            </w:r>
          </w:p>
        </w:tc>
        <w:tc>
          <w:tcPr>
            <w:tcW w:w="4425" w:type="dxa"/>
          </w:tcPr>
          <w:p w14:paraId="4E9A5762" w14:textId="34B41A1C" w:rsidR="003445E2" w:rsidRDefault="003445E2" w:rsidP="003445E2">
            <w:pPr>
              <w:pStyle w:val="NormalWeb"/>
            </w:pPr>
            <w:r>
              <w:rPr>
                <w:rFonts w:ascii="TimesNewRomanPSMT" w:hAnsi="TimesNewRomanPSMT"/>
              </w:rPr>
              <w:t>Fully methylated bot</w:t>
            </w:r>
            <w:r>
              <w:rPr>
                <w:rFonts w:ascii="TimesNewRomanPSMT" w:hAnsi="TimesNewRomanPSMT"/>
              </w:rPr>
              <w:t>h C or hemi-methylated internal or external C</w:t>
            </w:r>
            <w:r>
              <w:rPr>
                <w:rFonts w:ascii="TimesNewRomanPSMT" w:hAnsi="TimesNewRomanPSMT"/>
              </w:rPr>
              <w:t xml:space="preserve"> </w:t>
            </w:r>
          </w:p>
        </w:tc>
      </w:tr>
    </w:tbl>
    <w:p w14:paraId="7F6B1AC5" w14:textId="77777777" w:rsidR="003445E2" w:rsidRDefault="003445E2" w:rsidP="00983F42">
      <w:pPr>
        <w:spacing w:before="10" w:line="480" w:lineRule="auto"/>
        <w:jc w:val="both"/>
      </w:pPr>
    </w:p>
    <w:p w14:paraId="2C7C24A4" w14:textId="717100E1" w:rsidR="005955A0" w:rsidRDefault="003445E2" w:rsidP="00983F42">
      <w:pPr>
        <w:spacing w:before="10" w:line="480" w:lineRule="auto"/>
        <w:jc w:val="both"/>
      </w:pPr>
      <w:r>
        <w:t xml:space="preserve">6 </w:t>
      </w:r>
      <w:r w:rsidR="00EA3FFD">
        <w:t>Whole Genome Bisulfite sequencing (</w:t>
      </w:r>
      <w:r>
        <w:t>WGBS</w:t>
      </w:r>
      <w:r w:rsidR="00EA3FFD">
        <w:t>)</w:t>
      </w:r>
    </w:p>
    <w:p w14:paraId="21C0DABF" w14:textId="10D6BDDD" w:rsidR="003445E2" w:rsidRDefault="00EA3FFD" w:rsidP="00983F42">
      <w:pPr>
        <w:spacing w:before="10" w:line="480" w:lineRule="auto"/>
        <w:jc w:val="both"/>
      </w:pPr>
      <w:r>
        <w:t xml:space="preserve">Since </w:t>
      </w:r>
      <w:r>
        <w:t>MSAP</w:t>
      </w:r>
      <w:r w:rsidRPr="003A2ABA">
        <w:t xml:space="preserve"> </w:t>
      </w:r>
      <w:r>
        <w:t xml:space="preserve">does not identify specific sequences and only provides data on a relatively small subset </w:t>
      </w:r>
      <w:r w:rsidRPr="003A2ABA">
        <w:t xml:space="preserve">of </w:t>
      </w:r>
      <w:r>
        <w:t>the genome</w:t>
      </w:r>
      <w:r w:rsidRPr="003A2ABA">
        <w:t>.</w:t>
      </w:r>
      <w:r>
        <w:t xml:space="preserve"> </w:t>
      </w:r>
      <w:r w:rsidR="003445E2">
        <w:t>D</w:t>
      </w:r>
      <w:r>
        <w:t xml:space="preserve">ifferential </w:t>
      </w:r>
      <w:r w:rsidR="003445E2">
        <w:t>M</w:t>
      </w:r>
      <w:r>
        <w:t xml:space="preserve">ethylated </w:t>
      </w:r>
      <w:r w:rsidR="003445E2">
        <w:t>R</w:t>
      </w:r>
      <w:r>
        <w:t>egion</w:t>
      </w:r>
      <w:r w:rsidR="003445E2">
        <w:t>s</w:t>
      </w:r>
      <w:r>
        <w:t xml:space="preserve"> (DMRs)</w:t>
      </w:r>
      <w:r w:rsidR="003445E2" w:rsidRPr="004C67F6">
        <w:t xml:space="preserve"> in the</w:t>
      </w:r>
      <w:r w:rsidR="003445E2">
        <w:t xml:space="preserve"> tomato</w:t>
      </w:r>
      <w:r w:rsidR="003445E2" w:rsidRPr="004C67F6">
        <w:t xml:space="preserve"> genome</w:t>
      </w:r>
      <w:r w:rsidR="003445E2">
        <w:t xml:space="preserve"> will be </w:t>
      </w:r>
      <w:r w:rsidR="003445E2">
        <w:lastRenderedPageBreak/>
        <w:t xml:space="preserve">assessed at a higher resolution with WGBS </w:t>
      </w:r>
      <w:r w:rsidR="003445E2">
        <w:rPr>
          <w:rStyle w:val="EndnoteReference"/>
        </w:rPr>
        <w:endnoteReference w:id="18"/>
      </w:r>
      <w:r w:rsidR="003445E2" w:rsidRPr="00BD28EA">
        <w:rPr>
          <w:vertAlign w:val="superscript"/>
        </w:rPr>
        <w:t>,</w:t>
      </w:r>
      <w:r w:rsidR="003445E2">
        <w:rPr>
          <w:vertAlign w:val="superscript"/>
        </w:rPr>
        <w:t xml:space="preserve"> </w:t>
      </w:r>
      <w:r w:rsidR="003445E2">
        <w:rPr>
          <w:rStyle w:val="EndnoteReference"/>
        </w:rPr>
        <w:endnoteReference w:id="19"/>
      </w:r>
      <w:r w:rsidR="003445E2">
        <w:t xml:space="preserve">. </w:t>
      </w:r>
      <w:r>
        <w:t xml:space="preserve">The data </w:t>
      </w:r>
      <w:r w:rsidR="003445E2">
        <w:t xml:space="preserve">derived from </w:t>
      </w:r>
      <w:r w:rsidR="003445E2" w:rsidRPr="003A2ABA">
        <w:t xml:space="preserve">MSAP and </w:t>
      </w:r>
      <w:bookmarkStart w:id="33" w:name="_GoBack"/>
      <w:bookmarkEnd w:id="33"/>
      <w:r w:rsidR="003445E2" w:rsidRPr="003A2ABA">
        <w:t>WGBS</w:t>
      </w:r>
      <w:r w:rsidR="003445E2">
        <w:t xml:space="preserve"> </w:t>
      </w:r>
      <w:r>
        <w:t xml:space="preserve">will be compared </w:t>
      </w:r>
      <w:r w:rsidR="003445E2">
        <w:t>in overall methylation level.</w:t>
      </w:r>
    </w:p>
    <w:p w14:paraId="648BC946" w14:textId="4F8E8798" w:rsidR="003445E2" w:rsidRDefault="003445E2" w:rsidP="00983F42">
      <w:pPr>
        <w:spacing w:before="10" w:line="480" w:lineRule="auto"/>
        <w:jc w:val="both"/>
      </w:pPr>
      <w:r>
        <w:t>6.1 DNA extraction</w:t>
      </w:r>
    </w:p>
    <w:p w14:paraId="29F4A11F" w14:textId="070AD610" w:rsidR="003445E2" w:rsidRDefault="003445E2" w:rsidP="00983F42">
      <w:pPr>
        <w:spacing w:before="10" w:line="480" w:lineRule="auto"/>
        <w:jc w:val="both"/>
      </w:pPr>
      <w:r>
        <w:t>6.2 Library preparation and sequencing</w:t>
      </w:r>
    </w:p>
    <w:p w14:paraId="008CF94F" w14:textId="101033CC" w:rsidR="003445E2" w:rsidRDefault="003445E2" w:rsidP="00983F42">
      <w:pPr>
        <w:spacing w:before="10" w:line="480" w:lineRule="auto"/>
        <w:jc w:val="both"/>
      </w:pPr>
      <w:r>
        <w:t>6.3 Data analysis</w:t>
      </w:r>
    </w:p>
    <w:p w14:paraId="2B3DE012" w14:textId="3FDF6101" w:rsidR="005955A0" w:rsidRDefault="005955A0" w:rsidP="005955A0">
      <w:r>
        <w:fldChar w:fldCharType="begin"/>
      </w:r>
      <w:r>
        <w:instrText xml:space="preserve"> INCLUDEPICTURE "/var/folders/tt/v2xdzcsn6kb5n5g82z9zjk500000gn/T/com.microsoft.Word/WebArchiveCopyPasteTempFiles/page49image28940288" \* MERGEFORMATINET </w:instrText>
      </w:r>
      <w:r>
        <w:fldChar w:fldCharType="separate"/>
      </w:r>
      <w:r>
        <w:rPr>
          <w:noProof/>
        </w:rPr>
        <w:drawing>
          <wp:inline distT="0" distB="0" distL="0" distR="0" wp14:anchorId="02F92FBA" wp14:editId="035DC872">
            <wp:extent cx="2795270" cy="2743200"/>
            <wp:effectExtent l="0" t="0" r="0" b="0"/>
            <wp:docPr id="4" name="Picture 4" descr="page49image28940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age49image2894028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95270" cy="2743200"/>
                    </a:xfrm>
                    <a:prstGeom prst="rect">
                      <a:avLst/>
                    </a:prstGeom>
                    <a:noFill/>
                    <a:ln>
                      <a:noFill/>
                    </a:ln>
                  </pic:spPr>
                </pic:pic>
              </a:graphicData>
            </a:graphic>
          </wp:inline>
        </w:drawing>
      </w:r>
      <w:r>
        <w:fldChar w:fldCharType="end"/>
      </w:r>
      <w:r>
        <w:fldChar w:fldCharType="begin"/>
      </w:r>
      <w:r>
        <w:instrText xml:space="preserve"> INCLUDEPICTURE "/var/folders/tt/v2xdzcsn6kb5n5g82z9zjk500000gn/T/com.microsoft.Word/WebArchiveCopyPasteTempFiles/page49image28940864" \* MERGEFORMATINET </w:instrText>
      </w:r>
      <w:r>
        <w:fldChar w:fldCharType="separate"/>
      </w:r>
      <w:r>
        <w:rPr>
          <w:noProof/>
        </w:rPr>
        <w:drawing>
          <wp:inline distT="0" distB="0" distL="0" distR="0" wp14:anchorId="2CA8A419" wp14:editId="1EAB55A8">
            <wp:extent cx="1383030" cy="2743200"/>
            <wp:effectExtent l="0" t="0" r="0" b="0"/>
            <wp:docPr id="3" name="Picture 3" descr="page49image28940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age49image2894086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83030" cy="2743200"/>
                    </a:xfrm>
                    <a:prstGeom prst="rect">
                      <a:avLst/>
                    </a:prstGeom>
                    <a:noFill/>
                    <a:ln>
                      <a:noFill/>
                    </a:ln>
                  </pic:spPr>
                </pic:pic>
              </a:graphicData>
            </a:graphic>
          </wp:inline>
        </w:drawing>
      </w:r>
      <w:r>
        <w:fldChar w:fldCharType="end"/>
      </w:r>
    </w:p>
    <w:p w14:paraId="2C747CFC" w14:textId="0BEB8B7E" w:rsidR="005955A0" w:rsidRDefault="005955A0" w:rsidP="00983F42">
      <w:pPr>
        <w:spacing w:before="10" w:line="480" w:lineRule="auto"/>
        <w:jc w:val="both"/>
      </w:pPr>
    </w:p>
    <w:p w14:paraId="6653203C" w14:textId="1E08983B" w:rsidR="005955A0" w:rsidRDefault="005955A0" w:rsidP="00983F42">
      <w:pPr>
        <w:spacing w:before="10" w:line="480" w:lineRule="auto"/>
        <w:jc w:val="both"/>
      </w:pPr>
    </w:p>
    <w:p w14:paraId="27E102E4" w14:textId="77777777" w:rsidR="00F04EC6" w:rsidRDefault="00F04EC6" w:rsidP="00983F42">
      <w:pPr>
        <w:spacing w:before="10" w:line="480" w:lineRule="auto"/>
        <w:jc w:val="both"/>
      </w:pPr>
    </w:p>
    <w:p w14:paraId="2502E64C" w14:textId="77777777" w:rsidR="00983F42" w:rsidRDefault="00983F42" w:rsidP="00983F42">
      <w:pPr>
        <w:spacing w:before="10" w:line="480" w:lineRule="auto"/>
        <w:jc w:val="both"/>
      </w:pPr>
    </w:p>
    <w:p w14:paraId="3F53C1C4" w14:textId="77777777" w:rsidR="00983F42" w:rsidRDefault="00983F42" w:rsidP="007748F3">
      <w:pPr>
        <w:spacing w:before="10" w:line="480" w:lineRule="auto"/>
        <w:jc w:val="both"/>
      </w:pPr>
    </w:p>
    <w:p w14:paraId="24842946" w14:textId="77777777" w:rsidR="000610E3" w:rsidRDefault="000610E3" w:rsidP="007748F3">
      <w:pPr>
        <w:spacing w:before="10" w:line="480" w:lineRule="auto"/>
        <w:jc w:val="both"/>
      </w:pPr>
    </w:p>
    <w:p w14:paraId="0C755827" w14:textId="77777777" w:rsidR="00EB5B34" w:rsidRDefault="00EB5B34" w:rsidP="007748F3">
      <w:pPr>
        <w:spacing w:before="10" w:line="480" w:lineRule="auto"/>
        <w:jc w:val="both"/>
      </w:pPr>
    </w:p>
    <w:p w14:paraId="74157848" w14:textId="77777777" w:rsidR="007748F3" w:rsidRDefault="007748F3"/>
    <w:p w14:paraId="0F0F7D62" w14:textId="6049E1E1" w:rsidR="00EC5AAD" w:rsidRDefault="00EC5AAD"/>
    <w:p w14:paraId="0D6B674F" w14:textId="6C66EAC2" w:rsidR="00EC5AAD" w:rsidRDefault="00EC5AAD"/>
    <w:p w14:paraId="434902FF" w14:textId="77777777" w:rsidR="00EC5AAD" w:rsidRPr="008F4EA2" w:rsidRDefault="00EC5AAD"/>
    <w:p w14:paraId="6F7843B0" w14:textId="59F4FF51" w:rsidR="000C598A" w:rsidRPr="00C44590" w:rsidRDefault="000C598A" w:rsidP="008F4EA2"/>
    <w:sectPr w:rsidR="000C598A" w:rsidRPr="00C44590" w:rsidSect="00EB5B34">
      <w:endnotePr>
        <w:numFmt w:val="decimal"/>
      </w:endnotePr>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B03A22" w14:textId="77777777" w:rsidR="00994D74" w:rsidRDefault="00994D74" w:rsidP="00674FF7">
      <w:r>
        <w:separator/>
      </w:r>
    </w:p>
  </w:endnote>
  <w:endnote w:type="continuationSeparator" w:id="0">
    <w:p w14:paraId="7D18E1EC" w14:textId="77777777" w:rsidR="00994D74" w:rsidRDefault="00994D74" w:rsidP="00674FF7">
      <w:r>
        <w:continuationSeparator/>
      </w:r>
    </w:p>
  </w:endnote>
  <w:endnote w:id="1">
    <w:p w14:paraId="685FAAB8" w14:textId="77777777" w:rsidR="00B8434C" w:rsidRPr="00EB5B34" w:rsidRDefault="00B8434C" w:rsidP="00EB5B34">
      <w:pPr>
        <w:pStyle w:val="EndnoteText"/>
        <w:spacing w:line="480" w:lineRule="auto"/>
        <w:rPr>
          <w:color w:val="000000" w:themeColor="text1"/>
          <w:sz w:val="24"/>
          <w:szCs w:val="24"/>
        </w:rPr>
      </w:pPr>
      <w:r w:rsidRPr="00EB5B34">
        <w:rPr>
          <w:rStyle w:val="EndnoteReference"/>
          <w:color w:val="000000" w:themeColor="text1"/>
          <w:sz w:val="24"/>
          <w:szCs w:val="24"/>
        </w:rPr>
        <w:endnoteRef/>
      </w:r>
      <w:r w:rsidRPr="00EB5B34">
        <w:rPr>
          <w:color w:val="000000" w:themeColor="text1"/>
          <w:sz w:val="24"/>
          <w:szCs w:val="24"/>
        </w:rPr>
        <w:t xml:space="preserve"> Sun, Hyeon-</w:t>
      </w:r>
      <w:proofErr w:type="spellStart"/>
      <w:r w:rsidRPr="00EB5B34">
        <w:rPr>
          <w:color w:val="000000" w:themeColor="text1"/>
          <w:sz w:val="24"/>
          <w:szCs w:val="24"/>
        </w:rPr>
        <w:t>Jin</w:t>
      </w:r>
      <w:proofErr w:type="spellEnd"/>
      <w:r w:rsidRPr="00EB5B34">
        <w:rPr>
          <w:color w:val="000000" w:themeColor="text1"/>
          <w:sz w:val="24"/>
          <w:szCs w:val="24"/>
        </w:rPr>
        <w:t xml:space="preserve">, and Sayaka </w:t>
      </w:r>
      <w:proofErr w:type="spellStart"/>
      <w:r w:rsidRPr="00EB5B34">
        <w:rPr>
          <w:color w:val="000000" w:themeColor="text1"/>
          <w:sz w:val="24"/>
          <w:szCs w:val="24"/>
        </w:rPr>
        <w:t>Uchii</w:t>
      </w:r>
      <w:proofErr w:type="spellEnd"/>
      <w:r w:rsidRPr="00EB5B34">
        <w:rPr>
          <w:color w:val="000000" w:themeColor="text1"/>
          <w:sz w:val="24"/>
          <w:szCs w:val="24"/>
        </w:rPr>
        <w:t>. “A Highly Efficient Transformation Protocol for Micro-Tom, a Model Cultivar for Tomato Functional Genomics.” Plant and Cell Physiology, vol. 47, no. 3, 2006, pp. 426–431.</w:t>
      </w:r>
    </w:p>
  </w:endnote>
  <w:endnote w:id="2">
    <w:p w14:paraId="392533C7" w14:textId="77777777" w:rsidR="00B8434C" w:rsidRPr="00EB5B34" w:rsidRDefault="00B8434C" w:rsidP="00EB5B34">
      <w:pPr>
        <w:pStyle w:val="EndnoteText"/>
        <w:spacing w:line="480" w:lineRule="auto"/>
        <w:rPr>
          <w:sz w:val="24"/>
          <w:szCs w:val="24"/>
        </w:rPr>
      </w:pPr>
      <w:r w:rsidRPr="00EB5B34">
        <w:rPr>
          <w:rStyle w:val="EndnoteReference"/>
          <w:sz w:val="24"/>
          <w:szCs w:val="24"/>
        </w:rPr>
        <w:endnoteRef/>
      </w:r>
      <w:r w:rsidRPr="00EB5B34">
        <w:rPr>
          <w:sz w:val="24"/>
          <w:szCs w:val="24"/>
        </w:rPr>
        <w:t xml:space="preserve"> Saito, Takeshi, et al. “TOMATOMA: A Novel Tomato Mutant Database Distributing Micro-Tom Mutant Collections.” Plant and Cell Physiology, vol. 52, no. 2, 2011, pp. 283–296.</w:t>
      </w:r>
    </w:p>
  </w:endnote>
  <w:endnote w:id="3">
    <w:p w14:paraId="63403873" w14:textId="77777777" w:rsidR="00B8434C" w:rsidRPr="00EB5B34" w:rsidRDefault="00B8434C" w:rsidP="00EB5B34">
      <w:pPr>
        <w:pStyle w:val="EndnoteText"/>
        <w:spacing w:line="480" w:lineRule="auto"/>
        <w:rPr>
          <w:sz w:val="24"/>
          <w:szCs w:val="24"/>
        </w:rPr>
      </w:pPr>
      <w:r w:rsidRPr="00EB5B34">
        <w:rPr>
          <w:rStyle w:val="EndnoteReference"/>
          <w:sz w:val="24"/>
          <w:szCs w:val="24"/>
        </w:rPr>
        <w:endnoteRef/>
      </w:r>
      <w:r w:rsidRPr="00EB5B34">
        <w:rPr>
          <w:sz w:val="24"/>
          <w:szCs w:val="24"/>
        </w:rPr>
        <w:t xml:space="preserve"> Chetty, V., et al. “Evaluation of Four Agrobacterium Tumefaciens Strains for the Genetic Transformation of Tomato (Solanum </w:t>
      </w:r>
      <w:proofErr w:type="spellStart"/>
      <w:r w:rsidRPr="00EB5B34">
        <w:rPr>
          <w:sz w:val="24"/>
          <w:szCs w:val="24"/>
        </w:rPr>
        <w:t>Lycopersicum</w:t>
      </w:r>
      <w:proofErr w:type="spellEnd"/>
      <w:r w:rsidRPr="00EB5B34">
        <w:rPr>
          <w:sz w:val="24"/>
          <w:szCs w:val="24"/>
        </w:rPr>
        <w:t xml:space="preserve"> L.) Cultivar Micro-Tom.” Plant Cell Reports, vol. 32, no. 2, 2013, pp. 239–247.</w:t>
      </w:r>
    </w:p>
  </w:endnote>
  <w:endnote w:id="4">
    <w:p w14:paraId="31C287D8" w14:textId="77777777" w:rsidR="00B8434C" w:rsidRPr="00EB5B34" w:rsidRDefault="00B8434C" w:rsidP="00EB5B34">
      <w:pPr>
        <w:pStyle w:val="EndnoteText"/>
        <w:spacing w:line="480" w:lineRule="auto"/>
        <w:rPr>
          <w:sz w:val="24"/>
          <w:szCs w:val="24"/>
        </w:rPr>
      </w:pPr>
      <w:r w:rsidRPr="00EB5B34">
        <w:rPr>
          <w:rStyle w:val="EndnoteReference"/>
          <w:sz w:val="24"/>
          <w:szCs w:val="24"/>
        </w:rPr>
        <w:endnoteRef/>
      </w:r>
      <w:r w:rsidRPr="00EB5B34">
        <w:rPr>
          <w:sz w:val="24"/>
          <w:szCs w:val="24"/>
        </w:rPr>
        <w:t xml:space="preserve"> Ayami Takizawa, et al. “Regulatory Specialization of Xyloglucan (XG) and Glucuronoarabinoxylan (GAX) in Pericarp Cell Walls during Fruit Ripening in Tomato (Solanum </w:t>
      </w:r>
      <w:proofErr w:type="spellStart"/>
      <w:r w:rsidRPr="00EB5B34">
        <w:rPr>
          <w:sz w:val="24"/>
          <w:szCs w:val="24"/>
        </w:rPr>
        <w:t>Lycopersicum</w:t>
      </w:r>
      <w:proofErr w:type="spellEnd"/>
      <w:r w:rsidRPr="00EB5B34">
        <w:rPr>
          <w:sz w:val="24"/>
          <w:szCs w:val="24"/>
        </w:rPr>
        <w:t xml:space="preserve">).” </w:t>
      </w:r>
      <w:proofErr w:type="spellStart"/>
      <w:r w:rsidRPr="00EB5B34">
        <w:rPr>
          <w:sz w:val="24"/>
          <w:szCs w:val="24"/>
        </w:rPr>
        <w:t>PLoS</w:t>
      </w:r>
      <w:proofErr w:type="spellEnd"/>
      <w:r w:rsidRPr="00EB5B34">
        <w:rPr>
          <w:sz w:val="24"/>
          <w:szCs w:val="24"/>
        </w:rPr>
        <w:t xml:space="preserve"> ONE, vol. 9, no. 2, 2014, p. e89871.</w:t>
      </w:r>
    </w:p>
  </w:endnote>
  <w:endnote w:id="5">
    <w:p w14:paraId="59192DE6" w14:textId="32FE47D0" w:rsidR="00B8434C" w:rsidRPr="00EB5B34" w:rsidRDefault="00B8434C" w:rsidP="00EB5B34">
      <w:pPr>
        <w:pStyle w:val="EndnoteText"/>
        <w:spacing w:line="480" w:lineRule="auto"/>
        <w:rPr>
          <w:sz w:val="24"/>
          <w:szCs w:val="24"/>
        </w:rPr>
      </w:pPr>
      <w:r w:rsidRPr="00EB5B34">
        <w:rPr>
          <w:rStyle w:val="EndnoteReference"/>
          <w:sz w:val="24"/>
          <w:szCs w:val="24"/>
        </w:rPr>
        <w:endnoteRef/>
      </w:r>
      <w:r w:rsidRPr="00EB5B34">
        <w:rPr>
          <w:sz w:val="24"/>
          <w:szCs w:val="24"/>
        </w:rPr>
        <w:t xml:space="preserve"> </w:t>
      </w:r>
      <w:proofErr w:type="spellStart"/>
      <w:r w:rsidRPr="00EB5B34">
        <w:rPr>
          <w:sz w:val="24"/>
          <w:szCs w:val="24"/>
        </w:rPr>
        <w:t>Mclellan</w:t>
      </w:r>
      <w:proofErr w:type="spellEnd"/>
      <w:r w:rsidRPr="00EB5B34">
        <w:rPr>
          <w:sz w:val="24"/>
          <w:szCs w:val="24"/>
        </w:rPr>
        <w:t xml:space="preserve">, M. R., et al. “HUE ANGLE DETERMINATIONS AND STATISTICAL ANALYSIS FOR MULTIQUADRANT HUNTER </w:t>
      </w:r>
      <w:proofErr w:type="spellStart"/>
      <w:proofErr w:type="gramStart"/>
      <w:r w:rsidRPr="00EB5B34">
        <w:rPr>
          <w:sz w:val="24"/>
          <w:szCs w:val="24"/>
        </w:rPr>
        <w:t>L,a</w:t>
      </w:r>
      <w:proofErr w:type="gramEnd"/>
      <w:r w:rsidRPr="00EB5B34">
        <w:rPr>
          <w:sz w:val="24"/>
          <w:szCs w:val="24"/>
        </w:rPr>
        <w:t>,b</w:t>
      </w:r>
      <w:proofErr w:type="spellEnd"/>
      <w:r w:rsidRPr="00EB5B34">
        <w:rPr>
          <w:sz w:val="24"/>
          <w:szCs w:val="24"/>
        </w:rPr>
        <w:t xml:space="preserve"> DATA.” Journal of Food Quality, vol. 18, no. 3, 1995, pp. 235–240.</w:t>
      </w:r>
    </w:p>
  </w:endnote>
  <w:endnote w:id="6">
    <w:p w14:paraId="2D49689F" w14:textId="6D0FCCDD" w:rsidR="00B8434C" w:rsidRPr="00EB5B34" w:rsidRDefault="00B8434C" w:rsidP="00EB5B34">
      <w:pPr>
        <w:pStyle w:val="EndnoteText"/>
        <w:spacing w:line="480" w:lineRule="auto"/>
        <w:rPr>
          <w:sz w:val="24"/>
          <w:szCs w:val="24"/>
        </w:rPr>
      </w:pPr>
      <w:r w:rsidRPr="00EB5B34">
        <w:rPr>
          <w:rStyle w:val="EndnoteReference"/>
          <w:sz w:val="24"/>
          <w:szCs w:val="24"/>
        </w:rPr>
        <w:endnoteRef/>
      </w:r>
      <w:r w:rsidRPr="00EB5B34">
        <w:rPr>
          <w:sz w:val="24"/>
          <w:szCs w:val="24"/>
        </w:rPr>
        <w:t xml:space="preserve"> </w:t>
      </w:r>
      <w:bookmarkStart w:id="10" w:name="OLE_LINK122"/>
      <w:bookmarkStart w:id="11" w:name="OLE_LINK123"/>
      <w:r w:rsidRPr="00EB5B34">
        <w:rPr>
          <w:color w:val="000000" w:themeColor="text1"/>
          <w:sz w:val="24"/>
          <w:szCs w:val="24"/>
        </w:rPr>
        <w:t>Miller</w:t>
      </w:r>
      <w:bookmarkEnd w:id="10"/>
      <w:bookmarkEnd w:id="11"/>
      <w:r w:rsidRPr="00EB5B34">
        <w:rPr>
          <w:color w:val="000000" w:themeColor="text1"/>
          <w:sz w:val="24"/>
          <w:szCs w:val="24"/>
        </w:rPr>
        <w:t xml:space="preserve">, Gail Lorenz L. “Use of </w:t>
      </w:r>
      <w:proofErr w:type="spellStart"/>
      <w:r w:rsidRPr="00EB5B34">
        <w:rPr>
          <w:color w:val="000000" w:themeColor="text1"/>
          <w:sz w:val="24"/>
          <w:szCs w:val="24"/>
        </w:rPr>
        <w:t>Dinitrosalicylic</w:t>
      </w:r>
      <w:proofErr w:type="spellEnd"/>
      <w:r w:rsidRPr="00EB5B34">
        <w:rPr>
          <w:color w:val="000000" w:themeColor="text1"/>
          <w:sz w:val="24"/>
          <w:szCs w:val="24"/>
        </w:rPr>
        <w:t xml:space="preserve"> Acid Reagent for Determination of Reducing Sugar.” Analytical Chemistry, vol. 31, no. 3, 1959, pp. 426–428.</w:t>
      </w:r>
    </w:p>
  </w:endnote>
  <w:endnote w:id="7">
    <w:p w14:paraId="79497102" w14:textId="11257413" w:rsidR="00B8434C" w:rsidRPr="00EB5B34" w:rsidRDefault="00B8434C" w:rsidP="00EB5B34">
      <w:pPr>
        <w:pStyle w:val="EndnoteText"/>
        <w:spacing w:line="480" w:lineRule="auto"/>
        <w:rPr>
          <w:sz w:val="24"/>
          <w:szCs w:val="24"/>
        </w:rPr>
      </w:pPr>
      <w:r w:rsidRPr="00EB5B34">
        <w:rPr>
          <w:rStyle w:val="EndnoteReference"/>
          <w:sz w:val="24"/>
          <w:szCs w:val="24"/>
        </w:rPr>
        <w:endnoteRef/>
      </w:r>
      <w:r w:rsidRPr="00EB5B34">
        <w:rPr>
          <w:sz w:val="24"/>
          <w:szCs w:val="24"/>
        </w:rPr>
        <w:t xml:space="preserve"> Alison M Smith, and Samuel C Zeeman. “Quantification of Starch in Plant Tissues.” Nature Protocols, vol. 1, no. 3, 2006, pp. 1342–135.</w:t>
      </w:r>
    </w:p>
  </w:endnote>
  <w:endnote w:id="8">
    <w:p w14:paraId="3C835D9B" w14:textId="0E7A92A6" w:rsidR="00B8434C" w:rsidRPr="00EB5B34" w:rsidRDefault="00B8434C" w:rsidP="00EB5B34">
      <w:pPr>
        <w:pStyle w:val="EndnoteText"/>
        <w:spacing w:line="480" w:lineRule="auto"/>
        <w:rPr>
          <w:sz w:val="24"/>
          <w:szCs w:val="24"/>
        </w:rPr>
      </w:pPr>
      <w:bookmarkStart w:id="14" w:name="OLE_LINK72"/>
      <w:bookmarkStart w:id="15" w:name="OLE_LINK73"/>
      <w:r w:rsidRPr="00EB5B34">
        <w:rPr>
          <w:rStyle w:val="EndnoteReference"/>
          <w:sz w:val="24"/>
          <w:szCs w:val="24"/>
        </w:rPr>
        <w:endnoteRef/>
      </w:r>
      <w:r w:rsidRPr="00EB5B34">
        <w:rPr>
          <w:sz w:val="24"/>
          <w:szCs w:val="24"/>
        </w:rPr>
        <w:t xml:space="preserve"> </w:t>
      </w:r>
      <w:bookmarkEnd w:id="14"/>
      <w:bookmarkEnd w:id="15"/>
      <w:proofErr w:type="spellStart"/>
      <w:r w:rsidRPr="00EB5B34">
        <w:rPr>
          <w:sz w:val="24"/>
          <w:szCs w:val="24"/>
        </w:rPr>
        <w:t>Marone</w:t>
      </w:r>
      <w:proofErr w:type="spellEnd"/>
      <w:r w:rsidRPr="00EB5B34">
        <w:rPr>
          <w:sz w:val="24"/>
          <w:szCs w:val="24"/>
        </w:rPr>
        <w:t>, Maria, et al. “Semiquantitative RT-PCR Analysis to Assess the Expression Levels of Multiple Transcripts from the Same Sample.” Biological Procedures Online, vol. 3, 2001, pp. 19–25.</w:t>
      </w:r>
    </w:p>
  </w:endnote>
  <w:endnote w:id="9">
    <w:p w14:paraId="37B106CD" w14:textId="71111EF0" w:rsidR="00B8434C" w:rsidRPr="00EB5B34" w:rsidRDefault="00B8434C" w:rsidP="00EB5B34">
      <w:pPr>
        <w:pStyle w:val="EndnoteText"/>
        <w:spacing w:line="480" w:lineRule="auto"/>
        <w:rPr>
          <w:sz w:val="24"/>
          <w:szCs w:val="24"/>
        </w:rPr>
      </w:pPr>
      <w:r w:rsidRPr="00EB5B34">
        <w:rPr>
          <w:rStyle w:val="EndnoteReference"/>
          <w:sz w:val="24"/>
          <w:szCs w:val="24"/>
        </w:rPr>
        <w:endnoteRef/>
      </w:r>
      <w:r w:rsidRPr="00EB5B34">
        <w:rPr>
          <w:sz w:val="24"/>
          <w:szCs w:val="24"/>
        </w:rPr>
        <w:t xml:space="preserve"> Romero </w:t>
      </w:r>
      <w:proofErr w:type="spellStart"/>
      <w:r w:rsidRPr="00EB5B34">
        <w:rPr>
          <w:sz w:val="24"/>
          <w:szCs w:val="24"/>
        </w:rPr>
        <w:t>Romero</w:t>
      </w:r>
      <w:proofErr w:type="spellEnd"/>
      <w:r w:rsidRPr="00EB5B34">
        <w:rPr>
          <w:sz w:val="24"/>
          <w:szCs w:val="24"/>
        </w:rPr>
        <w:t xml:space="preserve">, María Del Mar, et al. “Semiquantitative RT-PCR Measurement of Gene Expression in Rat Tissues Including a Correction for Varying Cell Size and Number.” Nutrition &amp; Metabolism, 2007, pp. Nutrition &amp; Metabolism, 2007, vol. 4, </w:t>
      </w:r>
      <w:proofErr w:type="spellStart"/>
      <w:r w:rsidRPr="00EB5B34">
        <w:rPr>
          <w:sz w:val="24"/>
          <w:szCs w:val="24"/>
        </w:rPr>
        <w:t>núm</w:t>
      </w:r>
      <w:proofErr w:type="spellEnd"/>
      <w:r w:rsidRPr="00EB5B34">
        <w:rPr>
          <w:sz w:val="24"/>
          <w:szCs w:val="24"/>
        </w:rPr>
        <w:t>. 26.</w:t>
      </w:r>
    </w:p>
  </w:endnote>
  <w:endnote w:id="10">
    <w:p w14:paraId="5D73B41E" w14:textId="78E7D9AF" w:rsidR="00B8434C" w:rsidRPr="00EB5B34" w:rsidRDefault="00B8434C" w:rsidP="00EB5B34">
      <w:pPr>
        <w:pStyle w:val="EndnoteText"/>
        <w:spacing w:line="480" w:lineRule="auto"/>
        <w:rPr>
          <w:sz w:val="24"/>
          <w:szCs w:val="24"/>
        </w:rPr>
      </w:pPr>
      <w:r w:rsidRPr="00EB5B34">
        <w:rPr>
          <w:rStyle w:val="EndnoteReference"/>
          <w:sz w:val="24"/>
          <w:szCs w:val="24"/>
        </w:rPr>
        <w:endnoteRef/>
      </w:r>
      <w:r w:rsidRPr="00EB5B34">
        <w:rPr>
          <w:sz w:val="24"/>
          <w:szCs w:val="24"/>
        </w:rPr>
        <w:t xml:space="preserve"> Veronesi, et al. “Implicating </w:t>
      </w:r>
      <w:proofErr w:type="spellStart"/>
      <w:r w:rsidRPr="00EB5B34">
        <w:rPr>
          <w:sz w:val="24"/>
          <w:szCs w:val="24"/>
        </w:rPr>
        <w:t>Culicoides</w:t>
      </w:r>
      <w:proofErr w:type="spellEnd"/>
      <w:r w:rsidRPr="00EB5B34">
        <w:rPr>
          <w:sz w:val="24"/>
          <w:szCs w:val="24"/>
        </w:rPr>
        <w:t xml:space="preserve"> Biting Midges as Vectors of </w:t>
      </w:r>
      <w:proofErr w:type="spellStart"/>
      <w:r w:rsidRPr="00EB5B34">
        <w:rPr>
          <w:sz w:val="24"/>
          <w:szCs w:val="24"/>
        </w:rPr>
        <w:t>Schmallenberg</w:t>
      </w:r>
      <w:proofErr w:type="spellEnd"/>
      <w:r w:rsidRPr="00EB5B34">
        <w:rPr>
          <w:sz w:val="24"/>
          <w:szCs w:val="24"/>
        </w:rPr>
        <w:t xml:space="preserve"> Virus Using Semi-Quantitative RT-PCR.” </w:t>
      </w:r>
      <w:proofErr w:type="spellStart"/>
      <w:r w:rsidRPr="00EB5B34">
        <w:rPr>
          <w:sz w:val="24"/>
          <w:szCs w:val="24"/>
        </w:rPr>
        <w:t>PLoS</w:t>
      </w:r>
      <w:proofErr w:type="spellEnd"/>
      <w:r w:rsidRPr="00EB5B34">
        <w:rPr>
          <w:sz w:val="24"/>
          <w:szCs w:val="24"/>
        </w:rPr>
        <w:t xml:space="preserve"> ONE, vol. 8, no. 3, 2013, p. e57747.</w:t>
      </w:r>
    </w:p>
  </w:endnote>
  <w:endnote w:id="11">
    <w:p w14:paraId="645CFF83" w14:textId="79AAF82C" w:rsidR="00B8434C" w:rsidRPr="00EB5B34" w:rsidRDefault="00B8434C" w:rsidP="00EB5B34">
      <w:pPr>
        <w:spacing w:line="480" w:lineRule="auto"/>
        <w:rPr>
          <w:color w:val="000000" w:themeColor="text1"/>
        </w:rPr>
      </w:pPr>
      <w:r w:rsidRPr="00EB5B34">
        <w:rPr>
          <w:rStyle w:val="EndnoteReference"/>
        </w:rPr>
        <w:endnoteRef/>
      </w:r>
      <w:r w:rsidRPr="00EB5B34">
        <w:t xml:space="preserve"> </w:t>
      </w:r>
      <w:r w:rsidRPr="00EB5B34">
        <w:rPr>
          <w:color w:val="000000" w:themeColor="text1"/>
        </w:rPr>
        <w:t>Li, Ling, et al. “The Regulation Mode of RIN Transcription Factor Involved in Ethylene Biosynthesis in Tomato Fruit.” Journal of the Science of Food and Agriculture, vol. 91, no. 10, 2011, pp. 1822–8.</w:t>
      </w:r>
    </w:p>
  </w:endnote>
  <w:endnote w:id="12">
    <w:p w14:paraId="26D5281F" w14:textId="77777777" w:rsidR="00B8434C" w:rsidRPr="00EB5B34" w:rsidRDefault="00B8434C" w:rsidP="00EB5B34">
      <w:pPr>
        <w:pStyle w:val="PlainText"/>
        <w:spacing w:line="480" w:lineRule="auto"/>
        <w:jc w:val="both"/>
        <w:rPr>
          <w:rFonts w:ascii="Times New Roman" w:hAnsi="Times New Roman" w:cs="Times New Roman"/>
          <w:sz w:val="24"/>
          <w:szCs w:val="24"/>
        </w:rPr>
      </w:pPr>
      <w:r w:rsidRPr="00EB5B34">
        <w:rPr>
          <w:rStyle w:val="EndnoteReference"/>
          <w:rFonts w:ascii="Times New Roman" w:hAnsi="Times New Roman" w:cs="Times New Roman"/>
          <w:sz w:val="24"/>
          <w:szCs w:val="24"/>
        </w:rPr>
        <w:endnoteRef/>
      </w:r>
      <w:r w:rsidRPr="00EB5B34">
        <w:rPr>
          <w:rFonts w:ascii="Times New Roman" w:hAnsi="Times New Roman" w:cs="Times New Roman"/>
          <w:sz w:val="24"/>
          <w:szCs w:val="24"/>
        </w:rPr>
        <w:t xml:space="preserve">Yan </w:t>
      </w:r>
      <w:proofErr w:type="spellStart"/>
      <w:r w:rsidRPr="00EB5B34">
        <w:rPr>
          <w:rFonts w:ascii="Times New Roman" w:hAnsi="Times New Roman" w:cs="Times New Roman"/>
          <w:sz w:val="24"/>
          <w:szCs w:val="24"/>
        </w:rPr>
        <w:t>Jiuying</w:t>
      </w:r>
      <w:proofErr w:type="spellEnd"/>
      <w:r w:rsidRPr="00EB5B34">
        <w:rPr>
          <w:rFonts w:ascii="Times New Roman" w:hAnsi="Times New Roman" w:cs="Times New Roman"/>
          <w:sz w:val="24"/>
          <w:szCs w:val="24"/>
        </w:rPr>
        <w:t>. “A Modified CTAB Method for Genomic DNA Extraction from Apple Fruit.” Molecular Plant Breeding, 11 May 2018.</w:t>
      </w:r>
    </w:p>
  </w:endnote>
  <w:endnote w:id="13">
    <w:p w14:paraId="0BBC14E8" w14:textId="2EFFA912" w:rsidR="00B8434C" w:rsidRPr="00EB5B34" w:rsidRDefault="00B8434C" w:rsidP="00EB5B34">
      <w:pPr>
        <w:pStyle w:val="EndnoteText"/>
        <w:spacing w:line="480" w:lineRule="auto"/>
        <w:rPr>
          <w:color w:val="000000" w:themeColor="text1"/>
          <w:sz w:val="24"/>
          <w:szCs w:val="24"/>
        </w:rPr>
      </w:pPr>
      <w:r w:rsidRPr="00EB5B34">
        <w:rPr>
          <w:rStyle w:val="EndnoteReference"/>
          <w:sz w:val="24"/>
          <w:szCs w:val="24"/>
        </w:rPr>
        <w:endnoteRef/>
      </w:r>
      <w:r w:rsidRPr="00EB5B34">
        <w:rPr>
          <w:sz w:val="24"/>
          <w:szCs w:val="24"/>
        </w:rPr>
        <w:t xml:space="preserve"> </w:t>
      </w:r>
      <w:r w:rsidRPr="00EB5B34">
        <w:rPr>
          <w:color w:val="000000" w:themeColor="text1"/>
          <w:sz w:val="24"/>
          <w:szCs w:val="24"/>
        </w:rPr>
        <w:t xml:space="preserve">Healey, Adam, et al. “Protocol: </w:t>
      </w:r>
      <w:proofErr w:type="gramStart"/>
      <w:r w:rsidRPr="00EB5B34">
        <w:rPr>
          <w:color w:val="000000" w:themeColor="text1"/>
          <w:sz w:val="24"/>
          <w:szCs w:val="24"/>
        </w:rPr>
        <w:t>a</w:t>
      </w:r>
      <w:proofErr w:type="gramEnd"/>
      <w:r w:rsidRPr="00EB5B34">
        <w:rPr>
          <w:color w:val="000000" w:themeColor="text1"/>
          <w:sz w:val="24"/>
          <w:szCs w:val="24"/>
        </w:rPr>
        <w:t xml:space="preserve"> Simple Method for Extracting next-Generation Sequencing Quality Genomic DNA from Recalcitrant Plant Species.” Plant Methods, vol. 10, no. 1, 2014, p.</w:t>
      </w:r>
    </w:p>
  </w:endnote>
  <w:endnote w:id="14">
    <w:p w14:paraId="5A70ECCD" w14:textId="77777777" w:rsidR="00B8434C" w:rsidRPr="00EB5B34" w:rsidRDefault="00B8434C" w:rsidP="00EB5B34">
      <w:pPr>
        <w:pStyle w:val="EndnoteText"/>
        <w:spacing w:line="480" w:lineRule="auto"/>
        <w:rPr>
          <w:color w:val="000000" w:themeColor="text1"/>
          <w:sz w:val="24"/>
          <w:szCs w:val="24"/>
        </w:rPr>
      </w:pPr>
      <w:r w:rsidRPr="00EB5B34">
        <w:rPr>
          <w:rStyle w:val="EndnoteReference"/>
          <w:color w:val="000000" w:themeColor="text1"/>
          <w:sz w:val="24"/>
          <w:szCs w:val="24"/>
        </w:rPr>
        <w:endnoteRef/>
      </w:r>
      <w:r w:rsidRPr="00EB5B34">
        <w:rPr>
          <w:color w:val="000000" w:themeColor="text1"/>
          <w:sz w:val="24"/>
          <w:szCs w:val="24"/>
        </w:rPr>
        <w:t xml:space="preserve"> </w:t>
      </w:r>
      <w:proofErr w:type="spellStart"/>
      <w:r w:rsidRPr="00EB5B34">
        <w:rPr>
          <w:color w:val="000000" w:themeColor="text1"/>
          <w:sz w:val="24"/>
          <w:szCs w:val="24"/>
        </w:rPr>
        <w:t>Yaish</w:t>
      </w:r>
      <w:proofErr w:type="spellEnd"/>
      <w:r w:rsidRPr="00EB5B34">
        <w:rPr>
          <w:color w:val="000000" w:themeColor="text1"/>
          <w:sz w:val="24"/>
          <w:szCs w:val="24"/>
        </w:rPr>
        <w:t>, Mahmoud W, et al. “Global DNA Methylation Analysis Using Methyl-Sensitive Amplification Polymorphism (MSAP).” Methods in Molecular Biology (Clifton, N.J.), vol. 1062, 2014, pp. 285–98.</w:t>
      </w:r>
    </w:p>
  </w:endnote>
  <w:endnote w:id="15">
    <w:p w14:paraId="39394F83" w14:textId="77777777" w:rsidR="00B8434C" w:rsidRPr="00EB5B34" w:rsidRDefault="00B8434C" w:rsidP="00EB5B34">
      <w:pPr>
        <w:pStyle w:val="EndnoteText"/>
        <w:spacing w:line="480" w:lineRule="auto"/>
        <w:rPr>
          <w:sz w:val="24"/>
          <w:szCs w:val="24"/>
        </w:rPr>
      </w:pPr>
      <w:bookmarkStart w:id="27" w:name="OLE_LINK278"/>
      <w:bookmarkStart w:id="28" w:name="OLE_LINK279"/>
      <w:r w:rsidRPr="00EB5B34">
        <w:rPr>
          <w:rStyle w:val="EndnoteReference"/>
          <w:sz w:val="24"/>
          <w:szCs w:val="24"/>
        </w:rPr>
        <w:endnoteRef/>
      </w:r>
      <w:r w:rsidRPr="00EB5B34">
        <w:rPr>
          <w:sz w:val="24"/>
          <w:szCs w:val="24"/>
        </w:rPr>
        <w:t xml:space="preserve"> Chen, et al. “Chilling-Stress Modifies DNA Methylation Level in Cucumber (Cucumis Sativus L.) Seedling Radicle to Regulate Elongation Rate.” Scientia </w:t>
      </w:r>
      <w:proofErr w:type="spellStart"/>
      <w:r w:rsidRPr="00EB5B34">
        <w:rPr>
          <w:sz w:val="24"/>
          <w:szCs w:val="24"/>
        </w:rPr>
        <w:t>Horticulturae</w:t>
      </w:r>
      <w:proofErr w:type="spellEnd"/>
      <w:r w:rsidRPr="00EB5B34">
        <w:rPr>
          <w:sz w:val="24"/>
          <w:szCs w:val="24"/>
        </w:rPr>
        <w:t>, vol. 252, 2019, pp. 14–19.</w:t>
      </w:r>
    </w:p>
    <w:bookmarkEnd w:id="27"/>
    <w:bookmarkEnd w:id="28"/>
  </w:endnote>
  <w:endnote w:id="16">
    <w:p w14:paraId="66AC22AA" w14:textId="77777777" w:rsidR="00B8434C" w:rsidRPr="00A255B3" w:rsidRDefault="00B8434C" w:rsidP="00EB5B34">
      <w:pPr>
        <w:pStyle w:val="EndnoteText"/>
        <w:spacing w:line="480" w:lineRule="auto"/>
        <w:rPr>
          <w:color w:val="000000" w:themeColor="text1"/>
          <w:sz w:val="24"/>
          <w:szCs w:val="24"/>
        </w:rPr>
      </w:pPr>
      <w:r w:rsidRPr="00EB5B34">
        <w:rPr>
          <w:rStyle w:val="EndnoteReference"/>
          <w:color w:val="000000" w:themeColor="text1"/>
          <w:sz w:val="24"/>
          <w:szCs w:val="24"/>
        </w:rPr>
        <w:endnoteRef/>
      </w:r>
      <w:r w:rsidRPr="00EB5B34">
        <w:rPr>
          <w:color w:val="000000" w:themeColor="text1"/>
          <w:sz w:val="24"/>
          <w:szCs w:val="24"/>
        </w:rPr>
        <w:t xml:space="preserve"> Sergey </w:t>
      </w:r>
      <w:proofErr w:type="spellStart"/>
      <w:r w:rsidRPr="00EB5B34">
        <w:rPr>
          <w:color w:val="000000" w:themeColor="text1"/>
          <w:sz w:val="24"/>
          <w:szCs w:val="24"/>
        </w:rPr>
        <w:t>Kurdyukov</w:t>
      </w:r>
      <w:proofErr w:type="spellEnd"/>
      <w:r w:rsidRPr="00EB5B34">
        <w:rPr>
          <w:color w:val="000000" w:themeColor="text1"/>
          <w:sz w:val="24"/>
          <w:szCs w:val="24"/>
        </w:rPr>
        <w:t>, and Martyn Bullock. “DNA Methylation Analysis: Choosing the Right Method.” Biology, vol. 5, no. 1, 2016, p. 3</w:t>
      </w:r>
      <w:r w:rsidRPr="00A255B3">
        <w:rPr>
          <w:color w:val="000000" w:themeColor="text1"/>
          <w:sz w:val="24"/>
          <w:szCs w:val="24"/>
        </w:rPr>
        <w:t>.</w:t>
      </w:r>
    </w:p>
  </w:endnote>
  <w:endnote w:id="17">
    <w:p w14:paraId="16FAB76D" w14:textId="70D27F7A" w:rsidR="005955A0" w:rsidRDefault="005955A0">
      <w:pPr>
        <w:pStyle w:val="EndnoteText"/>
      </w:pPr>
      <w:r>
        <w:rPr>
          <w:rStyle w:val="EndnoteReference"/>
        </w:rPr>
        <w:endnoteRef/>
      </w:r>
      <w:r>
        <w:t xml:space="preserve"> </w:t>
      </w:r>
    </w:p>
  </w:endnote>
  <w:endnote w:id="18">
    <w:p w14:paraId="24B2E4B9" w14:textId="77777777" w:rsidR="003445E2" w:rsidRPr="00627811" w:rsidRDefault="003445E2" w:rsidP="003445E2">
      <w:pPr>
        <w:pStyle w:val="EndnoteText"/>
        <w:rPr>
          <w:sz w:val="22"/>
          <w:szCs w:val="22"/>
        </w:rPr>
      </w:pPr>
      <w:r w:rsidRPr="00627811">
        <w:rPr>
          <w:rStyle w:val="EndnoteReference"/>
          <w:sz w:val="22"/>
          <w:szCs w:val="22"/>
        </w:rPr>
        <w:endnoteRef/>
      </w:r>
      <w:r w:rsidRPr="00627811">
        <w:rPr>
          <w:sz w:val="22"/>
          <w:szCs w:val="22"/>
        </w:rPr>
        <w:t xml:space="preserve"> Hansen, Kasper D. D, et al. “</w:t>
      </w:r>
      <w:proofErr w:type="spellStart"/>
      <w:r w:rsidRPr="00627811">
        <w:rPr>
          <w:sz w:val="22"/>
          <w:szCs w:val="22"/>
        </w:rPr>
        <w:t>BSmooth</w:t>
      </w:r>
      <w:proofErr w:type="spellEnd"/>
      <w:r w:rsidRPr="00627811">
        <w:rPr>
          <w:sz w:val="22"/>
          <w:szCs w:val="22"/>
        </w:rPr>
        <w:t>: from Whole Genome Bisulfite Sequencing Reads to Differentially Methylated Regions.” Genome Biology, vol. 13, no. 10, 2012, pp. Genome Biology, 3 October 2012, Vol.13(10).</w:t>
      </w:r>
    </w:p>
  </w:endnote>
  <w:endnote w:id="19">
    <w:p w14:paraId="7DFD4F24" w14:textId="77777777" w:rsidR="003445E2" w:rsidRPr="00627811" w:rsidRDefault="003445E2" w:rsidP="003445E2">
      <w:pPr>
        <w:pStyle w:val="EndnoteText"/>
        <w:rPr>
          <w:sz w:val="22"/>
          <w:szCs w:val="22"/>
        </w:rPr>
      </w:pPr>
      <w:r w:rsidRPr="00627811">
        <w:rPr>
          <w:rStyle w:val="EndnoteReference"/>
          <w:sz w:val="22"/>
          <w:szCs w:val="22"/>
        </w:rPr>
        <w:endnoteRef/>
      </w:r>
      <w:r w:rsidRPr="00627811">
        <w:rPr>
          <w:sz w:val="22"/>
          <w:szCs w:val="22"/>
        </w:rPr>
        <w:t xml:space="preserve"> Suzuki, Masako D, et al. “Whole-Genome Bisulfite Sequencing with Improved Accuracy and Cost.” Genome Research, vol. 28, no. 9, 2018, pp. 1364–1371.</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panose1 w:val="020B0604020202020204"/>
    <w:charset w:val="00"/>
    <w:family w:val="roman"/>
    <w:pitch w:val="default"/>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9B53DC" w14:textId="77777777" w:rsidR="00994D74" w:rsidRDefault="00994D74" w:rsidP="00674FF7">
      <w:r>
        <w:separator/>
      </w:r>
    </w:p>
  </w:footnote>
  <w:footnote w:type="continuationSeparator" w:id="0">
    <w:p w14:paraId="75112792" w14:textId="77777777" w:rsidR="00994D74" w:rsidRDefault="00994D74" w:rsidP="00674F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885158"/>
    <w:multiLevelType w:val="multilevel"/>
    <w:tmpl w:val="A1060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1C1"/>
    <w:rsid w:val="000610E3"/>
    <w:rsid w:val="00080D45"/>
    <w:rsid w:val="000C3B3B"/>
    <w:rsid w:val="000C598A"/>
    <w:rsid w:val="00214E67"/>
    <w:rsid w:val="0026247B"/>
    <w:rsid w:val="002B0098"/>
    <w:rsid w:val="003445E2"/>
    <w:rsid w:val="003D51C1"/>
    <w:rsid w:val="004235B0"/>
    <w:rsid w:val="004E0380"/>
    <w:rsid w:val="004E5A12"/>
    <w:rsid w:val="005306AA"/>
    <w:rsid w:val="005955A0"/>
    <w:rsid w:val="00674FF7"/>
    <w:rsid w:val="00684124"/>
    <w:rsid w:val="007748F3"/>
    <w:rsid w:val="008F4EA2"/>
    <w:rsid w:val="00965C61"/>
    <w:rsid w:val="00983F42"/>
    <w:rsid w:val="00994D74"/>
    <w:rsid w:val="009E1BE8"/>
    <w:rsid w:val="00A02767"/>
    <w:rsid w:val="00A349EB"/>
    <w:rsid w:val="00AE274E"/>
    <w:rsid w:val="00B155E4"/>
    <w:rsid w:val="00B6119F"/>
    <w:rsid w:val="00B8434C"/>
    <w:rsid w:val="00C02586"/>
    <w:rsid w:val="00C17F31"/>
    <w:rsid w:val="00C44590"/>
    <w:rsid w:val="00CB29FA"/>
    <w:rsid w:val="00D24D22"/>
    <w:rsid w:val="00D859BA"/>
    <w:rsid w:val="00D95423"/>
    <w:rsid w:val="00E532A6"/>
    <w:rsid w:val="00EA3FFD"/>
    <w:rsid w:val="00EB5B34"/>
    <w:rsid w:val="00EB6B95"/>
    <w:rsid w:val="00EC5AAD"/>
    <w:rsid w:val="00F04EC6"/>
    <w:rsid w:val="00F740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DEB05"/>
  <w15:chartTrackingRefBased/>
  <w15:docId w15:val="{6BF685C2-1195-3948-8751-A6930BE3C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274E"/>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674FF7"/>
    <w:rPr>
      <w:sz w:val="20"/>
      <w:szCs w:val="20"/>
    </w:rPr>
  </w:style>
  <w:style w:type="character" w:customStyle="1" w:styleId="EndnoteTextChar">
    <w:name w:val="Endnote Text Char"/>
    <w:basedOn w:val="DefaultParagraphFont"/>
    <w:link w:val="EndnoteText"/>
    <w:uiPriority w:val="99"/>
    <w:semiHidden/>
    <w:rsid w:val="00674FF7"/>
    <w:rPr>
      <w:rFonts w:ascii="Times New Roman" w:eastAsia="Times New Roman" w:hAnsi="Times New Roman" w:cs="Times New Roman"/>
      <w:sz w:val="20"/>
      <w:szCs w:val="20"/>
    </w:rPr>
  </w:style>
  <w:style w:type="character" w:styleId="EndnoteReference">
    <w:name w:val="endnote reference"/>
    <w:basedOn w:val="DefaultParagraphFont"/>
    <w:uiPriority w:val="99"/>
    <w:unhideWhenUsed/>
    <w:rsid w:val="00674FF7"/>
    <w:rPr>
      <w:vertAlign w:val="superscript"/>
    </w:rPr>
  </w:style>
  <w:style w:type="paragraph" w:styleId="NormalWeb">
    <w:name w:val="Normal (Web)"/>
    <w:basedOn w:val="Normal"/>
    <w:uiPriority w:val="99"/>
    <w:unhideWhenUsed/>
    <w:rsid w:val="00A349EB"/>
    <w:pPr>
      <w:spacing w:before="100" w:beforeAutospacing="1" w:after="100" w:afterAutospacing="1"/>
    </w:pPr>
  </w:style>
  <w:style w:type="table" w:styleId="TableGrid">
    <w:name w:val="Table Grid"/>
    <w:basedOn w:val="TableNormal"/>
    <w:uiPriority w:val="39"/>
    <w:rsid w:val="004E5A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748F3"/>
    <w:rPr>
      <w:sz w:val="18"/>
      <w:szCs w:val="18"/>
    </w:rPr>
  </w:style>
  <w:style w:type="character" w:customStyle="1" w:styleId="BalloonTextChar">
    <w:name w:val="Balloon Text Char"/>
    <w:basedOn w:val="DefaultParagraphFont"/>
    <w:link w:val="BalloonText"/>
    <w:uiPriority w:val="99"/>
    <w:semiHidden/>
    <w:rsid w:val="007748F3"/>
    <w:rPr>
      <w:rFonts w:ascii="Times New Roman" w:eastAsia="Times New Roman" w:hAnsi="Times New Roman" w:cs="Times New Roman"/>
      <w:sz w:val="18"/>
      <w:szCs w:val="18"/>
    </w:rPr>
  </w:style>
  <w:style w:type="paragraph" w:styleId="PlainText">
    <w:name w:val="Plain Text"/>
    <w:basedOn w:val="Normal"/>
    <w:link w:val="PlainTextChar"/>
    <w:uiPriority w:val="99"/>
    <w:unhideWhenUsed/>
    <w:rsid w:val="007748F3"/>
    <w:rPr>
      <w:rFonts w:ascii="Consolas" w:eastAsiaTheme="minorHAnsi" w:hAnsi="Consolas" w:cs="Consolas"/>
      <w:sz w:val="21"/>
      <w:szCs w:val="21"/>
      <w:lang w:eastAsia="en-US"/>
    </w:rPr>
  </w:style>
  <w:style w:type="character" w:customStyle="1" w:styleId="PlainTextChar">
    <w:name w:val="Plain Text Char"/>
    <w:basedOn w:val="DefaultParagraphFont"/>
    <w:link w:val="PlainText"/>
    <w:uiPriority w:val="99"/>
    <w:rsid w:val="007748F3"/>
    <w:rPr>
      <w:rFonts w:ascii="Consolas" w:eastAsiaTheme="minorHAnsi" w:hAnsi="Consolas" w:cs="Consolas"/>
      <w:sz w:val="21"/>
      <w:szCs w:val="21"/>
      <w:lang w:eastAsia="en-US"/>
    </w:rPr>
  </w:style>
  <w:style w:type="paragraph" w:styleId="Date">
    <w:name w:val="Date"/>
    <w:basedOn w:val="Normal"/>
    <w:next w:val="Normal"/>
    <w:link w:val="DateChar"/>
    <w:uiPriority w:val="99"/>
    <w:semiHidden/>
    <w:unhideWhenUsed/>
    <w:rsid w:val="00F04EC6"/>
  </w:style>
  <w:style w:type="character" w:customStyle="1" w:styleId="DateChar">
    <w:name w:val="Date Char"/>
    <w:basedOn w:val="DefaultParagraphFont"/>
    <w:link w:val="Date"/>
    <w:uiPriority w:val="99"/>
    <w:semiHidden/>
    <w:rsid w:val="00F04EC6"/>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514686">
      <w:bodyDiv w:val="1"/>
      <w:marLeft w:val="0"/>
      <w:marRight w:val="0"/>
      <w:marTop w:val="0"/>
      <w:marBottom w:val="0"/>
      <w:divBdr>
        <w:top w:val="none" w:sz="0" w:space="0" w:color="auto"/>
        <w:left w:val="none" w:sz="0" w:space="0" w:color="auto"/>
        <w:bottom w:val="none" w:sz="0" w:space="0" w:color="auto"/>
        <w:right w:val="none" w:sz="0" w:space="0" w:color="auto"/>
      </w:divBdr>
    </w:div>
    <w:div w:id="328673779">
      <w:bodyDiv w:val="1"/>
      <w:marLeft w:val="0"/>
      <w:marRight w:val="0"/>
      <w:marTop w:val="0"/>
      <w:marBottom w:val="0"/>
      <w:divBdr>
        <w:top w:val="none" w:sz="0" w:space="0" w:color="auto"/>
        <w:left w:val="none" w:sz="0" w:space="0" w:color="auto"/>
        <w:bottom w:val="none" w:sz="0" w:space="0" w:color="auto"/>
        <w:right w:val="none" w:sz="0" w:space="0" w:color="auto"/>
      </w:divBdr>
      <w:divsChild>
        <w:div w:id="843201591">
          <w:marLeft w:val="0"/>
          <w:marRight w:val="0"/>
          <w:marTop w:val="0"/>
          <w:marBottom w:val="0"/>
          <w:divBdr>
            <w:top w:val="none" w:sz="0" w:space="0" w:color="auto"/>
            <w:left w:val="none" w:sz="0" w:space="0" w:color="auto"/>
            <w:bottom w:val="none" w:sz="0" w:space="0" w:color="auto"/>
            <w:right w:val="none" w:sz="0" w:space="0" w:color="auto"/>
          </w:divBdr>
          <w:divsChild>
            <w:div w:id="771242635">
              <w:marLeft w:val="0"/>
              <w:marRight w:val="0"/>
              <w:marTop w:val="0"/>
              <w:marBottom w:val="0"/>
              <w:divBdr>
                <w:top w:val="none" w:sz="0" w:space="0" w:color="auto"/>
                <w:left w:val="none" w:sz="0" w:space="0" w:color="auto"/>
                <w:bottom w:val="none" w:sz="0" w:space="0" w:color="auto"/>
                <w:right w:val="none" w:sz="0" w:space="0" w:color="auto"/>
              </w:divBdr>
              <w:divsChild>
                <w:div w:id="2108501950">
                  <w:marLeft w:val="0"/>
                  <w:marRight w:val="0"/>
                  <w:marTop w:val="0"/>
                  <w:marBottom w:val="0"/>
                  <w:divBdr>
                    <w:top w:val="none" w:sz="0" w:space="0" w:color="auto"/>
                    <w:left w:val="none" w:sz="0" w:space="0" w:color="auto"/>
                    <w:bottom w:val="none" w:sz="0" w:space="0" w:color="auto"/>
                    <w:right w:val="none" w:sz="0" w:space="0" w:color="auto"/>
                  </w:divBdr>
                </w:div>
              </w:divsChild>
            </w:div>
            <w:div w:id="237710478">
              <w:marLeft w:val="0"/>
              <w:marRight w:val="0"/>
              <w:marTop w:val="0"/>
              <w:marBottom w:val="0"/>
              <w:divBdr>
                <w:top w:val="none" w:sz="0" w:space="0" w:color="auto"/>
                <w:left w:val="none" w:sz="0" w:space="0" w:color="auto"/>
                <w:bottom w:val="none" w:sz="0" w:space="0" w:color="auto"/>
                <w:right w:val="none" w:sz="0" w:space="0" w:color="auto"/>
              </w:divBdr>
              <w:divsChild>
                <w:div w:id="1982538942">
                  <w:marLeft w:val="0"/>
                  <w:marRight w:val="0"/>
                  <w:marTop w:val="0"/>
                  <w:marBottom w:val="0"/>
                  <w:divBdr>
                    <w:top w:val="none" w:sz="0" w:space="0" w:color="auto"/>
                    <w:left w:val="none" w:sz="0" w:space="0" w:color="auto"/>
                    <w:bottom w:val="none" w:sz="0" w:space="0" w:color="auto"/>
                    <w:right w:val="none" w:sz="0" w:space="0" w:color="auto"/>
                  </w:divBdr>
                </w:div>
              </w:divsChild>
            </w:div>
            <w:div w:id="1963920223">
              <w:marLeft w:val="0"/>
              <w:marRight w:val="0"/>
              <w:marTop w:val="0"/>
              <w:marBottom w:val="0"/>
              <w:divBdr>
                <w:top w:val="none" w:sz="0" w:space="0" w:color="auto"/>
                <w:left w:val="none" w:sz="0" w:space="0" w:color="auto"/>
                <w:bottom w:val="none" w:sz="0" w:space="0" w:color="auto"/>
                <w:right w:val="none" w:sz="0" w:space="0" w:color="auto"/>
              </w:divBdr>
              <w:divsChild>
                <w:div w:id="1567840832">
                  <w:marLeft w:val="0"/>
                  <w:marRight w:val="0"/>
                  <w:marTop w:val="0"/>
                  <w:marBottom w:val="0"/>
                  <w:divBdr>
                    <w:top w:val="none" w:sz="0" w:space="0" w:color="auto"/>
                    <w:left w:val="none" w:sz="0" w:space="0" w:color="auto"/>
                    <w:bottom w:val="none" w:sz="0" w:space="0" w:color="auto"/>
                    <w:right w:val="none" w:sz="0" w:space="0" w:color="auto"/>
                  </w:divBdr>
                </w:div>
              </w:divsChild>
            </w:div>
            <w:div w:id="124079269">
              <w:marLeft w:val="0"/>
              <w:marRight w:val="0"/>
              <w:marTop w:val="0"/>
              <w:marBottom w:val="0"/>
              <w:divBdr>
                <w:top w:val="none" w:sz="0" w:space="0" w:color="auto"/>
                <w:left w:val="none" w:sz="0" w:space="0" w:color="auto"/>
                <w:bottom w:val="none" w:sz="0" w:space="0" w:color="auto"/>
                <w:right w:val="none" w:sz="0" w:space="0" w:color="auto"/>
              </w:divBdr>
              <w:divsChild>
                <w:div w:id="1091388181">
                  <w:marLeft w:val="0"/>
                  <w:marRight w:val="0"/>
                  <w:marTop w:val="0"/>
                  <w:marBottom w:val="0"/>
                  <w:divBdr>
                    <w:top w:val="none" w:sz="0" w:space="0" w:color="auto"/>
                    <w:left w:val="none" w:sz="0" w:space="0" w:color="auto"/>
                    <w:bottom w:val="none" w:sz="0" w:space="0" w:color="auto"/>
                    <w:right w:val="none" w:sz="0" w:space="0" w:color="auto"/>
                  </w:divBdr>
                </w:div>
              </w:divsChild>
            </w:div>
            <w:div w:id="1750692418">
              <w:marLeft w:val="0"/>
              <w:marRight w:val="0"/>
              <w:marTop w:val="0"/>
              <w:marBottom w:val="0"/>
              <w:divBdr>
                <w:top w:val="none" w:sz="0" w:space="0" w:color="auto"/>
                <w:left w:val="none" w:sz="0" w:space="0" w:color="auto"/>
                <w:bottom w:val="none" w:sz="0" w:space="0" w:color="auto"/>
                <w:right w:val="none" w:sz="0" w:space="0" w:color="auto"/>
              </w:divBdr>
              <w:divsChild>
                <w:div w:id="1806728884">
                  <w:marLeft w:val="0"/>
                  <w:marRight w:val="0"/>
                  <w:marTop w:val="0"/>
                  <w:marBottom w:val="0"/>
                  <w:divBdr>
                    <w:top w:val="none" w:sz="0" w:space="0" w:color="auto"/>
                    <w:left w:val="none" w:sz="0" w:space="0" w:color="auto"/>
                    <w:bottom w:val="none" w:sz="0" w:space="0" w:color="auto"/>
                    <w:right w:val="none" w:sz="0" w:space="0" w:color="auto"/>
                  </w:divBdr>
                </w:div>
              </w:divsChild>
            </w:div>
            <w:div w:id="1263416505">
              <w:marLeft w:val="0"/>
              <w:marRight w:val="0"/>
              <w:marTop w:val="0"/>
              <w:marBottom w:val="0"/>
              <w:divBdr>
                <w:top w:val="none" w:sz="0" w:space="0" w:color="auto"/>
                <w:left w:val="none" w:sz="0" w:space="0" w:color="auto"/>
                <w:bottom w:val="none" w:sz="0" w:space="0" w:color="auto"/>
                <w:right w:val="none" w:sz="0" w:space="0" w:color="auto"/>
              </w:divBdr>
              <w:divsChild>
                <w:div w:id="988174138">
                  <w:marLeft w:val="0"/>
                  <w:marRight w:val="0"/>
                  <w:marTop w:val="0"/>
                  <w:marBottom w:val="0"/>
                  <w:divBdr>
                    <w:top w:val="none" w:sz="0" w:space="0" w:color="auto"/>
                    <w:left w:val="none" w:sz="0" w:space="0" w:color="auto"/>
                    <w:bottom w:val="none" w:sz="0" w:space="0" w:color="auto"/>
                    <w:right w:val="none" w:sz="0" w:space="0" w:color="auto"/>
                  </w:divBdr>
                </w:div>
                <w:div w:id="2037195683">
                  <w:marLeft w:val="0"/>
                  <w:marRight w:val="0"/>
                  <w:marTop w:val="0"/>
                  <w:marBottom w:val="0"/>
                  <w:divBdr>
                    <w:top w:val="none" w:sz="0" w:space="0" w:color="auto"/>
                    <w:left w:val="none" w:sz="0" w:space="0" w:color="auto"/>
                    <w:bottom w:val="none" w:sz="0" w:space="0" w:color="auto"/>
                    <w:right w:val="none" w:sz="0" w:space="0" w:color="auto"/>
                  </w:divBdr>
                </w:div>
                <w:div w:id="697775310">
                  <w:marLeft w:val="0"/>
                  <w:marRight w:val="0"/>
                  <w:marTop w:val="0"/>
                  <w:marBottom w:val="0"/>
                  <w:divBdr>
                    <w:top w:val="none" w:sz="0" w:space="0" w:color="auto"/>
                    <w:left w:val="none" w:sz="0" w:space="0" w:color="auto"/>
                    <w:bottom w:val="none" w:sz="0" w:space="0" w:color="auto"/>
                    <w:right w:val="none" w:sz="0" w:space="0" w:color="auto"/>
                  </w:divBdr>
                </w:div>
              </w:divsChild>
            </w:div>
            <w:div w:id="748774472">
              <w:marLeft w:val="0"/>
              <w:marRight w:val="0"/>
              <w:marTop w:val="0"/>
              <w:marBottom w:val="0"/>
              <w:divBdr>
                <w:top w:val="none" w:sz="0" w:space="0" w:color="auto"/>
                <w:left w:val="none" w:sz="0" w:space="0" w:color="auto"/>
                <w:bottom w:val="none" w:sz="0" w:space="0" w:color="auto"/>
                <w:right w:val="none" w:sz="0" w:space="0" w:color="auto"/>
              </w:divBdr>
              <w:divsChild>
                <w:div w:id="111614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880413">
      <w:bodyDiv w:val="1"/>
      <w:marLeft w:val="0"/>
      <w:marRight w:val="0"/>
      <w:marTop w:val="0"/>
      <w:marBottom w:val="0"/>
      <w:divBdr>
        <w:top w:val="none" w:sz="0" w:space="0" w:color="auto"/>
        <w:left w:val="none" w:sz="0" w:space="0" w:color="auto"/>
        <w:bottom w:val="none" w:sz="0" w:space="0" w:color="auto"/>
        <w:right w:val="none" w:sz="0" w:space="0" w:color="auto"/>
      </w:divBdr>
      <w:divsChild>
        <w:div w:id="263615787">
          <w:marLeft w:val="0"/>
          <w:marRight w:val="0"/>
          <w:marTop w:val="0"/>
          <w:marBottom w:val="0"/>
          <w:divBdr>
            <w:top w:val="none" w:sz="0" w:space="0" w:color="auto"/>
            <w:left w:val="none" w:sz="0" w:space="0" w:color="auto"/>
            <w:bottom w:val="none" w:sz="0" w:space="0" w:color="auto"/>
            <w:right w:val="none" w:sz="0" w:space="0" w:color="auto"/>
          </w:divBdr>
          <w:divsChild>
            <w:div w:id="726690043">
              <w:marLeft w:val="0"/>
              <w:marRight w:val="0"/>
              <w:marTop w:val="0"/>
              <w:marBottom w:val="0"/>
              <w:divBdr>
                <w:top w:val="none" w:sz="0" w:space="0" w:color="auto"/>
                <w:left w:val="none" w:sz="0" w:space="0" w:color="auto"/>
                <w:bottom w:val="none" w:sz="0" w:space="0" w:color="auto"/>
                <w:right w:val="none" w:sz="0" w:space="0" w:color="auto"/>
              </w:divBdr>
              <w:divsChild>
                <w:div w:id="212503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098461">
      <w:bodyDiv w:val="1"/>
      <w:marLeft w:val="0"/>
      <w:marRight w:val="0"/>
      <w:marTop w:val="0"/>
      <w:marBottom w:val="0"/>
      <w:divBdr>
        <w:top w:val="none" w:sz="0" w:space="0" w:color="auto"/>
        <w:left w:val="none" w:sz="0" w:space="0" w:color="auto"/>
        <w:bottom w:val="none" w:sz="0" w:space="0" w:color="auto"/>
        <w:right w:val="none" w:sz="0" w:space="0" w:color="auto"/>
      </w:divBdr>
    </w:div>
    <w:div w:id="712386073">
      <w:bodyDiv w:val="1"/>
      <w:marLeft w:val="0"/>
      <w:marRight w:val="0"/>
      <w:marTop w:val="0"/>
      <w:marBottom w:val="0"/>
      <w:divBdr>
        <w:top w:val="none" w:sz="0" w:space="0" w:color="auto"/>
        <w:left w:val="none" w:sz="0" w:space="0" w:color="auto"/>
        <w:bottom w:val="none" w:sz="0" w:space="0" w:color="auto"/>
        <w:right w:val="none" w:sz="0" w:space="0" w:color="auto"/>
      </w:divBdr>
      <w:divsChild>
        <w:div w:id="655492594">
          <w:marLeft w:val="0"/>
          <w:marRight w:val="0"/>
          <w:marTop w:val="0"/>
          <w:marBottom w:val="0"/>
          <w:divBdr>
            <w:top w:val="none" w:sz="0" w:space="0" w:color="auto"/>
            <w:left w:val="none" w:sz="0" w:space="0" w:color="auto"/>
            <w:bottom w:val="none" w:sz="0" w:space="0" w:color="auto"/>
            <w:right w:val="none" w:sz="0" w:space="0" w:color="auto"/>
          </w:divBdr>
          <w:divsChild>
            <w:div w:id="1729919959">
              <w:marLeft w:val="0"/>
              <w:marRight w:val="0"/>
              <w:marTop w:val="0"/>
              <w:marBottom w:val="0"/>
              <w:divBdr>
                <w:top w:val="none" w:sz="0" w:space="0" w:color="auto"/>
                <w:left w:val="none" w:sz="0" w:space="0" w:color="auto"/>
                <w:bottom w:val="none" w:sz="0" w:space="0" w:color="auto"/>
                <w:right w:val="none" w:sz="0" w:space="0" w:color="auto"/>
              </w:divBdr>
              <w:divsChild>
                <w:div w:id="59540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738120">
      <w:bodyDiv w:val="1"/>
      <w:marLeft w:val="0"/>
      <w:marRight w:val="0"/>
      <w:marTop w:val="0"/>
      <w:marBottom w:val="0"/>
      <w:divBdr>
        <w:top w:val="none" w:sz="0" w:space="0" w:color="auto"/>
        <w:left w:val="none" w:sz="0" w:space="0" w:color="auto"/>
        <w:bottom w:val="none" w:sz="0" w:space="0" w:color="auto"/>
        <w:right w:val="none" w:sz="0" w:space="0" w:color="auto"/>
      </w:divBdr>
      <w:divsChild>
        <w:div w:id="1355107404">
          <w:marLeft w:val="0"/>
          <w:marRight w:val="0"/>
          <w:marTop w:val="0"/>
          <w:marBottom w:val="0"/>
          <w:divBdr>
            <w:top w:val="none" w:sz="0" w:space="0" w:color="auto"/>
            <w:left w:val="none" w:sz="0" w:space="0" w:color="auto"/>
            <w:bottom w:val="none" w:sz="0" w:space="0" w:color="auto"/>
            <w:right w:val="none" w:sz="0" w:space="0" w:color="auto"/>
          </w:divBdr>
          <w:divsChild>
            <w:div w:id="1406489951">
              <w:marLeft w:val="0"/>
              <w:marRight w:val="0"/>
              <w:marTop w:val="0"/>
              <w:marBottom w:val="0"/>
              <w:divBdr>
                <w:top w:val="none" w:sz="0" w:space="0" w:color="auto"/>
                <w:left w:val="none" w:sz="0" w:space="0" w:color="auto"/>
                <w:bottom w:val="none" w:sz="0" w:space="0" w:color="auto"/>
                <w:right w:val="none" w:sz="0" w:space="0" w:color="auto"/>
              </w:divBdr>
              <w:divsChild>
                <w:div w:id="183182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024451">
      <w:bodyDiv w:val="1"/>
      <w:marLeft w:val="0"/>
      <w:marRight w:val="0"/>
      <w:marTop w:val="0"/>
      <w:marBottom w:val="0"/>
      <w:divBdr>
        <w:top w:val="none" w:sz="0" w:space="0" w:color="auto"/>
        <w:left w:val="none" w:sz="0" w:space="0" w:color="auto"/>
        <w:bottom w:val="none" w:sz="0" w:space="0" w:color="auto"/>
        <w:right w:val="none" w:sz="0" w:space="0" w:color="auto"/>
      </w:divBdr>
      <w:divsChild>
        <w:div w:id="61104657">
          <w:marLeft w:val="0"/>
          <w:marRight w:val="0"/>
          <w:marTop w:val="0"/>
          <w:marBottom w:val="0"/>
          <w:divBdr>
            <w:top w:val="none" w:sz="0" w:space="0" w:color="auto"/>
            <w:left w:val="none" w:sz="0" w:space="0" w:color="auto"/>
            <w:bottom w:val="none" w:sz="0" w:space="0" w:color="auto"/>
            <w:right w:val="none" w:sz="0" w:space="0" w:color="auto"/>
          </w:divBdr>
          <w:divsChild>
            <w:div w:id="1457914016">
              <w:marLeft w:val="0"/>
              <w:marRight w:val="0"/>
              <w:marTop w:val="0"/>
              <w:marBottom w:val="0"/>
              <w:divBdr>
                <w:top w:val="none" w:sz="0" w:space="0" w:color="auto"/>
                <w:left w:val="none" w:sz="0" w:space="0" w:color="auto"/>
                <w:bottom w:val="none" w:sz="0" w:space="0" w:color="auto"/>
                <w:right w:val="none" w:sz="0" w:space="0" w:color="auto"/>
              </w:divBdr>
              <w:divsChild>
                <w:div w:id="177944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209984">
      <w:bodyDiv w:val="1"/>
      <w:marLeft w:val="0"/>
      <w:marRight w:val="0"/>
      <w:marTop w:val="0"/>
      <w:marBottom w:val="0"/>
      <w:divBdr>
        <w:top w:val="none" w:sz="0" w:space="0" w:color="auto"/>
        <w:left w:val="none" w:sz="0" w:space="0" w:color="auto"/>
        <w:bottom w:val="none" w:sz="0" w:space="0" w:color="auto"/>
        <w:right w:val="none" w:sz="0" w:space="0" w:color="auto"/>
      </w:divBdr>
    </w:div>
    <w:div w:id="1376197050">
      <w:bodyDiv w:val="1"/>
      <w:marLeft w:val="0"/>
      <w:marRight w:val="0"/>
      <w:marTop w:val="0"/>
      <w:marBottom w:val="0"/>
      <w:divBdr>
        <w:top w:val="none" w:sz="0" w:space="0" w:color="auto"/>
        <w:left w:val="none" w:sz="0" w:space="0" w:color="auto"/>
        <w:bottom w:val="none" w:sz="0" w:space="0" w:color="auto"/>
        <w:right w:val="none" w:sz="0" w:space="0" w:color="auto"/>
      </w:divBdr>
      <w:divsChild>
        <w:div w:id="1241872311">
          <w:marLeft w:val="0"/>
          <w:marRight w:val="0"/>
          <w:marTop w:val="0"/>
          <w:marBottom w:val="0"/>
          <w:divBdr>
            <w:top w:val="none" w:sz="0" w:space="0" w:color="auto"/>
            <w:left w:val="none" w:sz="0" w:space="0" w:color="auto"/>
            <w:bottom w:val="none" w:sz="0" w:space="0" w:color="auto"/>
            <w:right w:val="none" w:sz="0" w:space="0" w:color="auto"/>
          </w:divBdr>
          <w:divsChild>
            <w:div w:id="1493523371">
              <w:marLeft w:val="0"/>
              <w:marRight w:val="0"/>
              <w:marTop w:val="0"/>
              <w:marBottom w:val="0"/>
              <w:divBdr>
                <w:top w:val="none" w:sz="0" w:space="0" w:color="auto"/>
                <w:left w:val="none" w:sz="0" w:space="0" w:color="auto"/>
                <w:bottom w:val="none" w:sz="0" w:space="0" w:color="auto"/>
                <w:right w:val="none" w:sz="0" w:space="0" w:color="auto"/>
              </w:divBdr>
              <w:divsChild>
                <w:div w:id="145512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023510">
      <w:bodyDiv w:val="1"/>
      <w:marLeft w:val="0"/>
      <w:marRight w:val="0"/>
      <w:marTop w:val="0"/>
      <w:marBottom w:val="0"/>
      <w:divBdr>
        <w:top w:val="none" w:sz="0" w:space="0" w:color="auto"/>
        <w:left w:val="none" w:sz="0" w:space="0" w:color="auto"/>
        <w:bottom w:val="none" w:sz="0" w:space="0" w:color="auto"/>
        <w:right w:val="none" w:sz="0" w:space="0" w:color="auto"/>
      </w:divBdr>
    </w:div>
    <w:div w:id="1411807512">
      <w:bodyDiv w:val="1"/>
      <w:marLeft w:val="0"/>
      <w:marRight w:val="0"/>
      <w:marTop w:val="0"/>
      <w:marBottom w:val="0"/>
      <w:divBdr>
        <w:top w:val="none" w:sz="0" w:space="0" w:color="auto"/>
        <w:left w:val="none" w:sz="0" w:space="0" w:color="auto"/>
        <w:bottom w:val="none" w:sz="0" w:space="0" w:color="auto"/>
        <w:right w:val="none" w:sz="0" w:space="0" w:color="auto"/>
      </w:divBdr>
      <w:divsChild>
        <w:div w:id="1415321630">
          <w:marLeft w:val="0"/>
          <w:marRight w:val="0"/>
          <w:marTop w:val="0"/>
          <w:marBottom w:val="0"/>
          <w:divBdr>
            <w:top w:val="none" w:sz="0" w:space="0" w:color="auto"/>
            <w:left w:val="none" w:sz="0" w:space="0" w:color="auto"/>
            <w:bottom w:val="none" w:sz="0" w:space="0" w:color="auto"/>
            <w:right w:val="none" w:sz="0" w:space="0" w:color="auto"/>
          </w:divBdr>
          <w:divsChild>
            <w:div w:id="474640657">
              <w:marLeft w:val="0"/>
              <w:marRight w:val="0"/>
              <w:marTop w:val="0"/>
              <w:marBottom w:val="0"/>
              <w:divBdr>
                <w:top w:val="none" w:sz="0" w:space="0" w:color="auto"/>
                <w:left w:val="none" w:sz="0" w:space="0" w:color="auto"/>
                <w:bottom w:val="none" w:sz="0" w:space="0" w:color="auto"/>
                <w:right w:val="none" w:sz="0" w:space="0" w:color="auto"/>
              </w:divBdr>
              <w:divsChild>
                <w:div w:id="214430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621567">
      <w:bodyDiv w:val="1"/>
      <w:marLeft w:val="0"/>
      <w:marRight w:val="0"/>
      <w:marTop w:val="0"/>
      <w:marBottom w:val="0"/>
      <w:divBdr>
        <w:top w:val="none" w:sz="0" w:space="0" w:color="auto"/>
        <w:left w:val="none" w:sz="0" w:space="0" w:color="auto"/>
        <w:bottom w:val="none" w:sz="0" w:space="0" w:color="auto"/>
        <w:right w:val="none" w:sz="0" w:space="0" w:color="auto"/>
      </w:divBdr>
      <w:divsChild>
        <w:div w:id="930430829">
          <w:marLeft w:val="0"/>
          <w:marRight w:val="0"/>
          <w:marTop w:val="0"/>
          <w:marBottom w:val="0"/>
          <w:divBdr>
            <w:top w:val="none" w:sz="0" w:space="0" w:color="auto"/>
            <w:left w:val="none" w:sz="0" w:space="0" w:color="auto"/>
            <w:bottom w:val="none" w:sz="0" w:space="0" w:color="auto"/>
            <w:right w:val="none" w:sz="0" w:space="0" w:color="auto"/>
          </w:divBdr>
          <w:divsChild>
            <w:div w:id="437414140">
              <w:marLeft w:val="0"/>
              <w:marRight w:val="0"/>
              <w:marTop w:val="0"/>
              <w:marBottom w:val="0"/>
              <w:divBdr>
                <w:top w:val="none" w:sz="0" w:space="0" w:color="auto"/>
                <w:left w:val="none" w:sz="0" w:space="0" w:color="auto"/>
                <w:bottom w:val="none" w:sz="0" w:space="0" w:color="auto"/>
                <w:right w:val="none" w:sz="0" w:space="0" w:color="auto"/>
              </w:divBdr>
              <w:divsChild>
                <w:div w:id="158630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113211">
      <w:bodyDiv w:val="1"/>
      <w:marLeft w:val="0"/>
      <w:marRight w:val="0"/>
      <w:marTop w:val="0"/>
      <w:marBottom w:val="0"/>
      <w:divBdr>
        <w:top w:val="none" w:sz="0" w:space="0" w:color="auto"/>
        <w:left w:val="none" w:sz="0" w:space="0" w:color="auto"/>
        <w:bottom w:val="none" w:sz="0" w:space="0" w:color="auto"/>
        <w:right w:val="none" w:sz="0" w:space="0" w:color="auto"/>
      </w:divBdr>
      <w:divsChild>
        <w:div w:id="689140226">
          <w:marLeft w:val="0"/>
          <w:marRight w:val="0"/>
          <w:marTop w:val="0"/>
          <w:marBottom w:val="0"/>
          <w:divBdr>
            <w:top w:val="none" w:sz="0" w:space="0" w:color="auto"/>
            <w:left w:val="none" w:sz="0" w:space="0" w:color="auto"/>
            <w:bottom w:val="none" w:sz="0" w:space="0" w:color="auto"/>
            <w:right w:val="none" w:sz="0" w:space="0" w:color="auto"/>
          </w:divBdr>
          <w:divsChild>
            <w:div w:id="490488941">
              <w:marLeft w:val="0"/>
              <w:marRight w:val="0"/>
              <w:marTop w:val="0"/>
              <w:marBottom w:val="0"/>
              <w:divBdr>
                <w:top w:val="none" w:sz="0" w:space="0" w:color="auto"/>
                <w:left w:val="none" w:sz="0" w:space="0" w:color="auto"/>
                <w:bottom w:val="none" w:sz="0" w:space="0" w:color="auto"/>
                <w:right w:val="none" w:sz="0" w:space="0" w:color="auto"/>
              </w:divBdr>
              <w:divsChild>
                <w:div w:id="35199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331568">
      <w:bodyDiv w:val="1"/>
      <w:marLeft w:val="0"/>
      <w:marRight w:val="0"/>
      <w:marTop w:val="0"/>
      <w:marBottom w:val="0"/>
      <w:divBdr>
        <w:top w:val="none" w:sz="0" w:space="0" w:color="auto"/>
        <w:left w:val="none" w:sz="0" w:space="0" w:color="auto"/>
        <w:bottom w:val="none" w:sz="0" w:space="0" w:color="auto"/>
        <w:right w:val="none" w:sz="0" w:space="0" w:color="auto"/>
      </w:divBdr>
      <w:divsChild>
        <w:div w:id="800926896">
          <w:marLeft w:val="0"/>
          <w:marRight w:val="0"/>
          <w:marTop w:val="0"/>
          <w:marBottom w:val="0"/>
          <w:divBdr>
            <w:top w:val="none" w:sz="0" w:space="0" w:color="auto"/>
            <w:left w:val="none" w:sz="0" w:space="0" w:color="auto"/>
            <w:bottom w:val="none" w:sz="0" w:space="0" w:color="auto"/>
            <w:right w:val="none" w:sz="0" w:space="0" w:color="auto"/>
          </w:divBdr>
          <w:divsChild>
            <w:div w:id="80027761">
              <w:marLeft w:val="0"/>
              <w:marRight w:val="0"/>
              <w:marTop w:val="0"/>
              <w:marBottom w:val="0"/>
              <w:divBdr>
                <w:top w:val="none" w:sz="0" w:space="0" w:color="auto"/>
                <w:left w:val="none" w:sz="0" w:space="0" w:color="auto"/>
                <w:bottom w:val="none" w:sz="0" w:space="0" w:color="auto"/>
                <w:right w:val="none" w:sz="0" w:space="0" w:color="auto"/>
              </w:divBdr>
              <w:divsChild>
                <w:div w:id="128850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920745">
      <w:bodyDiv w:val="1"/>
      <w:marLeft w:val="0"/>
      <w:marRight w:val="0"/>
      <w:marTop w:val="0"/>
      <w:marBottom w:val="0"/>
      <w:divBdr>
        <w:top w:val="none" w:sz="0" w:space="0" w:color="auto"/>
        <w:left w:val="none" w:sz="0" w:space="0" w:color="auto"/>
        <w:bottom w:val="none" w:sz="0" w:space="0" w:color="auto"/>
        <w:right w:val="none" w:sz="0" w:space="0" w:color="auto"/>
      </w:divBdr>
      <w:divsChild>
        <w:div w:id="1153910394">
          <w:marLeft w:val="0"/>
          <w:marRight w:val="0"/>
          <w:marTop w:val="0"/>
          <w:marBottom w:val="0"/>
          <w:divBdr>
            <w:top w:val="none" w:sz="0" w:space="0" w:color="auto"/>
            <w:left w:val="none" w:sz="0" w:space="0" w:color="auto"/>
            <w:bottom w:val="none" w:sz="0" w:space="0" w:color="auto"/>
            <w:right w:val="none" w:sz="0" w:space="0" w:color="auto"/>
          </w:divBdr>
          <w:divsChild>
            <w:div w:id="851258943">
              <w:marLeft w:val="0"/>
              <w:marRight w:val="0"/>
              <w:marTop w:val="0"/>
              <w:marBottom w:val="0"/>
              <w:divBdr>
                <w:top w:val="none" w:sz="0" w:space="0" w:color="auto"/>
                <w:left w:val="none" w:sz="0" w:space="0" w:color="auto"/>
                <w:bottom w:val="none" w:sz="0" w:space="0" w:color="auto"/>
                <w:right w:val="none" w:sz="0" w:space="0" w:color="auto"/>
              </w:divBdr>
              <w:divsChild>
                <w:div w:id="87701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518952">
      <w:bodyDiv w:val="1"/>
      <w:marLeft w:val="0"/>
      <w:marRight w:val="0"/>
      <w:marTop w:val="0"/>
      <w:marBottom w:val="0"/>
      <w:divBdr>
        <w:top w:val="none" w:sz="0" w:space="0" w:color="auto"/>
        <w:left w:val="none" w:sz="0" w:space="0" w:color="auto"/>
        <w:bottom w:val="none" w:sz="0" w:space="0" w:color="auto"/>
        <w:right w:val="none" w:sz="0" w:space="0" w:color="auto"/>
      </w:divBdr>
    </w:div>
    <w:div w:id="2058122243">
      <w:bodyDiv w:val="1"/>
      <w:marLeft w:val="0"/>
      <w:marRight w:val="0"/>
      <w:marTop w:val="0"/>
      <w:marBottom w:val="0"/>
      <w:divBdr>
        <w:top w:val="none" w:sz="0" w:space="0" w:color="auto"/>
        <w:left w:val="none" w:sz="0" w:space="0" w:color="auto"/>
        <w:bottom w:val="none" w:sz="0" w:space="0" w:color="auto"/>
        <w:right w:val="none" w:sz="0" w:space="0" w:color="auto"/>
      </w:divBdr>
    </w:div>
    <w:div w:id="2088183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5886EAA-FF7F-AD40-A2E3-345712333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1587</TotalTime>
  <Pages>11</Pages>
  <Words>2115</Words>
  <Characters>11234</Characters>
  <Application>Microsoft Office Word</Application>
  <DocSecurity>0</DocSecurity>
  <Lines>181</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Jiaqi Zhou</dc:creator>
  <cp:keywords/>
  <dc:description/>
  <cp:lastModifiedBy>Jiaqi Zhou</cp:lastModifiedBy>
  <cp:revision>2</cp:revision>
  <dcterms:created xsi:type="dcterms:W3CDTF">2020-03-20T20:44:00Z</dcterms:created>
  <dcterms:modified xsi:type="dcterms:W3CDTF">2020-03-27T21:42:00Z</dcterms:modified>
</cp:coreProperties>
</file>