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C5C5C"/>
          <w:sz w:val="24"/>
        </w:rPr>
        <w:t>Korean Thermal Coal Market</w:t>
      </w:r>
    </w:p>
    <w:p>
      <w:pPr>
        <w:spacing w:after="160"/>
        <w:jc w:val="center"/>
      </w:pPr>
      <w:r>
        <w:rPr>
          <w:rFonts w:ascii="Calibri" w:hAnsi="Calibri"/>
          <w:b/>
          <w:color w:val="1F4D78"/>
          <w:sz w:val="52"/>
        </w:rPr>
        <w:t>Korea Power Stack Primer</w:t>
      </w:r>
    </w:p>
    <w:p>
      <w:pPr>
        <w:jc w:val="center"/>
      </w:pPr>
      <w:r>
        <w:rPr>
          <w:rFonts w:ascii="Calibri" w:hAnsi="Calibri"/>
          <w:color w:val="5C5C5C"/>
          <w:sz w:val="26"/>
        </w:rPr>
        <w:t>A compact primer on Korea's power-market structure, coal/LNG switching drivers, and why KPX dispatch matters for thermal coal.</w:t>
      </w:r>
    </w:p>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160"/>
            <w:vAlign w:val="center"/>
            <w:shd w:fill="E8EEF5"/>
            <w:tcMar>
              <w:top w:w="80" w:type="dxa"/>
              <w:start w:w="120" w:type="dxa"/>
              <w:bottom w:w="80" w:type="dxa"/>
              <w:end w:w="120" w:type="dxa"/>
            </w:tcMar>
          </w:tcPr>
          <w:p>
            <w:pPr>
              <w:jc w:val="center"/>
            </w:pPr>
            <w:r>
              <w:rPr>
                <w:rFonts w:ascii="Calibri" w:hAnsi="Calibri"/>
                <w:b/>
                <w:color w:val="24231F"/>
              </w:rPr>
              <w:t>Field</w:t>
            </w:r>
          </w:p>
        </w:tc>
        <w:tc>
          <w:tcPr>
            <w:tcW w:type="dxa" w:w="7200"/>
            <w:vAlign w:val="center"/>
            <w:shd w:fill="E8EEF5"/>
            <w:tcMar>
              <w:top w:w="80" w:type="dxa"/>
              <w:start w:w="120" w:type="dxa"/>
              <w:bottom w:w="80" w:type="dxa"/>
              <w:end w:w="120" w:type="dxa"/>
            </w:tcMar>
          </w:tcPr>
          <w:p>
            <w:pPr>
              <w:jc w:val="center"/>
            </w:pPr>
            <w:r>
              <w:rPr>
                <w:rFonts w:ascii="Calibri" w:hAnsi="Calibri"/>
                <w:b/>
                <w:color w:val="24231F"/>
              </w:rPr>
              <w:t>Value</w:t>
            </w:r>
          </w:p>
        </w:tc>
      </w:tr>
      <w:tr>
        <w:tc>
          <w:tcPr>
            <w:tcW w:type="dxa" w:w="4680"/>
            <w:vAlign w:val="center"/>
            <w:tcMar>
              <w:top w:w="80" w:type="dxa"/>
              <w:start w:w="120" w:type="dxa"/>
              <w:bottom w:w="80" w:type="dxa"/>
              <w:end w:w="120" w:type="dxa"/>
            </w:tcMar>
          </w:tcPr>
          <w:p>
            <w:pPr>
              <w:jc w:val="left"/>
            </w:pPr>
            <w:r>
              <w:rPr>
                <w:rFonts w:ascii="Calibri" w:hAnsi="Calibri"/>
              </w:rPr>
              <w:t>Audience</w:t>
            </w:r>
          </w:p>
        </w:tc>
        <w:tc>
          <w:tcPr>
            <w:tcW w:type="dxa" w:w="4680"/>
            <w:vAlign w:val="center"/>
            <w:tcMar>
              <w:top w:w="80" w:type="dxa"/>
              <w:start w:w="120" w:type="dxa"/>
              <w:bottom w:w="80" w:type="dxa"/>
              <w:end w:w="120" w:type="dxa"/>
            </w:tcMar>
          </w:tcPr>
          <w:p>
            <w:pPr>
              <w:jc w:val="center"/>
            </w:pPr>
            <w:r>
              <w:rPr>
                <w:rFonts w:ascii="Calibri" w:hAnsi="Calibri"/>
              </w:rPr>
              <w:t>Thermal coal trader or analyst</w:t>
            </w:r>
          </w:p>
        </w:tc>
      </w:tr>
      <w:tr>
        <w:tc>
          <w:tcPr>
            <w:tcW w:type="dxa" w:w="4680"/>
            <w:vAlign w:val="center"/>
            <w:tcMar>
              <w:top w:w="80" w:type="dxa"/>
              <w:start w:w="120" w:type="dxa"/>
              <w:bottom w:w="80" w:type="dxa"/>
              <w:end w:w="120" w:type="dxa"/>
            </w:tcMar>
          </w:tcPr>
          <w:p>
            <w:pPr>
              <w:jc w:val="left"/>
            </w:pPr>
            <w:r>
              <w:rPr>
                <w:rFonts w:ascii="Calibri" w:hAnsi="Calibri"/>
              </w:rPr>
              <w:t>Purpose</w:t>
            </w:r>
          </w:p>
        </w:tc>
        <w:tc>
          <w:tcPr>
            <w:tcW w:type="dxa" w:w="4680"/>
            <w:vAlign w:val="center"/>
            <w:tcMar>
              <w:top w:w="80" w:type="dxa"/>
              <w:start w:w="120" w:type="dxa"/>
              <w:bottom w:w="80" w:type="dxa"/>
              <w:end w:w="120" w:type="dxa"/>
            </w:tcMar>
          </w:tcPr>
          <w:p>
            <w:pPr>
              <w:jc w:val="center"/>
            </w:pPr>
            <w:r>
              <w:rPr>
                <w:rFonts w:ascii="Calibri" w:hAnsi="Calibri"/>
              </w:rPr>
              <w:t>Understand Korea power-market fundamentals before reading scenario outputs</w:t>
            </w:r>
          </w:p>
        </w:tc>
      </w:tr>
      <w:tr>
        <w:tc>
          <w:tcPr>
            <w:tcW w:type="dxa" w:w="4680"/>
            <w:vAlign w:val="center"/>
            <w:tcMar>
              <w:top w:w="80" w:type="dxa"/>
              <w:start w:w="120" w:type="dxa"/>
              <w:bottom w:w="80" w:type="dxa"/>
              <w:end w:w="120" w:type="dxa"/>
            </w:tcMar>
          </w:tcPr>
          <w:p>
            <w:pPr>
              <w:jc w:val="left"/>
            </w:pPr>
            <w:r>
              <w:rPr>
                <w:rFonts w:ascii="Calibri" w:hAnsi="Calibri"/>
              </w:rPr>
              <w:t>Scope</w:t>
            </w:r>
          </w:p>
        </w:tc>
        <w:tc>
          <w:tcPr>
            <w:tcW w:type="dxa" w:w="4680"/>
            <w:vAlign w:val="center"/>
            <w:tcMar>
              <w:top w:w="80" w:type="dxa"/>
              <w:start w:w="120" w:type="dxa"/>
              <w:bottom w:w="80" w:type="dxa"/>
              <w:end w:w="120" w:type="dxa"/>
            </w:tcMar>
          </w:tcPr>
          <w:p>
            <w:pPr>
              <w:jc w:val="center"/>
            </w:pPr>
            <w:r>
              <w:rPr>
                <w:rFonts w:ascii="Calibri" w:hAnsi="Calibri"/>
              </w:rPr>
              <w:t>Institutions, KPX cost-based pool, 2025 fuel data, policy overlays, and trader implications</w:t>
            </w:r>
          </w:p>
        </w:tc>
      </w:tr>
      <w:tr>
        <w:tc>
          <w:tcPr>
            <w:tcW w:type="dxa" w:w="4680"/>
            <w:vAlign w:val="center"/>
            <w:tcMar>
              <w:top w:w="80" w:type="dxa"/>
              <w:start w:w="120" w:type="dxa"/>
              <w:bottom w:w="80" w:type="dxa"/>
              <w:end w:w="120" w:type="dxa"/>
            </w:tcMar>
          </w:tcPr>
          <w:p>
            <w:pPr>
              <w:jc w:val="left"/>
            </w:pPr>
            <w:r>
              <w:rPr>
                <w:rFonts w:ascii="Calibri" w:hAnsi="Calibri"/>
              </w:rPr>
              <w:t>Date</w:t>
            </w:r>
          </w:p>
        </w:tc>
        <w:tc>
          <w:tcPr>
            <w:tcW w:type="dxa" w:w="4680"/>
            <w:vAlign w:val="center"/>
            <w:tcMar>
              <w:top w:w="80" w:type="dxa"/>
              <w:start w:w="120" w:type="dxa"/>
              <w:bottom w:w="80" w:type="dxa"/>
              <w:end w:w="120" w:type="dxa"/>
            </w:tcMar>
          </w:tcPr>
          <w:p>
            <w:pPr>
              <w:jc w:val="center"/>
            </w:pPr>
            <w:r>
              <w:rPr>
                <w:rFonts w:ascii="Calibri" w:hAnsi="Calibri"/>
              </w:rPr>
              <w:t>2026-06-25</w:t>
            </w:r>
          </w:p>
        </w:tc>
      </w:tr>
    </w:tbl>
    <w:p>
      <w:r>
        <w:br w:type="page"/>
      </w:r>
    </w:p>
    <w:p>
      <w:pPr>
        <w:pStyle w:val="Heading1"/>
      </w:pPr>
      <w:r>
        <w:t>Executive Read</w:t>
      </w:r>
    </w:p>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1F4D78"/>
              </w:rPr>
              <w:t>Core market point</w:t>
            </w:r>
          </w:p>
          <w:p>
            <w:pPr>
              <w:spacing w:after="0"/>
            </w:pPr>
            <w:r>
              <w:rPr>
                <w:rFonts w:ascii="Calibri" w:hAnsi="Calibri"/>
              </w:rPr>
              <w:t>Korea is not a simple merchant coal-versus-JKM switch. KPX runs a centrally scheduled Cost-Based Pool; KEPCO is the single buyer; generator costs are assessed; and coal burn is shaped by nuclear output, LNG availability, fine-dust restrictions, carbon recognition, and system constraints as much as by spot coal price.</w:t>
            </w:r>
          </w:p>
        </w:tc>
      </w:tr>
    </w:tbl>
    <w:p>
      <w:pPr>
        <w:pStyle w:val="ListBullet"/>
      </w:pPr>
      <w:r>
        <w:rPr>
          <w:rFonts w:ascii="Calibri" w:hAnsi="Calibri"/>
        </w:rPr>
        <w:t>The commercial coal question is not just whether coal is cheaper than LNG. The better question is whether coal can physically and legally run, and whether its recognized cost position is changing versus LNG.</w:t>
      </w:r>
    </w:p>
    <w:p>
      <w:pPr>
        <w:pStyle w:val="ListBullet"/>
      </w:pPr>
      <w:r>
        <w:rPr>
          <w:rFonts w:ascii="Calibri" w:hAnsi="Calibri"/>
        </w:rPr>
        <w:t>Coal produced 164.8 TWh of KPX-traded electricity in 2025, close to LNG at 159.2 TWh. That makes small monthly shifts meaningful for prompt cargo demand. [S1]</w:t>
      </w:r>
    </w:p>
    <w:p>
      <w:pPr>
        <w:pStyle w:val="ListBullet"/>
      </w:pPr>
      <w:r>
        <w:rPr>
          <w:rFonts w:ascii="Calibri" w:hAnsi="Calibri"/>
        </w:rPr>
        <w:t>LNG set the mainland SMP in most counted 2025 intervals, but coal still carried large baseload energy. Price setting and fuel burn are different signals. [S1]</w:t>
      </w:r>
    </w:p>
    <w:p>
      <w:pPr>
        <w:pStyle w:val="ListBullet"/>
      </w:pPr>
      <w:r>
        <w:rPr>
          <w:rFonts w:ascii="Calibri" w:hAnsi="Calibri"/>
        </w:rPr>
        <w:t>Winter fine-dust policy can restrict coal even when coal is in merit; nuclear outages can lift fossil demand even when coal/LNG spreads do not move. [S10], [S14]</w:t>
      </w:r>
    </w:p>
    <w:p>
      <w:pPr>
        <w:pStyle w:val="Heading1"/>
      </w:pPr>
      <w:r>
        <w:t>1. Market Architecture</w:t>
      </w:r>
    </w:p>
    <w:p>
      <w:r>
        <w:rPr>
          <w:rFonts w:ascii="Calibri" w:hAnsi="Calibri"/>
        </w:rPr>
        <w:t>KPX operates Korea's wholesale power market and system operation. KPX describes the market as a pool in which generators sell electricity and KEPCO acts as the single buyer. The IEA describes the structure as a day-ahead wholesale market run by KPX, with KEPCO controlling transmission, distribution, and retail supply. [S2], [S7]</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vAlign w:val="center"/>
            <w:shd w:fill="E8EEF5"/>
            <w:tcMar>
              <w:top w:w="80" w:type="dxa"/>
              <w:start w:w="120" w:type="dxa"/>
              <w:bottom w:w="80" w:type="dxa"/>
              <w:end w:w="120" w:type="dxa"/>
            </w:tcMar>
          </w:tcPr>
          <w:p>
            <w:pPr>
              <w:jc w:val="center"/>
            </w:pPr>
            <w:r>
              <w:rPr>
                <w:rFonts w:ascii="Calibri" w:hAnsi="Calibri"/>
                <w:b/>
                <w:color w:val="24231F"/>
              </w:rPr>
              <w:t>Actor</w:t>
            </w:r>
          </w:p>
        </w:tc>
        <w:tc>
          <w:tcPr>
            <w:tcW w:type="dxa" w:w="3096"/>
            <w:vAlign w:val="center"/>
            <w:shd w:fill="E8EEF5"/>
            <w:tcMar>
              <w:top w:w="80" w:type="dxa"/>
              <w:start w:w="120" w:type="dxa"/>
              <w:bottom w:w="80" w:type="dxa"/>
              <w:end w:w="120" w:type="dxa"/>
            </w:tcMar>
          </w:tcPr>
          <w:p>
            <w:pPr>
              <w:jc w:val="center"/>
            </w:pPr>
            <w:r>
              <w:rPr>
                <w:rFonts w:ascii="Calibri" w:hAnsi="Calibri"/>
                <w:b/>
                <w:color w:val="24231F"/>
              </w:rPr>
              <w:t>What they control</w:t>
            </w:r>
          </w:p>
        </w:tc>
        <w:tc>
          <w:tcPr>
            <w:tcW w:type="dxa" w:w="4464"/>
            <w:vAlign w:val="center"/>
            <w:shd w:fill="E8EEF5"/>
            <w:tcMar>
              <w:top w:w="80" w:type="dxa"/>
              <w:start w:w="120" w:type="dxa"/>
              <w:bottom w:w="80" w:type="dxa"/>
              <w:end w:w="120" w:type="dxa"/>
            </w:tcMar>
          </w:tcPr>
          <w:p>
            <w:pPr>
              <w:jc w:val="center"/>
            </w:pPr>
            <w:r>
              <w:rPr>
                <w:rFonts w:ascii="Calibri" w:hAnsi="Calibri"/>
                <w:b/>
                <w:color w:val="24231F"/>
              </w:rPr>
              <w:t>Why a coal trader should care</w:t>
            </w:r>
          </w:p>
        </w:tc>
      </w:tr>
      <w:tr>
        <w:tc>
          <w:tcPr>
            <w:tcW w:type="dxa" w:w="3120"/>
            <w:vAlign w:val="center"/>
            <w:tcMar>
              <w:top w:w="80" w:type="dxa"/>
              <w:start w:w="120" w:type="dxa"/>
              <w:bottom w:w="80" w:type="dxa"/>
              <w:end w:w="120" w:type="dxa"/>
            </w:tcMar>
          </w:tcPr>
          <w:p>
            <w:pPr>
              <w:jc w:val="left"/>
            </w:pPr>
            <w:r>
              <w:rPr>
                <w:rFonts w:ascii="Calibri" w:hAnsi="Calibri"/>
              </w:rPr>
              <w:t>KPX</w:t>
            </w:r>
          </w:p>
        </w:tc>
        <w:tc>
          <w:tcPr>
            <w:tcW w:type="dxa" w:w="3120"/>
            <w:vAlign w:val="center"/>
            <w:tcMar>
              <w:top w:w="80" w:type="dxa"/>
              <w:start w:w="120" w:type="dxa"/>
              <w:bottom w:w="80" w:type="dxa"/>
              <w:end w:w="120" w:type="dxa"/>
            </w:tcMar>
          </w:tcPr>
          <w:p>
            <w:pPr>
              <w:jc w:val="center"/>
            </w:pPr>
            <w:r>
              <w:rPr>
                <w:rFonts w:ascii="Calibri" w:hAnsi="Calibri"/>
              </w:rPr>
              <w:t>Market operation, system scheduling, SMP calculation, settlement administration</w:t>
            </w:r>
          </w:p>
        </w:tc>
        <w:tc>
          <w:tcPr>
            <w:tcW w:type="dxa" w:w="3120"/>
            <w:vAlign w:val="center"/>
            <w:tcMar>
              <w:top w:w="80" w:type="dxa"/>
              <w:start w:w="120" w:type="dxa"/>
              <w:bottom w:w="80" w:type="dxa"/>
              <w:end w:w="120" w:type="dxa"/>
            </w:tcMar>
          </w:tcPr>
          <w:p>
            <w:pPr>
              <w:jc w:val="center"/>
            </w:pPr>
            <w:r>
              <w:rPr>
                <w:rFonts w:ascii="Calibri" w:hAnsi="Calibri"/>
              </w:rPr>
              <w:t>Determines day-ahead schedules and marginal pricing under cost-based rules.</w:t>
            </w:r>
          </w:p>
        </w:tc>
      </w:tr>
      <w:tr>
        <w:tc>
          <w:tcPr>
            <w:tcW w:type="dxa" w:w="3120"/>
            <w:vAlign w:val="center"/>
            <w:tcMar>
              <w:top w:w="80" w:type="dxa"/>
              <w:start w:w="120" w:type="dxa"/>
              <w:bottom w:w="80" w:type="dxa"/>
              <w:end w:w="120" w:type="dxa"/>
            </w:tcMar>
          </w:tcPr>
          <w:p>
            <w:pPr>
              <w:jc w:val="left"/>
            </w:pPr>
            <w:r>
              <w:rPr>
                <w:rFonts w:ascii="Calibri" w:hAnsi="Calibri"/>
              </w:rPr>
              <w:t>KEPCO</w:t>
            </w:r>
          </w:p>
        </w:tc>
        <w:tc>
          <w:tcPr>
            <w:tcW w:type="dxa" w:w="3120"/>
            <w:vAlign w:val="center"/>
            <w:tcMar>
              <w:top w:w="80" w:type="dxa"/>
              <w:start w:w="120" w:type="dxa"/>
              <w:bottom w:w="80" w:type="dxa"/>
              <w:end w:w="120" w:type="dxa"/>
            </w:tcMar>
          </w:tcPr>
          <w:p>
            <w:pPr>
              <w:jc w:val="center"/>
            </w:pPr>
            <w:r>
              <w:rPr>
                <w:rFonts w:ascii="Calibri" w:hAnsi="Calibri"/>
              </w:rPr>
              <w:t>Single buyer, transmission/distribution/retail monopoly role</w:t>
            </w:r>
          </w:p>
        </w:tc>
        <w:tc>
          <w:tcPr>
            <w:tcW w:type="dxa" w:w="3120"/>
            <w:vAlign w:val="center"/>
            <w:tcMar>
              <w:top w:w="80" w:type="dxa"/>
              <w:start w:w="120" w:type="dxa"/>
              <w:bottom w:w="80" w:type="dxa"/>
              <w:end w:w="120" w:type="dxa"/>
            </w:tcMar>
          </w:tcPr>
          <w:p>
            <w:pPr>
              <w:jc w:val="center"/>
            </w:pPr>
            <w:r>
              <w:rPr>
                <w:rFonts w:ascii="Calibri" w:hAnsi="Calibri"/>
              </w:rPr>
              <w:t>Retail pricing and wholesale cost recovery do not work like a fully liberalized merchant market.</w:t>
            </w:r>
          </w:p>
        </w:tc>
      </w:tr>
      <w:tr>
        <w:tc>
          <w:tcPr>
            <w:tcW w:type="dxa" w:w="3120"/>
            <w:vAlign w:val="center"/>
            <w:tcMar>
              <w:top w:w="80" w:type="dxa"/>
              <w:start w:w="120" w:type="dxa"/>
              <w:bottom w:w="80" w:type="dxa"/>
              <w:end w:w="120" w:type="dxa"/>
            </w:tcMar>
          </w:tcPr>
          <w:p>
            <w:pPr>
              <w:jc w:val="left"/>
            </w:pPr>
            <w:r>
              <w:rPr>
                <w:rFonts w:ascii="Calibri" w:hAnsi="Calibri"/>
              </w:rPr>
              <w:t>KEPCO gencos</w:t>
            </w:r>
          </w:p>
        </w:tc>
        <w:tc>
          <w:tcPr>
            <w:tcW w:type="dxa" w:w="3120"/>
            <w:vAlign w:val="center"/>
            <w:tcMar>
              <w:top w:w="80" w:type="dxa"/>
              <w:start w:w="120" w:type="dxa"/>
              <w:bottom w:w="80" w:type="dxa"/>
              <w:end w:w="120" w:type="dxa"/>
            </w:tcMar>
          </w:tcPr>
          <w:p>
            <w:pPr>
              <w:jc w:val="center"/>
            </w:pPr>
            <w:r>
              <w:rPr>
                <w:rFonts w:ascii="Calibri" w:hAnsi="Calibri"/>
              </w:rPr>
              <w:t>Large coal and LNG fleet ownership</w:t>
            </w:r>
          </w:p>
        </w:tc>
        <w:tc>
          <w:tcPr>
            <w:tcW w:type="dxa" w:w="3120"/>
            <w:vAlign w:val="center"/>
            <w:tcMar>
              <w:top w:w="80" w:type="dxa"/>
              <w:start w:w="120" w:type="dxa"/>
              <w:bottom w:w="80" w:type="dxa"/>
              <w:end w:w="120" w:type="dxa"/>
            </w:tcMar>
          </w:tcPr>
          <w:p>
            <w:pPr>
              <w:jc w:val="center"/>
            </w:pPr>
            <w:r>
              <w:rPr>
                <w:rFonts w:ascii="Calibri" w:hAnsi="Calibri"/>
              </w:rPr>
              <w:t>Their outages, fuel costs, and policy compliance affect aggregate coal burn.</w:t>
            </w:r>
          </w:p>
        </w:tc>
      </w:tr>
      <w:tr>
        <w:tc>
          <w:tcPr>
            <w:tcW w:type="dxa" w:w="3120"/>
            <w:vAlign w:val="center"/>
            <w:tcMar>
              <w:top w:w="80" w:type="dxa"/>
              <w:start w:w="120" w:type="dxa"/>
              <w:bottom w:w="80" w:type="dxa"/>
              <w:end w:w="120" w:type="dxa"/>
            </w:tcMar>
          </w:tcPr>
          <w:p>
            <w:pPr>
              <w:jc w:val="left"/>
            </w:pPr>
            <w:r>
              <w:rPr>
                <w:rFonts w:ascii="Calibri" w:hAnsi="Calibri"/>
              </w:rPr>
              <w:t>KHNP</w:t>
            </w:r>
          </w:p>
        </w:tc>
        <w:tc>
          <w:tcPr>
            <w:tcW w:type="dxa" w:w="3120"/>
            <w:vAlign w:val="center"/>
            <w:tcMar>
              <w:top w:w="80" w:type="dxa"/>
              <w:start w:w="120" w:type="dxa"/>
              <w:bottom w:w="80" w:type="dxa"/>
              <w:end w:w="120" w:type="dxa"/>
            </w:tcMar>
          </w:tcPr>
          <w:p>
            <w:pPr>
              <w:jc w:val="center"/>
            </w:pPr>
            <w:r>
              <w:rPr>
                <w:rFonts w:ascii="Calibri" w:hAnsi="Calibri"/>
              </w:rPr>
              <w:t>Nuclear fleet</w:t>
            </w:r>
          </w:p>
        </w:tc>
        <w:tc>
          <w:tcPr>
            <w:tcW w:type="dxa" w:w="3120"/>
            <w:vAlign w:val="center"/>
            <w:tcMar>
              <w:top w:w="80" w:type="dxa"/>
              <w:start w:w="120" w:type="dxa"/>
              <w:bottom w:w="80" w:type="dxa"/>
              <w:end w:w="120" w:type="dxa"/>
            </w:tcMar>
          </w:tcPr>
          <w:p>
            <w:pPr>
              <w:jc w:val="center"/>
            </w:pPr>
            <w:r>
              <w:rPr>
                <w:rFonts w:ascii="Calibri" w:hAnsi="Calibri"/>
              </w:rPr>
              <w:t>Nuclear output is a major residual-load driver for fossil generation.</w:t>
            </w:r>
          </w:p>
        </w:tc>
      </w:tr>
      <w:tr>
        <w:tc>
          <w:tcPr>
            <w:tcW w:type="dxa" w:w="3120"/>
            <w:vAlign w:val="center"/>
            <w:tcMar>
              <w:top w:w="80" w:type="dxa"/>
              <w:start w:w="120" w:type="dxa"/>
              <w:bottom w:w="80" w:type="dxa"/>
              <w:end w:w="120" w:type="dxa"/>
            </w:tcMar>
          </w:tcPr>
          <w:p>
            <w:pPr>
              <w:jc w:val="left"/>
            </w:pPr>
            <w:r>
              <w:rPr>
                <w:rFonts w:ascii="Calibri" w:hAnsi="Calibri"/>
              </w:rPr>
              <w:t>KOGAS/direct LNG importers</w:t>
            </w:r>
          </w:p>
        </w:tc>
        <w:tc>
          <w:tcPr>
            <w:tcW w:type="dxa" w:w="3120"/>
            <w:vAlign w:val="center"/>
            <w:tcMar>
              <w:top w:w="80" w:type="dxa"/>
              <w:start w:w="120" w:type="dxa"/>
              <w:bottom w:w="80" w:type="dxa"/>
              <w:end w:w="120" w:type="dxa"/>
            </w:tcMar>
          </w:tcPr>
          <w:p>
            <w:pPr>
              <w:jc w:val="center"/>
            </w:pPr>
            <w:r>
              <w:rPr>
                <w:rFonts w:ascii="Calibri" w:hAnsi="Calibri"/>
              </w:rPr>
              <w:t>Gas procurement and supply channel</w:t>
            </w:r>
          </w:p>
        </w:tc>
        <w:tc>
          <w:tcPr>
            <w:tcW w:type="dxa" w:w="3120"/>
            <w:vAlign w:val="center"/>
            <w:tcMar>
              <w:top w:w="80" w:type="dxa"/>
              <w:start w:w="120" w:type="dxa"/>
              <w:bottom w:w="80" w:type="dxa"/>
              <w:end w:w="120" w:type="dxa"/>
            </w:tcMar>
          </w:tcPr>
          <w:p>
            <w:pPr>
              <w:jc w:val="center"/>
            </w:pPr>
            <w:r>
              <w:rPr>
                <w:rFonts w:ascii="Calibri" w:hAnsi="Calibri"/>
              </w:rPr>
              <w:t>LNG economics may reflect portfolio procurement or direct-import economics, not spot JKM alone.</w:t>
            </w:r>
          </w:p>
        </w:tc>
      </w:tr>
      <w:tr>
        <w:tc>
          <w:tcPr>
            <w:tcW w:type="dxa" w:w="3120"/>
            <w:vAlign w:val="center"/>
            <w:tcMar>
              <w:top w:w="80" w:type="dxa"/>
              <w:start w:w="120" w:type="dxa"/>
              <w:bottom w:w="80" w:type="dxa"/>
              <w:end w:w="120" w:type="dxa"/>
            </w:tcMar>
          </w:tcPr>
          <w:p>
            <w:pPr>
              <w:jc w:val="left"/>
            </w:pPr>
            <w:r>
              <w:rPr>
                <w:rFonts w:ascii="Calibri" w:hAnsi="Calibri"/>
              </w:rPr>
              <w:t>MOTIE/MCEE</w:t>
            </w:r>
          </w:p>
        </w:tc>
        <w:tc>
          <w:tcPr>
            <w:tcW w:type="dxa" w:w="3120"/>
            <w:vAlign w:val="center"/>
            <w:tcMar>
              <w:top w:w="80" w:type="dxa"/>
              <w:start w:w="120" w:type="dxa"/>
              <w:bottom w:w="80" w:type="dxa"/>
              <w:end w:w="120" w:type="dxa"/>
            </w:tcMar>
          </w:tcPr>
          <w:p>
            <w:pPr>
              <w:jc w:val="center"/>
            </w:pPr>
            <w:r>
              <w:rPr>
                <w:rFonts w:ascii="Calibri" w:hAnsi="Calibri"/>
              </w:rPr>
              <w:t>Long-term supply plan, energy policy, fine-dust policy</w:t>
            </w:r>
          </w:p>
        </w:tc>
        <w:tc>
          <w:tcPr>
            <w:tcW w:type="dxa" w:w="3120"/>
            <w:vAlign w:val="center"/>
            <w:tcMar>
              <w:top w:w="80" w:type="dxa"/>
              <w:start w:w="120" w:type="dxa"/>
              <w:bottom w:w="80" w:type="dxa"/>
              <w:end w:w="120" w:type="dxa"/>
            </w:tcMar>
          </w:tcPr>
          <w:p>
            <w:pPr>
              <w:jc w:val="center"/>
            </w:pPr>
            <w:r>
              <w:rPr>
                <w:rFonts w:ascii="Calibri" w:hAnsi="Calibri"/>
              </w:rPr>
              <w:t>Can shift coal availability independently of price spreads.</w:t>
            </w:r>
          </w:p>
        </w:tc>
      </w:tr>
    </w:tbl>
    <w:p>
      <w:pPr>
        <w:spacing w:before="80" w:after="80"/>
      </w:pPr>
      <w:r>
        <w:rPr>
          <w:rFonts w:ascii="Calibri" w:hAnsi="Calibri"/>
          <w:i/>
          <w:color w:val="5C5C5C"/>
          <w:sz w:val="18"/>
        </w:rPr>
        <w:t>Source: KPX and IEA market structure descriptions. [S2], [S7]</w:t>
      </w:r>
    </w:p>
    <w:p>
      <w:pPr>
        <w:pStyle w:val="Heading1"/>
      </w:pPr>
      <w:r>
        <w:t>2. KPX Cost-Based Pool</w:t>
      </w:r>
    </w:p>
    <w:p>
      <w:r>
        <w:rPr>
          <w:rFonts w:ascii="Calibri" w:hAnsi="Calibri"/>
        </w:rPr>
        <w:t>Korea's wholesale market is a Cost-Based Pool. KPX states that generator fixed costs and variable costs are examined monthly by the Generation Cost Assessment Committee based on documents submitted by generators. The Cost Evaluation Committee performs the assessed-cost function. [S2], [S5]</w:t>
      </w:r>
    </w:p>
    <w:p>
      <w:r>
        <w:rPr>
          <w:rFonts w:ascii="Calibri" w:hAnsi="Calibri"/>
        </w:rPr>
        <w:t>KPX determines market prices one day ahead for each hour. Its Price Setting Schedule selects generator operation to meet forecast demand while satisfying system constraints at the lowest generation cost; the highest-cost dispatched generator becomes the marginal plant and sets SMP. [S3]</w:t>
      </w:r>
    </w:p>
    <w:p>
      <w:r>
        <w:rPr>
          <w:rFonts w:ascii="Calibri" w:hAnsi="Calibri"/>
        </w:rPr>
        <w:t>The trading-system description matters because KPX explicitly refers to schedules that consider fuel and transmission constraints. A pure coal/Japan-Korea Marker comparison misses that operational layer. [S4]</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655"/>
            <w:vAlign w:val="center"/>
            <w:shd w:fill="E8EEF5"/>
            <w:tcMar>
              <w:top w:w="80" w:type="dxa"/>
              <w:start w:w="120" w:type="dxa"/>
              <w:bottom w:w="80" w:type="dxa"/>
              <w:end w:w="120" w:type="dxa"/>
            </w:tcMar>
          </w:tcPr>
          <w:p>
            <w:pPr>
              <w:jc w:val="center"/>
            </w:pPr>
            <w:r>
              <w:rPr>
                <w:rFonts w:ascii="Calibri" w:hAnsi="Calibri"/>
                <w:b/>
                <w:color w:val="24231F"/>
              </w:rPr>
              <w:t>Term</w:t>
            </w:r>
          </w:p>
        </w:tc>
        <w:tc>
          <w:tcPr>
            <w:tcW w:type="dxa" w:w="3671"/>
            <w:vAlign w:val="center"/>
            <w:shd w:fill="E8EEF5"/>
            <w:tcMar>
              <w:top w:w="80" w:type="dxa"/>
              <w:start w:w="120" w:type="dxa"/>
              <w:bottom w:w="80" w:type="dxa"/>
              <w:end w:w="120" w:type="dxa"/>
            </w:tcMar>
          </w:tcPr>
          <w:p>
            <w:pPr>
              <w:jc w:val="center"/>
            </w:pPr>
            <w:r>
              <w:rPr>
                <w:rFonts w:ascii="Calibri" w:hAnsi="Calibri"/>
                <w:b/>
                <w:color w:val="24231F"/>
              </w:rPr>
              <w:t>Meaning</w:t>
            </w:r>
          </w:p>
        </w:tc>
        <w:tc>
          <w:tcPr>
            <w:tcW w:type="dxa" w:w="4031"/>
            <w:vAlign w:val="center"/>
            <w:shd w:fill="E8EEF5"/>
            <w:tcMar>
              <w:top w:w="80" w:type="dxa"/>
              <w:start w:w="120" w:type="dxa"/>
              <w:bottom w:w="80" w:type="dxa"/>
              <w:end w:w="120" w:type="dxa"/>
            </w:tcMar>
          </w:tcPr>
          <w:p>
            <w:pPr>
              <w:jc w:val="center"/>
            </w:pPr>
            <w:r>
              <w:rPr>
                <w:rFonts w:ascii="Calibri" w:hAnsi="Calibri"/>
                <w:b/>
                <w:color w:val="24231F"/>
              </w:rPr>
              <w:t>Trader relevance</w:t>
            </w:r>
          </w:p>
        </w:tc>
      </w:tr>
      <w:tr>
        <w:tc>
          <w:tcPr>
            <w:tcW w:type="dxa" w:w="3120"/>
            <w:vAlign w:val="center"/>
            <w:tcMar>
              <w:top w:w="80" w:type="dxa"/>
              <w:start w:w="120" w:type="dxa"/>
              <w:bottom w:w="80" w:type="dxa"/>
              <w:end w:w="120" w:type="dxa"/>
            </w:tcMar>
          </w:tcPr>
          <w:p>
            <w:pPr>
              <w:jc w:val="left"/>
            </w:pPr>
            <w:r>
              <w:rPr>
                <w:rFonts w:ascii="Calibri" w:hAnsi="Calibri"/>
              </w:rPr>
              <w:t>GCAC</w:t>
            </w:r>
          </w:p>
        </w:tc>
        <w:tc>
          <w:tcPr>
            <w:tcW w:type="dxa" w:w="3120"/>
            <w:vAlign w:val="center"/>
            <w:tcMar>
              <w:top w:w="80" w:type="dxa"/>
              <w:start w:w="120" w:type="dxa"/>
              <w:bottom w:w="80" w:type="dxa"/>
              <w:end w:w="120" w:type="dxa"/>
            </w:tcMar>
          </w:tcPr>
          <w:p>
            <w:pPr>
              <w:jc w:val="center"/>
            </w:pPr>
            <w:r>
              <w:rPr>
                <w:rFonts w:ascii="Calibri" w:hAnsi="Calibri"/>
              </w:rPr>
              <w:t>Monthly assessment of generator costs</w:t>
            </w:r>
          </w:p>
        </w:tc>
        <w:tc>
          <w:tcPr>
            <w:tcW w:type="dxa" w:w="3120"/>
            <w:vAlign w:val="center"/>
            <w:tcMar>
              <w:top w:w="80" w:type="dxa"/>
              <w:start w:w="120" w:type="dxa"/>
              <w:bottom w:w="80" w:type="dxa"/>
              <w:end w:w="120" w:type="dxa"/>
            </w:tcMar>
          </w:tcPr>
          <w:p>
            <w:pPr>
              <w:jc w:val="center"/>
            </w:pPr>
            <w:r>
              <w:rPr>
                <w:rFonts w:ascii="Calibri" w:hAnsi="Calibri"/>
              </w:rPr>
              <w:t>Fuel-price changes can lag in recognized dispatch economics.</w:t>
            </w:r>
          </w:p>
        </w:tc>
      </w:tr>
      <w:tr>
        <w:tc>
          <w:tcPr>
            <w:tcW w:type="dxa" w:w="3120"/>
            <w:vAlign w:val="center"/>
            <w:tcMar>
              <w:top w:w="80" w:type="dxa"/>
              <w:start w:w="120" w:type="dxa"/>
              <w:bottom w:w="80" w:type="dxa"/>
              <w:end w:w="120" w:type="dxa"/>
            </w:tcMar>
          </w:tcPr>
          <w:p>
            <w:pPr>
              <w:jc w:val="left"/>
            </w:pPr>
            <w:r>
              <w:rPr>
                <w:rFonts w:ascii="Calibri" w:hAnsi="Calibri"/>
              </w:rPr>
              <w:t>PSS</w:t>
            </w:r>
          </w:p>
        </w:tc>
        <w:tc>
          <w:tcPr>
            <w:tcW w:type="dxa" w:w="3120"/>
            <w:vAlign w:val="center"/>
            <w:tcMar>
              <w:top w:w="80" w:type="dxa"/>
              <w:start w:w="120" w:type="dxa"/>
              <w:bottom w:w="80" w:type="dxa"/>
              <w:end w:w="120" w:type="dxa"/>
            </w:tcMar>
          </w:tcPr>
          <w:p>
            <w:pPr>
              <w:jc w:val="center"/>
            </w:pPr>
            <w:r>
              <w:rPr>
                <w:rFonts w:ascii="Calibri" w:hAnsi="Calibri"/>
              </w:rPr>
              <w:t>Price Setting Schedule</w:t>
            </w:r>
          </w:p>
        </w:tc>
        <w:tc>
          <w:tcPr>
            <w:tcW w:type="dxa" w:w="3120"/>
            <w:vAlign w:val="center"/>
            <w:tcMar>
              <w:top w:w="80" w:type="dxa"/>
              <w:start w:w="120" w:type="dxa"/>
              <w:bottom w:w="80" w:type="dxa"/>
              <w:end w:w="120" w:type="dxa"/>
            </w:tcMar>
          </w:tcPr>
          <w:p>
            <w:pPr>
              <w:jc w:val="center"/>
            </w:pPr>
            <w:r>
              <w:rPr>
                <w:rFonts w:ascii="Calibri" w:hAnsi="Calibri"/>
              </w:rPr>
              <w:t>The relevant stack is assessed-cost dispatch, not free bids.</w:t>
            </w:r>
          </w:p>
        </w:tc>
      </w:tr>
      <w:tr>
        <w:tc>
          <w:tcPr>
            <w:tcW w:type="dxa" w:w="3120"/>
            <w:vAlign w:val="center"/>
            <w:tcMar>
              <w:top w:w="80" w:type="dxa"/>
              <w:start w:w="120" w:type="dxa"/>
              <w:bottom w:w="80" w:type="dxa"/>
              <w:end w:w="120" w:type="dxa"/>
            </w:tcMar>
          </w:tcPr>
          <w:p>
            <w:pPr>
              <w:jc w:val="left"/>
            </w:pPr>
            <w:r>
              <w:rPr>
                <w:rFonts w:ascii="Calibri" w:hAnsi="Calibri"/>
              </w:rPr>
              <w:t>SMP</w:t>
            </w:r>
          </w:p>
        </w:tc>
        <w:tc>
          <w:tcPr>
            <w:tcW w:type="dxa" w:w="3120"/>
            <w:vAlign w:val="center"/>
            <w:tcMar>
              <w:top w:w="80" w:type="dxa"/>
              <w:start w:w="120" w:type="dxa"/>
              <w:bottom w:w="80" w:type="dxa"/>
              <w:end w:w="120" w:type="dxa"/>
            </w:tcMar>
          </w:tcPr>
          <w:p>
            <w:pPr>
              <w:jc w:val="center"/>
            </w:pPr>
            <w:r>
              <w:rPr>
                <w:rFonts w:ascii="Calibri" w:hAnsi="Calibri"/>
              </w:rPr>
              <w:t>System Marginal Price</w:t>
            </w:r>
          </w:p>
        </w:tc>
        <w:tc>
          <w:tcPr>
            <w:tcW w:type="dxa" w:w="3120"/>
            <w:vAlign w:val="center"/>
            <w:tcMar>
              <w:top w:w="80" w:type="dxa"/>
              <w:start w:w="120" w:type="dxa"/>
              <w:bottom w:w="80" w:type="dxa"/>
              <w:end w:w="120" w:type="dxa"/>
            </w:tcMar>
          </w:tcPr>
          <w:p>
            <w:pPr>
              <w:jc w:val="center"/>
            </w:pPr>
            <w:r>
              <w:rPr>
                <w:rFonts w:ascii="Calibri" w:hAnsi="Calibri"/>
              </w:rPr>
              <w:t>Frequently set by LNG, but not equal to LNG generation share.</w:t>
            </w:r>
          </w:p>
        </w:tc>
      </w:tr>
      <w:tr>
        <w:tc>
          <w:tcPr>
            <w:tcW w:type="dxa" w:w="3120"/>
            <w:vAlign w:val="center"/>
            <w:tcMar>
              <w:top w:w="80" w:type="dxa"/>
              <w:start w:w="120" w:type="dxa"/>
              <w:bottom w:w="80" w:type="dxa"/>
              <w:end w:w="120" w:type="dxa"/>
            </w:tcMar>
          </w:tcPr>
          <w:p>
            <w:pPr>
              <w:jc w:val="left"/>
            </w:pPr>
            <w:r>
              <w:rPr>
                <w:rFonts w:ascii="Calibri" w:hAnsi="Calibri"/>
              </w:rPr>
              <w:t>Settlement</w:t>
            </w:r>
          </w:p>
        </w:tc>
        <w:tc>
          <w:tcPr>
            <w:tcW w:type="dxa" w:w="3120"/>
            <w:vAlign w:val="center"/>
            <w:tcMar>
              <w:top w:w="80" w:type="dxa"/>
              <w:start w:w="120" w:type="dxa"/>
              <w:bottom w:w="80" w:type="dxa"/>
              <w:end w:w="120" w:type="dxa"/>
            </w:tcMar>
          </w:tcPr>
          <w:p>
            <w:pPr>
              <w:jc w:val="center"/>
            </w:pPr>
            <w:r>
              <w:rPr>
                <w:rFonts w:ascii="Calibri" w:hAnsi="Calibri"/>
              </w:rPr>
              <w:t>Post-trade cash process</w:t>
            </w:r>
          </w:p>
        </w:tc>
        <w:tc>
          <w:tcPr>
            <w:tcW w:type="dxa" w:w="3120"/>
            <w:vAlign w:val="center"/>
            <w:tcMar>
              <w:top w:w="80" w:type="dxa"/>
              <w:start w:w="120" w:type="dxa"/>
              <w:bottom w:w="80" w:type="dxa"/>
              <w:end w:w="120" w:type="dxa"/>
            </w:tcMar>
          </w:tcPr>
          <w:p>
            <w:pPr>
              <w:jc w:val="center"/>
            </w:pPr>
            <w:r>
              <w:rPr>
                <w:rFonts w:ascii="Calibri" w:hAnsi="Calibri"/>
              </w:rPr>
              <w:t>Settlement has more components than energy price; burn and payments are not the same thing.</w:t>
            </w:r>
          </w:p>
        </w:tc>
      </w:tr>
    </w:tbl>
    <w:p>
      <w:pPr>
        <w:spacing w:before="80" w:after="80"/>
      </w:pPr>
      <w:r>
        <w:rPr>
          <w:rFonts w:ascii="Calibri" w:hAnsi="Calibri"/>
          <w:i/>
          <w:color w:val="5C5C5C"/>
          <w:sz w:val="18"/>
        </w:rPr>
        <w:t>Source: KPX trading, price-determination, and settlement process pages. [S2]-[S6]</w:t>
      </w:r>
    </w:p>
    <w:p>
      <w:pPr>
        <w:pStyle w:val="Heading1"/>
      </w:pPr>
      <w:r>
        <w:t>3. 2025 Fuel Baseline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944"/>
            <w:vAlign w:val="center"/>
            <w:shd w:fill="E8EEF5"/>
            <w:tcMar>
              <w:top w:w="80" w:type="dxa"/>
              <w:start w:w="120" w:type="dxa"/>
              <w:bottom w:w="80" w:type="dxa"/>
              <w:end w:w="120" w:type="dxa"/>
            </w:tcMar>
          </w:tcPr>
          <w:p>
            <w:pPr>
              <w:jc w:val="center"/>
            </w:pPr>
            <w:r>
              <w:rPr>
                <w:rFonts w:ascii="Calibri" w:hAnsi="Calibri"/>
                <w:b/>
                <w:color w:val="24231F"/>
              </w:rPr>
              <w:t>Fuel</w:t>
            </w:r>
          </w:p>
        </w:tc>
        <w:tc>
          <w:tcPr>
            <w:tcW w:type="dxa" w:w="2088"/>
            <w:vAlign w:val="center"/>
            <w:shd w:fill="E8EEF5"/>
            <w:tcMar>
              <w:top w:w="80" w:type="dxa"/>
              <w:start w:w="120" w:type="dxa"/>
              <w:bottom w:w="80" w:type="dxa"/>
              <w:end w:w="120" w:type="dxa"/>
            </w:tcMar>
          </w:tcPr>
          <w:p>
            <w:pPr>
              <w:jc w:val="center"/>
            </w:pPr>
            <w:r>
              <w:rPr>
                <w:rFonts w:ascii="Calibri" w:hAnsi="Calibri"/>
                <w:b/>
                <w:color w:val="24231F"/>
              </w:rPr>
              <w:t>Capacity MW</w:t>
            </w:r>
          </w:p>
        </w:tc>
        <w:tc>
          <w:tcPr>
            <w:tcW w:type="dxa" w:w="2088"/>
            <w:vAlign w:val="center"/>
            <w:shd w:fill="E8EEF5"/>
            <w:tcMar>
              <w:top w:w="80" w:type="dxa"/>
              <w:start w:w="120" w:type="dxa"/>
              <w:bottom w:w="80" w:type="dxa"/>
              <w:end w:w="120" w:type="dxa"/>
            </w:tcMar>
          </w:tcPr>
          <w:p>
            <w:pPr>
              <w:jc w:val="center"/>
            </w:pPr>
            <w:r>
              <w:rPr>
                <w:rFonts w:ascii="Calibri" w:hAnsi="Calibri"/>
                <w:b/>
                <w:color w:val="24231F"/>
              </w:rPr>
              <w:t>Trading GWh</w:t>
            </w:r>
          </w:p>
        </w:tc>
        <w:tc>
          <w:tcPr>
            <w:tcW w:type="dxa" w:w="3240"/>
            <w:vAlign w:val="center"/>
            <w:shd w:fill="E8EEF5"/>
            <w:tcMar>
              <w:top w:w="80" w:type="dxa"/>
              <w:start w:w="120" w:type="dxa"/>
              <w:bottom w:w="80" w:type="dxa"/>
              <w:end w:w="120" w:type="dxa"/>
            </w:tcMar>
          </w:tcPr>
          <w:p>
            <w:pPr>
              <w:jc w:val="center"/>
            </w:pPr>
            <w:r>
              <w:rPr>
                <w:rFonts w:ascii="Calibri" w:hAnsi="Calibri"/>
                <w:b/>
                <w:color w:val="24231F"/>
              </w:rPr>
              <w:t>Share of trading volume</w:t>
            </w:r>
          </w:p>
        </w:tc>
      </w:tr>
      <w:tr>
        <w:tc>
          <w:tcPr>
            <w:tcW w:type="dxa" w:w="2340"/>
            <w:vAlign w:val="center"/>
            <w:tcMar>
              <w:top w:w="80" w:type="dxa"/>
              <w:start w:w="120" w:type="dxa"/>
              <w:bottom w:w="80" w:type="dxa"/>
              <w:end w:w="120" w:type="dxa"/>
            </w:tcMar>
          </w:tcPr>
          <w:p>
            <w:pPr>
              <w:jc w:val="left"/>
            </w:pPr>
            <w:r>
              <w:rPr>
                <w:rFonts w:ascii="Calibri" w:hAnsi="Calibri"/>
              </w:rPr>
              <w:t>Nuclear</w:t>
            </w:r>
          </w:p>
        </w:tc>
        <w:tc>
          <w:tcPr>
            <w:tcW w:type="dxa" w:w="2340"/>
            <w:vAlign w:val="center"/>
            <w:tcMar>
              <w:top w:w="80" w:type="dxa"/>
              <w:start w:w="120" w:type="dxa"/>
              <w:bottom w:w="80" w:type="dxa"/>
              <w:end w:w="120" w:type="dxa"/>
            </w:tcMar>
          </w:tcPr>
          <w:p>
            <w:pPr>
              <w:jc w:val="center"/>
            </w:pPr>
            <w:r>
              <w:rPr>
                <w:rFonts w:ascii="Calibri" w:hAnsi="Calibri"/>
              </w:rPr>
              <w:t>26,050</w:t>
            </w:r>
          </w:p>
        </w:tc>
        <w:tc>
          <w:tcPr>
            <w:tcW w:type="dxa" w:w="2340"/>
            <w:vAlign w:val="center"/>
            <w:tcMar>
              <w:top w:w="80" w:type="dxa"/>
              <w:start w:w="120" w:type="dxa"/>
              <w:bottom w:w="80" w:type="dxa"/>
              <w:end w:w="120" w:type="dxa"/>
            </w:tcMar>
          </w:tcPr>
          <w:p>
            <w:pPr>
              <w:jc w:val="center"/>
            </w:pPr>
            <w:r>
              <w:rPr>
                <w:rFonts w:ascii="Calibri" w:hAnsi="Calibri"/>
              </w:rPr>
              <w:t>175,549</w:t>
            </w:r>
          </w:p>
        </w:tc>
        <w:tc>
          <w:tcPr>
            <w:tcW w:type="dxa" w:w="2340"/>
            <w:vAlign w:val="center"/>
            <w:tcMar>
              <w:top w:w="80" w:type="dxa"/>
              <w:start w:w="120" w:type="dxa"/>
              <w:bottom w:w="80" w:type="dxa"/>
              <w:end w:w="120" w:type="dxa"/>
            </w:tcMar>
          </w:tcPr>
          <w:p>
            <w:pPr>
              <w:jc w:val="center"/>
            </w:pPr>
            <w:r>
              <w:rPr>
                <w:rFonts w:ascii="Calibri" w:hAnsi="Calibri"/>
              </w:rPr>
              <w:t>32.1%</w:t>
            </w:r>
          </w:p>
        </w:tc>
      </w:tr>
      <w:tr>
        <w:tc>
          <w:tcPr>
            <w:tcW w:type="dxa" w:w="2340"/>
            <w:vAlign w:val="center"/>
            <w:tcMar>
              <w:top w:w="80" w:type="dxa"/>
              <w:start w:w="120" w:type="dxa"/>
              <w:bottom w:w="80" w:type="dxa"/>
              <w:end w:w="120" w:type="dxa"/>
            </w:tcMar>
          </w:tcPr>
          <w:p>
            <w:pPr>
              <w:jc w:val="left"/>
            </w:pPr>
            <w:r>
              <w:rPr>
                <w:rFonts w:ascii="Calibri" w:hAnsi="Calibri"/>
              </w:rPr>
              <w:t>Coal</w:t>
            </w:r>
          </w:p>
        </w:tc>
        <w:tc>
          <w:tcPr>
            <w:tcW w:type="dxa" w:w="2340"/>
            <w:vAlign w:val="center"/>
            <w:tcMar>
              <w:top w:w="80" w:type="dxa"/>
              <w:start w:w="120" w:type="dxa"/>
              <w:bottom w:w="80" w:type="dxa"/>
              <w:end w:w="120" w:type="dxa"/>
            </w:tcMar>
          </w:tcPr>
          <w:p>
            <w:pPr>
              <w:jc w:val="center"/>
            </w:pPr>
            <w:r>
              <w:rPr>
                <w:rFonts w:ascii="Calibri" w:hAnsi="Calibri"/>
              </w:rPr>
              <w:t>41,739</w:t>
            </w:r>
          </w:p>
        </w:tc>
        <w:tc>
          <w:tcPr>
            <w:tcW w:type="dxa" w:w="2340"/>
            <w:vAlign w:val="center"/>
            <w:tcMar>
              <w:top w:w="80" w:type="dxa"/>
              <w:start w:w="120" w:type="dxa"/>
              <w:bottom w:w="80" w:type="dxa"/>
              <w:end w:w="120" w:type="dxa"/>
            </w:tcMar>
          </w:tcPr>
          <w:p>
            <w:pPr>
              <w:jc w:val="center"/>
            </w:pPr>
            <w:r>
              <w:rPr>
                <w:rFonts w:ascii="Calibri" w:hAnsi="Calibri"/>
              </w:rPr>
              <w:t>164,790</w:t>
            </w:r>
          </w:p>
        </w:tc>
        <w:tc>
          <w:tcPr>
            <w:tcW w:type="dxa" w:w="2340"/>
            <w:vAlign w:val="center"/>
            <w:tcMar>
              <w:top w:w="80" w:type="dxa"/>
              <w:start w:w="120" w:type="dxa"/>
              <w:bottom w:w="80" w:type="dxa"/>
              <w:end w:w="120" w:type="dxa"/>
            </w:tcMar>
          </w:tcPr>
          <w:p>
            <w:pPr>
              <w:jc w:val="center"/>
            </w:pPr>
            <w:r>
              <w:rPr>
                <w:rFonts w:ascii="Calibri" w:hAnsi="Calibri"/>
              </w:rPr>
              <w:t>30.1%</w:t>
            </w:r>
          </w:p>
        </w:tc>
      </w:tr>
      <w:tr>
        <w:tc>
          <w:tcPr>
            <w:tcW w:type="dxa" w:w="2340"/>
            <w:vAlign w:val="center"/>
            <w:tcMar>
              <w:top w:w="80" w:type="dxa"/>
              <w:start w:w="120" w:type="dxa"/>
              <w:bottom w:w="80" w:type="dxa"/>
              <w:end w:w="120" w:type="dxa"/>
            </w:tcMar>
          </w:tcPr>
          <w:p>
            <w:pPr>
              <w:jc w:val="left"/>
            </w:pPr>
            <w:r>
              <w:rPr>
                <w:rFonts w:ascii="Calibri" w:hAnsi="Calibri"/>
              </w:rPr>
              <w:t>LNG</w:t>
            </w:r>
          </w:p>
        </w:tc>
        <w:tc>
          <w:tcPr>
            <w:tcW w:type="dxa" w:w="2340"/>
            <w:vAlign w:val="center"/>
            <w:tcMar>
              <w:top w:w="80" w:type="dxa"/>
              <w:start w:w="120" w:type="dxa"/>
              <w:bottom w:w="80" w:type="dxa"/>
              <w:end w:w="120" w:type="dxa"/>
            </w:tcMar>
          </w:tcPr>
          <w:p>
            <w:pPr>
              <w:jc w:val="center"/>
            </w:pPr>
            <w:r>
              <w:rPr>
                <w:rFonts w:ascii="Calibri" w:hAnsi="Calibri"/>
              </w:rPr>
              <w:t>48,388</w:t>
            </w:r>
          </w:p>
        </w:tc>
        <w:tc>
          <w:tcPr>
            <w:tcW w:type="dxa" w:w="2340"/>
            <w:vAlign w:val="center"/>
            <w:tcMar>
              <w:top w:w="80" w:type="dxa"/>
              <w:start w:w="120" w:type="dxa"/>
              <w:bottom w:w="80" w:type="dxa"/>
              <w:end w:w="120" w:type="dxa"/>
            </w:tcMar>
          </w:tcPr>
          <w:p>
            <w:pPr>
              <w:jc w:val="center"/>
            </w:pPr>
            <w:r>
              <w:rPr>
                <w:rFonts w:ascii="Calibri" w:hAnsi="Calibri"/>
              </w:rPr>
              <w:t>159,227</w:t>
            </w:r>
          </w:p>
        </w:tc>
        <w:tc>
          <w:tcPr>
            <w:tcW w:type="dxa" w:w="2340"/>
            <w:vAlign w:val="center"/>
            <w:tcMar>
              <w:top w:w="80" w:type="dxa"/>
              <w:start w:w="120" w:type="dxa"/>
              <w:bottom w:w="80" w:type="dxa"/>
              <w:end w:w="120" w:type="dxa"/>
            </w:tcMar>
          </w:tcPr>
          <w:p>
            <w:pPr>
              <w:jc w:val="center"/>
            </w:pPr>
            <w:r>
              <w:rPr>
                <w:rFonts w:ascii="Calibri" w:hAnsi="Calibri"/>
              </w:rPr>
              <w:t>29.1%</w:t>
            </w:r>
          </w:p>
        </w:tc>
      </w:tr>
      <w:tr>
        <w:tc>
          <w:tcPr>
            <w:tcW w:type="dxa" w:w="2340"/>
            <w:vAlign w:val="center"/>
            <w:tcMar>
              <w:top w:w="80" w:type="dxa"/>
              <w:start w:w="120" w:type="dxa"/>
              <w:bottom w:w="80" w:type="dxa"/>
              <w:end w:w="120" w:type="dxa"/>
            </w:tcMar>
          </w:tcPr>
          <w:p>
            <w:pPr>
              <w:jc w:val="left"/>
            </w:pPr>
            <w:r>
              <w:rPr>
                <w:rFonts w:ascii="Calibri" w:hAnsi="Calibri"/>
              </w:rPr>
              <w:t>Renewables</w:t>
            </w:r>
          </w:p>
        </w:tc>
        <w:tc>
          <w:tcPr>
            <w:tcW w:type="dxa" w:w="2340"/>
            <w:vAlign w:val="center"/>
            <w:tcMar>
              <w:top w:w="80" w:type="dxa"/>
              <w:start w:w="120" w:type="dxa"/>
              <w:bottom w:w="80" w:type="dxa"/>
              <w:end w:w="120" w:type="dxa"/>
            </w:tcMar>
          </w:tcPr>
          <w:p>
            <w:pPr>
              <w:jc w:val="center"/>
            </w:pPr>
            <w:r>
              <w:rPr>
                <w:rFonts w:ascii="Calibri" w:hAnsi="Calibri"/>
              </w:rPr>
              <w:t>19,457</w:t>
            </w:r>
          </w:p>
        </w:tc>
        <w:tc>
          <w:tcPr>
            <w:tcW w:type="dxa" w:w="2340"/>
            <w:vAlign w:val="center"/>
            <w:tcMar>
              <w:top w:w="80" w:type="dxa"/>
              <w:start w:w="120" w:type="dxa"/>
              <w:bottom w:w="80" w:type="dxa"/>
              <w:end w:w="120" w:type="dxa"/>
            </w:tcMar>
          </w:tcPr>
          <w:p>
            <w:pPr>
              <w:jc w:val="center"/>
            </w:pPr>
            <w:r>
              <w:rPr>
                <w:rFonts w:ascii="Calibri" w:hAnsi="Calibri"/>
              </w:rPr>
              <w:t>39,697</w:t>
            </w:r>
          </w:p>
        </w:tc>
        <w:tc>
          <w:tcPr>
            <w:tcW w:type="dxa" w:w="2340"/>
            <w:vAlign w:val="center"/>
            <w:tcMar>
              <w:top w:w="80" w:type="dxa"/>
              <w:start w:w="120" w:type="dxa"/>
              <w:bottom w:w="80" w:type="dxa"/>
              <w:end w:w="120" w:type="dxa"/>
            </w:tcMar>
          </w:tcPr>
          <w:p>
            <w:pPr>
              <w:jc w:val="center"/>
            </w:pPr>
            <w:r>
              <w:rPr>
                <w:rFonts w:ascii="Calibri" w:hAnsi="Calibri"/>
              </w:rPr>
              <w:t>7.3%</w:t>
            </w:r>
          </w:p>
        </w:tc>
      </w:tr>
      <w:tr>
        <w:tc>
          <w:tcPr>
            <w:tcW w:type="dxa" w:w="2340"/>
            <w:vAlign w:val="center"/>
            <w:tcMar>
              <w:top w:w="80" w:type="dxa"/>
              <w:start w:w="120" w:type="dxa"/>
              <w:bottom w:w="80" w:type="dxa"/>
              <w:end w:w="120" w:type="dxa"/>
            </w:tcMar>
          </w:tcPr>
          <w:p>
            <w:pPr>
              <w:jc w:val="left"/>
            </w:pPr>
            <w:r>
              <w:rPr>
                <w:rFonts w:ascii="Calibri" w:hAnsi="Calibri"/>
              </w:rPr>
              <w:t>Pumped storage</w:t>
            </w:r>
          </w:p>
        </w:tc>
        <w:tc>
          <w:tcPr>
            <w:tcW w:type="dxa" w:w="2340"/>
            <w:vAlign w:val="center"/>
            <w:tcMar>
              <w:top w:w="80" w:type="dxa"/>
              <w:start w:w="120" w:type="dxa"/>
              <w:bottom w:w="80" w:type="dxa"/>
              <w:end w:w="120" w:type="dxa"/>
            </w:tcMar>
          </w:tcPr>
          <w:p>
            <w:pPr>
              <w:jc w:val="center"/>
            </w:pPr>
            <w:r>
              <w:rPr>
                <w:rFonts w:ascii="Calibri" w:hAnsi="Calibri"/>
              </w:rPr>
              <w:t>4,700</w:t>
            </w:r>
          </w:p>
        </w:tc>
        <w:tc>
          <w:tcPr>
            <w:tcW w:type="dxa" w:w="2340"/>
            <w:vAlign w:val="center"/>
            <w:tcMar>
              <w:top w:w="80" w:type="dxa"/>
              <w:start w:w="120" w:type="dxa"/>
              <w:bottom w:w="80" w:type="dxa"/>
              <w:end w:w="120" w:type="dxa"/>
            </w:tcMar>
          </w:tcPr>
          <w:p>
            <w:pPr>
              <w:jc w:val="center"/>
            </w:pPr>
            <w:r>
              <w:rPr>
                <w:rFonts w:ascii="Calibri" w:hAnsi="Calibri"/>
              </w:rPr>
              <w:t>4,414</w:t>
            </w:r>
          </w:p>
        </w:tc>
        <w:tc>
          <w:tcPr>
            <w:tcW w:type="dxa" w:w="2340"/>
            <w:vAlign w:val="center"/>
            <w:tcMar>
              <w:top w:w="80" w:type="dxa"/>
              <w:start w:w="120" w:type="dxa"/>
              <w:bottom w:w="80" w:type="dxa"/>
              <w:end w:w="120" w:type="dxa"/>
            </w:tcMar>
          </w:tcPr>
          <w:p>
            <w:pPr>
              <w:jc w:val="center"/>
            </w:pPr>
            <w:r>
              <w:rPr>
                <w:rFonts w:ascii="Calibri" w:hAnsi="Calibri"/>
              </w:rPr>
              <w:t>0.8%</w:t>
            </w:r>
          </w:p>
        </w:tc>
      </w:tr>
      <w:tr>
        <w:tc>
          <w:tcPr>
            <w:tcW w:type="dxa" w:w="2340"/>
            <w:vAlign w:val="center"/>
            <w:tcMar>
              <w:top w:w="80" w:type="dxa"/>
              <w:start w:w="120" w:type="dxa"/>
              <w:bottom w:w="80" w:type="dxa"/>
              <w:end w:w="120" w:type="dxa"/>
            </w:tcMar>
          </w:tcPr>
          <w:p>
            <w:pPr>
              <w:jc w:val="left"/>
            </w:pPr>
            <w:r>
              <w:rPr>
                <w:rFonts w:ascii="Calibri" w:hAnsi="Calibri"/>
              </w:rPr>
              <w:t>Oil / other</w:t>
            </w:r>
          </w:p>
        </w:tc>
        <w:tc>
          <w:tcPr>
            <w:tcW w:type="dxa" w:w="2340"/>
            <w:vAlign w:val="center"/>
            <w:tcMar>
              <w:top w:w="80" w:type="dxa"/>
              <w:start w:w="120" w:type="dxa"/>
              <w:bottom w:w="80" w:type="dxa"/>
              <w:end w:w="120" w:type="dxa"/>
            </w:tcMar>
          </w:tcPr>
          <w:p>
            <w:pPr>
              <w:jc w:val="center"/>
            </w:pPr>
            <w:r>
              <w:rPr>
                <w:rFonts w:ascii="Calibri" w:hAnsi="Calibri"/>
              </w:rPr>
              <w:t>5,824</w:t>
            </w:r>
          </w:p>
        </w:tc>
        <w:tc>
          <w:tcPr>
            <w:tcW w:type="dxa" w:w="2340"/>
            <w:vAlign w:val="center"/>
            <w:tcMar>
              <w:top w:w="80" w:type="dxa"/>
              <w:start w:w="120" w:type="dxa"/>
              <w:bottom w:w="80" w:type="dxa"/>
              <w:end w:w="120" w:type="dxa"/>
            </w:tcMar>
          </w:tcPr>
          <w:p>
            <w:pPr>
              <w:jc w:val="center"/>
            </w:pPr>
            <w:r>
              <w:rPr>
                <w:rFonts w:ascii="Calibri" w:hAnsi="Calibri"/>
              </w:rPr>
              <w:t>3,485</w:t>
            </w:r>
          </w:p>
        </w:tc>
        <w:tc>
          <w:tcPr>
            <w:tcW w:type="dxa" w:w="2340"/>
            <w:vAlign w:val="center"/>
            <w:tcMar>
              <w:top w:w="80" w:type="dxa"/>
              <w:start w:w="120" w:type="dxa"/>
              <w:bottom w:w="80" w:type="dxa"/>
              <w:end w:w="120" w:type="dxa"/>
            </w:tcMar>
          </w:tcPr>
          <w:p>
            <w:pPr>
              <w:jc w:val="center"/>
            </w:pPr>
            <w:r>
              <w:rPr>
                <w:rFonts w:ascii="Calibri" w:hAnsi="Calibri"/>
              </w:rPr>
              <w:t>0.6%</w:t>
            </w:r>
          </w:p>
        </w:tc>
      </w:tr>
    </w:tbl>
    <w:p>
      <w:pPr>
        <w:spacing w:before="80" w:after="80"/>
      </w:pPr>
      <w:r>
        <w:rPr>
          <w:rFonts w:ascii="Calibri" w:hAnsi="Calibri"/>
          <w:i/>
          <w:color w:val="5C5C5C"/>
          <w:sz w:val="18"/>
        </w:rPr>
        <w:t>Source: KPX 2025 Power Market Statistics. [S1]</w:t>
      </w:r>
    </w:p>
    <w:p>
      <w:r>
        <w:rPr>
          <w:rFonts w:ascii="Calibri" w:hAnsi="Calibri"/>
        </w:rPr>
        <w:t>The key trading read is that coal and LNG were close in annual traded energy. Coal was not marginal most of the time, but it was still a large physical baseload consumer. That distinction is where a coal trader can have edge: SMP tells you marginal price setting; monthly fuel-burn data tells you physical demand.</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440"/>
            <w:vAlign w:val="center"/>
            <w:shd w:fill="E8EEF5"/>
            <w:tcMar>
              <w:top w:w="80" w:type="dxa"/>
              <w:start w:w="120" w:type="dxa"/>
              <w:bottom w:w="80" w:type="dxa"/>
              <w:end w:w="120" w:type="dxa"/>
            </w:tcMar>
          </w:tcPr>
          <w:p>
            <w:pPr>
              <w:jc w:val="center"/>
            </w:pPr>
            <w:r>
              <w:rPr>
                <w:rFonts w:ascii="Calibri" w:hAnsi="Calibri"/>
                <w:b/>
                <w:color w:val="24231F"/>
              </w:rPr>
              <w:t>Month</w:t>
            </w:r>
          </w:p>
        </w:tc>
        <w:tc>
          <w:tcPr>
            <w:tcW w:type="dxa" w:w="1584"/>
            <w:vAlign w:val="center"/>
            <w:shd w:fill="E8EEF5"/>
            <w:tcMar>
              <w:top w:w="80" w:type="dxa"/>
              <w:start w:w="120" w:type="dxa"/>
              <w:bottom w:w="80" w:type="dxa"/>
              <w:end w:w="120" w:type="dxa"/>
            </w:tcMar>
          </w:tcPr>
          <w:p>
            <w:pPr>
              <w:jc w:val="center"/>
            </w:pPr>
            <w:r>
              <w:rPr>
                <w:rFonts w:ascii="Calibri" w:hAnsi="Calibri"/>
                <w:b/>
                <w:color w:val="24231F"/>
              </w:rPr>
              <w:t>Coal GWh</w:t>
            </w:r>
          </w:p>
        </w:tc>
        <w:tc>
          <w:tcPr>
            <w:tcW w:type="dxa" w:w="1584"/>
            <w:vAlign w:val="center"/>
            <w:shd w:fill="E8EEF5"/>
            <w:tcMar>
              <w:top w:w="80" w:type="dxa"/>
              <w:start w:w="120" w:type="dxa"/>
              <w:bottom w:w="80" w:type="dxa"/>
              <w:end w:w="120" w:type="dxa"/>
            </w:tcMar>
          </w:tcPr>
          <w:p>
            <w:pPr>
              <w:jc w:val="center"/>
            </w:pPr>
            <w:r>
              <w:rPr>
                <w:rFonts w:ascii="Calibri" w:hAnsi="Calibri"/>
                <w:b/>
                <w:color w:val="24231F"/>
              </w:rPr>
              <w:t>LNG GWh</w:t>
            </w:r>
          </w:p>
        </w:tc>
        <w:tc>
          <w:tcPr>
            <w:tcW w:type="dxa" w:w="4752"/>
            <w:vAlign w:val="center"/>
            <w:shd w:fill="E8EEF5"/>
            <w:tcMar>
              <w:top w:w="80" w:type="dxa"/>
              <w:start w:w="120" w:type="dxa"/>
              <w:bottom w:w="80" w:type="dxa"/>
              <w:end w:w="120" w:type="dxa"/>
            </w:tcMar>
          </w:tcPr>
          <w:p>
            <w:pPr>
              <w:jc w:val="center"/>
            </w:pPr>
            <w:r>
              <w:rPr>
                <w:rFonts w:ascii="Calibri" w:hAnsi="Calibri"/>
                <w:b/>
                <w:color w:val="24231F"/>
              </w:rPr>
              <w:t>What it suggests</w:t>
            </w:r>
          </w:p>
        </w:tc>
      </w:tr>
      <w:tr>
        <w:tc>
          <w:tcPr>
            <w:tcW w:type="dxa" w:w="2340"/>
            <w:vAlign w:val="center"/>
            <w:tcMar>
              <w:top w:w="80" w:type="dxa"/>
              <w:start w:w="120" w:type="dxa"/>
              <w:bottom w:w="80" w:type="dxa"/>
              <w:end w:w="120" w:type="dxa"/>
            </w:tcMar>
          </w:tcPr>
          <w:p>
            <w:pPr>
              <w:jc w:val="left"/>
            </w:pPr>
            <w:r>
              <w:rPr>
                <w:rFonts w:ascii="Calibri" w:hAnsi="Calibri"/>
              </w:rPr>
              <w:t>January</w:t>
            </w:r>
          </w:p>
        </w:tc>
        <w:tc>
          <w:tcPr>
            <w:tcW w:type="dxa" w:w="2340"/>
            <w:vAlign w:val="center"/>
            <w:tcMar>
              <w:top w:w="80" w:type="dxa"/>
              <w:start w:w="120" w:type="dxa"/>
              <w:bottom w:w="80" w:type="dxa"/>
              <w:end w:w="120" w:type="dxa"/>
            </w:tcMar>
          </w:tcPr>
          <w:p>
            <w:pPr>
              <w:jc w:val="center"/>
            </w:pPr>
            <w:r>
              <w:rPr>
                <w:rFonts w:ascii="Calibri" w:hAnsi="Calibri"/>
              </w:rPr>
              <w:t>12,709</w:t>
            </w:r>
          </w:p>
        </w:tc>
        <w:tc>
          <w:tcPr>
            <w:tcW w:type="dxa" w:w="2340"/>
            <w:vAlign w:val="center"/>
            <w:tcMar>
              <w:top w:w="80" w:type="dxa"/>
              <w:start w:w="120" w:type="dxa"/>
              <w:bottom w:w="80" w:type="dxa"/>
              <w:end w:w="120" w:type="dxa"/>
            </w:tcMar>
          </w:tcPr>
          <w:p>
            <w:pPr>
              <w:jc w:val="center"/>
            </w:pPr>
            <w:r>
              <w:rPr>
                <w:rFonts w:ascii="Calibri" w:hAnsi="Calibri"/>
              </w:rPr>
              <w:t>15,345</w:t>
            </w:r>
          </w:p>
        </w:tc>
        <w:tc>
          <w:tcPr>
            <w:tcW w:type="dxa" w:w="2340"/>
            <w:vAlign w:val="center"/>
            <w:tcMar>
              <w:top w:w="80" w:type="dxa"/>
              <w:start w:w="120" w:type="dxa"/>
              <w:bottom w:w="80" w:type="dxa"/>
              <w:end w:w="120" w:type="dxa"/>
            </w:tcMar>
          </w:tcPr>
          <w:p>
            <w:pPr>
              <w:jc w:val="center"/>
            </w:pPr>
            <w:r>
              <w:rPr>
                <w:rFonts w:ascii="Calibri" w:hAnsi="Calibri"/>
              </w:rPr>
              <w:t>Winter coal restrictions and LNG/heating season matter.</w:t>
            </w:r>
          </w:p>
        </w:tc>
      </w:tr>
      <w:tr>
        <w:tc>
          <w:tcPr>
            <w:tcW w:type="dxa" w:w="2340"/>
            <w:vAlign w:val="center"/>
            <w:tcMar>
              <w:top w:w="80" w:type="dxa"/>
              <w:start w:w="120" w:type="dxa"/>
              <w:bottom w:w="80" w:type="dxa"/>
              <w:end w:w="120" w:type="dxa"/>
            </w:tcMar>
          </w:tcPr>
          <w:p>
            <w:pPr>
              <w:jc w:val="left"/>
            </w:pPr>
            <w:r>
              <w:rPr>
                <w:rFonts w:ascii="Calibri" w:hAnsi="Calibri"/>
              </w:rPr>
              <w:t>April</w:t>
            </w:r>
          </w:p>
        </w:tc>
        <w:tc>
          <w:tcPr>
            <w:tcW w:type="dxa" w:w="2340"/>
            <w:vAlign w:val="center"/>
            <w:tcMar>
              <w:top w:w="80" w:type="dxa"/>
              <w:start w:w="120" w:type="dxa"/>
              <w:bottom w:w="80" w:type="dxa"/>
              <w:end w:w="120" w:type="dxa"/>
            </w:tcMar>
          </w:tcPr>
          <w:p>
            <w:pPr>
              <w:jc w:val="center"/>
            </w:pPr>
            <w:r>
              <w:rPr>
                <w:rFonts w:ascii="Calibri" w:hAnsi="Calibri"/>
              </w:rPr>
              <w:t>7,936</w:t>
            </w:r>
          </w:p>
        </w:tc>
        <w:tc>
          <w:tcPr>
            <w:tcW w:type="dxa" w:w="2340"/>
            <w:vAlign w:val="center"/>
            <w:tcMar>
              <w:top w:w="80" w:type="dxa"/>
              <w:start w:w="120" w:type="dxa"/>
              <w:bottom w:w="80" w:type="dxa"/>
              <w:end w:w="120" w:type="dxa"/>
            </w:tcMar>
          </w:tcPr>
          <w:p>
            <w:pPr>
              <w:jc w:val="center"/>
            </w:pPr>
            <w:r>
              <w:rPr>
                <w:rFonts w:ascii="Calibri" w:hAnsi="Calibri"/>
              </w:rPr>
              <w:t>13,198</w:t>
            </w:r>
          </w:p>
        </w:tc>
        <w:tc>
          <w:tcPr>
            <w:tcW w:type="dxa" w:w="2340"/>
            <w:vAlign w:val="center"/>
            <w:tcMar>
              <w:top w:w="80" w:type="dxa"/>
              <w:start w:w="120" w:type="dxa"/>
              <w:bottom w:w="80" w:type="dxa"/>
              <w:end w:w="120" w:type="dxa"/>
            </w:tcMar>
          </w:tcPr>
          <w:p>
            <w:pPr>
              <w:jc w:val="center"/>
            </w:pPr>
            <w:r>
              <w:rPr>
                <w:rFonts w:ascii="Calibri" w:hAnsi="Calibri"/>
              </w:rPr>
              <w:t>Shoulder-month coal burn was low versus summer.</w:t>
            </w:r>
          </w:p>
        </w:tc>
      </w:tr>
      <w:tr>
        <w:tc>
          <w:tcPr>
            <w:tcW w:type="dxa" w:w="2340"/>
            <w:vAlign w:val="center"/>
            <w:tcMar>
              <w:top w:w="80" w:type="dxa"/>
              <w:start w:w="120" w:type="dxa"/>
              <w:bottom w:w="80" w:type="dxa"/>
              <w:end w:w="120" w:type="dxa"/>
            </w:tcMar>
          </w:tcPr>
          <w:p>
            <w:pPr>
              <w:jc w:val="left"/>
            </w:pPr>
            <w:r>
              <w:rPr>
                <w:rFonts w:ascii="Calibri" w:hAnsi="Calibri"/>
              </w:rPr>
              <w:t>July</w:t>
            </w:r>
          </w:p>
        </w:tc>
        <w:tc>
          <w:tcPr>
            <w:tcW w:type="dxa" w:w="2340"/>
            <w:vAlign w:val="center"/>
            <w:tcMar>
              <w:top w:w="80" w:type="dxa"/>
              <w:start w:w="120" w:type="dxa"/>
              <w:bottom w:w="80" w:type="dxa"/>
              <w:end w:w="120" w:type="dxa"/>
            </w:tcMar>
          </w:tcPr>
          <w:p>
            <w:pPr>
              <w:jc w:val="center"/>
            </w:pPr>
            <w:r>
              <w:rPr>
                <w:rFonts w:ascii="Calibri" w:hAnsi="Calibri"/>
              </w:rPr>
              <w:t>19,582</w:t>
            </w:r>
          </w:p>
        </w:tc>
        <w:tc>
          <w:tcPr>
            <w:tcW w:type="dxa" w:w="2340"/>
            <w:vAlign w:val="center"/>
            <w:tcMar>
              <w:top w:w="80" w:type="dxa"/>
              <w:start w:w="120" w:type="dxa"/>
              <w:bottom w:w="80" w:type="dxa"/>
              <w:end w:w="120" w:type="dxa"/>
            </w:tcMar>
          </w:tcPr>
          <w:p>
            <w:pPr>
              <w:jc w:val="center"/>
            </w:pPr>
            <w:r>
              <w:rPr>
                <w:rFonts w:ascii="Calibri" w:hAnsi="Calibri"/>
              </w:rPr>
              <w:t>13,720</w:t>
            </w:r>
          </w:p>
        </w:tc>
        <w:tc>
          <w:tcPr>
            <w:tcW w:type="dxa" w:w="2340"/>
            <w:vAlign w:val="center"/>
            <w:tcMar>
              <w:top w:w="80" w:type="dxa"/>
              <w:start w:w="120" w:type="dxa"/>
              <w:bottom w:w="80" w:type="dxa"/>
              <w:end w:w="120" w:type="dxa"/>
            </w:tcMar>
          </w:tcPr>
          <w:p>
            <w:pPr>
              <w:jc w:val="center"/>
            </w:pPr>
            <w:r>
              <w:rPr>
                <w:rFonts w:ascii="Calibri" w:hAnsi="Calibri"/>
              </w:rPr>
              <w:t>Summer demand/nuclear profile supported coal burn.</w:t>
            </w:r>
          </w:p>
        </w:tc>
      </w:tr>
      <w:tr>
        <w:tc>
          <w:tcPr>
            <w:tcW w:type="dxa" w:w="2340"/>
            <w:vAlign w:val="center"/>
            <w:tcMar>
              <w:top w:w="80" w:type="dxa"/>
              <w:start w:w="120" w:type="dxa"/>
              <w:bottom w:w="80" w:type="dxa"/>
              <w:end w:w="120" w:type="dxa"/>
            </w:tcMar>
          </w:tcPr>
          <w:p>
            <w:pPr>
              <w:jc w:val="left"/>
            </w:pPr>
            <w:r>
              <w:rPr>
                <w:rFonts w:ascii="Calibri" w:hAnsi="Calibri"/>
              </w:rPr>
              <w:t>August</w:t>
            </w:r>
          </w:p>
        </w:tc>
        <w:tc>
          <w:tcPr>
            <w:tcW w:type="dxa" w:w="2340"/>
            <w:vAlign w:val="center"/>
            <w:tcMar>
              <w:top w:w="80" w:type="dxa"/>
              <w:start w:w="120" w:type="dxa"/>
              <w:bottom w:w="80" w:type="dxa"/>
              <w:end w:w="120" w:type="dxa"/>
            </w:tcMar>
          </w:tcPr>
          <w:p>
            <w:pPr>
              <w:jc w:val="center"/>
            </w:pPr>
            <w:r>
              <w:rPr>
                <w:rFonts w:ascii="Calibri" w:hAnsi="Calibri"/>
              </w:rPr>
              <w:t>20,208</w:t>
            </w:r>
          </w:p>
        </w:tc>
        <w:tc>
          <w:tcPr>
            <w:tcW w:type="dxa" w:w="2340"/>
            <w:vAlign w:val="center"/>
            <w:tcMar>
              <w:top w:w="80" w:type="dxa"/>
              <w:start w:w="120" w:type="dxa"/>
              <w:bottom w:w="80" w:type="dxa"/>
              <w:end w:w="120" w:type="dxa"/>
            </w:tcMar>
          </w:tcPr>
          <w:p>
            <w:pPr>
              <w:jc w:val="center"/>
            </w:pPr>
            <w:r>
              <w:rPr>
                <w:rFonts w:ascii="Calibri" w:hAnsi="Calibri"/>
              </w:rPr>
              <w:t>14,853</w:t>
            </w:r>
          </w:p>
        </w:tc>
        <w:tc>
          <w:tcPr>
            <w:tcW w:type="dxa" w:w="2340"/>
            <w:vAlign w:val="center"/>
            <w:tcMar>
              <w:top w:w="80" w:type="dxa"/>
              <w:start w:w="120" w:type="dxa"/>
              <w:bottom w:w="80" w:type="dxa"/>
              <w:end w:w="120" w:type="dxa"/>
            </w:tcMar>
          </w:tcPr>
          <w:p>
            <w:pPr>
              <w:jc w:val="center"/>
            </w:pPr>
            <w:r>
              <w:rPr>
                <w:rFonts w:ascii="Calibri" w:hAnsi="Calibri"/>
              </w:rPr>
              <w:t>Highest 2025 monthly coal burn in the KPX baseline.</w:t>
            </w:r>
          </w:p>
        </w:tc>
      </w:tr>
      <w:tr>
        <w:tc>
          <w:tcPr>
            <w:tcW w:type="dxa" w:w="2340"/>
            <w:vAlign w:val="center"/>
            <w:tcMar>
              <w:top w:w="80" w:type="dxa"/>
              <w:start w:w="120" w:type="dxa"/>
              <w:bottom w:w="80" w:type="dxa"/>
              <w:end w:w="120" w:type="dxa"/>
            </w:tcMar>
          </w:tcPr>
          <w:p>
            <w:pPr>
              <w:jc w:val="left"/>
            </w:pPr>
            <w:r>
              <w:rPr>
                <w:rFonts w:ascii="Calibri" w:hAnsi="Calibri"/>
              </w:rPr>
              <w:t>December</w:t>
            </w:r>
          </w:p>
        </w:tc>
        <w:tc>
          <w:tcPr>
            <w:tcW w:type="dxa" w:w="2340"/>
            <w:vAlign w:val="center"/>
            <w:tcMar>
              <w:top w:w="80" w:type="dxa"/>
              <w:start w:w="120" w:type="dxa"/>
              <w:bottom w:w="80" w:type="dxa"/>
              <w:end w:w="120" w:type="dxa"/>
            </w:tcMar>
          </w:tcPr>
          <w:p>
            <w:pPr>
              <w:jc w:val="center"/>
            </w:pPr>
            <w:r>
              <w:rPr>
                <w:rFonts w:ascii="Calibri" w:hAnsi="Calibri"/>
              </w:rPr>
              <w:t>16,660</w:t>
            </w:r>
          </w:p>
        </w:tc>
        <w:tc>
          <w:tcPr>
            <w:tcW w:type="dxa" w:w="2340"/>
            <w:vAlign w:val="center"/>
            <w:tcMar>
              <w:top w:w="80" w:type="dxa"/>
              <w:start w:w="120" w:type="dxa"/>
              <w:bottom w:w="80" w:type="dxa"/>
              <w:end w:w="120" w:type="dxa"/>
            </w:tcMar>
          </w:tcPr>
          <w:p>
            <w:pPr>
              <w:jc w:val="center"/>
            </w:pPr>
            <w:r>
              <w:rPr>
                <w:rFonts w:ascii="Calibri" w:hAnsi="Calibri"/>
              </w:rPr>
              <w:t>13,261</w:t>
            </w:r>
          </w:p>
        </w:tc>
        <w:tc>
          <w:tcPr>
            <w:tcW w:type="dxa" w:w="2340"/>
            <w:vAlign w:val="center"/>
            <w:tcMar>
              <w:top w:w="80" w:type="dxa"/>
              <w:start w:w="120" w:type="dxa"/>
              <w:bottom w:w="80" w:type="dxa"/>
              <w:end w:w="120" w:type="dxa"/>
            </w:tcMar>
          </w:tcPr>
          <w:p>
            <w:pPr>
              <w:jc w:val="center"/>
            </w:pPr>
            <w:r>
              <w:rPr>
                <w:rFonts w:ascii="Calibri" w:hAnsi="Calibri"/>
              </w:rPr>
              <w:t>Winter demand supported coal, but seasonal policy can still cap upside.</w:t>
            </w:r>
          </w:p>
        </w:tc>
      </w:tr>
    </w:tbl>
    <w:p>
      <w:pPr>
        <w:spacing w:before="80" w:after="80"/>
      </w:pPr>
      <w:r>
        <w:rPr>
          <w:rFonts w:ascii="Calibri" w:hAnsi="Calibri"/>
          <w:i/>
          <w:color w:val="5C5C5C"/>
          <w:sz w:val="18"/>
        </w:rPr>
        <w:t>Source: KPX monthly electric energy trading volume by fuel type. [S1]</w:t>
      </w:r>
    </w:p>
    <w:p>
      <w:pPr>
        <w:pStyle w:val="Heading1"/>
      </w:pPr>
      <w:r>
        <w:t>4. What Moves Korean Coal Burn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728"/>
            <w:vAlign w:val="center"/>
            <w:shd w:fill="E8EEF5"/>
            <w:tcMar>
              <w:top w:w="80" w:type="dxa"/>
              <w:start w:w="120" w:type="dxa"/>
              <w:bottom w:w="80" w:type="dxa"/>
              <w:end w:w="120" w:type="dxa"/>
            </w:tcMar>
          </w:tcPr>
          <w:p>
            <w:pPr>
              <w:jc w:val="center"/>
            </w:pPr>
            <w:r>
              <w:rPr>
                <w:rFonts w:ascii="Calibri" w:hAnsi="Calibri"/>
                <w:b/>
                <w:color w:val="24231F"/>
              </w:rPr>
              <w:t>Driver</w:t>
            </w:r>
          </w:p>
        </w:tc>
        <w:tc>
          <w:tcPr>
            <w:tcW w:type="dxa" w:w="3671"/>
            <w:vAlign w:val="center"/>
            <w:shd w:fill="E8EEF5"/>
            <w:tcMar>
              <w:top w:w="80" w:type="dxa"/>
              <w:start w:w="120" w:type="dxa"/>
              <w:bottom w:w="80" w:type="dxa"/>
              <w:end w:w="120" w:type="dxa"/>
            </w:tcMar>
          </w:tcPr>
          <w:p>
            <w:pPr>
              <w:jc w:val="center"/>
            </w:pPr>
            <w:r>
              <w:rPr>
                <w:rFonts w:ascii="Calibri" w:hAnsi="Calibri"/>
                <w:b/>
                <w:color w:val="24231F"/>
              </w:rPr>
              <w:t>Bullish for coal burn when...</w:t>
            </w:r>
          </w:p>
        </w:tc>
        <w:tc>
          <w:tcPr>
            <w:tcW w:type="dxa" w:w="3960"/>
            <w:vAlign w:val="center"/>
            <w:shd w:fill="E8EEF5"/>
            <w:tcMar>
              <w:top w:w="80" w:type="dxa"/>
              <w:start w:w="120" w:type="dxa"/>
              <w:bottom w:w="80" w:type="dxa"/>
              <w:end w:w="120" w:type="dxa"/>
            </w:tcMar>
          </w:tcPr>
          <w:p>
            <w:pPr>
              <w:jc w:val="center"/>
            </w:pPr>
            <w:r>
              <w:rPr>
                <w:rFonts w:ascii="Calibri" w:hAnsi="Calibri"/>
                <w:b/>
                <w:color w:val="24231F"/>
              </w:rPr>
              <w:t>Bearish / switch risk when...</w:t>
            </w:r>
          </w:p>
        </w:tc>
      </w:tr>
      <w:tr>
        <w:tc>
          <w:tcPr>
            <w:tcW w:type="dxa" w:w="3120"/>
            <w:vAlign w:val="center"/>
            <w:tcMar>
              <w:top w:w="80" w:type="dxa"/>
              <w:start w:w="120" w:type="dxa"/>
              <w:bottom w:w="80" w:type="dxa"/>
              <w:end w:w="120" w:type="dxa"/>
            </w:tcMar>
          </w:tcPr>
          <w:p>
            <w:pPr>
              <w:jc w:val="left"/>
            </w:pPr>
            <w:r>
              <w:rPr>
                <w:rFonts w:ascii="Calibri" w:hAnsi="Calibri"/>
              </w:rPr>
              <w:t>Power demand</w:t>
            </w:r>
          </w:p>
        </w:tc>
        <w:tc>
          <w:tcPr>
            <w:tcW w:type="dxa" w:w="3120"/>
            <w:vAlign w:val="center"/>
            <w:tcMar>
              <w:top w:w="80" w:type="dxa"/>
              <w:start w:w="120" w:type="dxa"/>
              <w:bottom w:w="80" w:type="dxa"/>
              <w:end w:w="120" w:type="dxa"/>
            </w:tcMar>
          </w:tcPr>
          <w:p>
            <w:pPr>
              <w:jc w:val="center"/>
            </w:pPr>
            <w:r>
              <w:rPr>
                <w:rFonts w:ascii="Calibri" w:hAnsi="Calibri"/>
              </w:rPr>
              <w:t>Weather or industrial load lifts monthly fossil need.</w:t>
            </w:r>
          </w:p>
        </w:tc>
        <w:tc>
          <w:tcPr>
            <w:tcW w:type="dxa" w:w="3120"/>
            <w:vAlign w:val="center"/>
            <w:tcMar>
              <w:top w:w="80" w:type="dxa"/>
              <w:start w:w="120" w:type="dxa"/>
              <w:bottom w:w="80" w:type="dxa"/>
              <w:end w:w="120" w:type="dxa"/>
            </w:tcMar>
          </w:tcPr>
          <w:p>
            <w:pPr>
              <w:jc w:val="center"/>
            </w:pPr>
            <w:r>
              <w:rPr>
                <w:rFonts w:ascii="Calibri" w:hAnsi="Calibri"/>
              </w:rPr>
              <w:t>Demand softens in shoulder months.</w:t>
            </w:r>
          </w:p>
        </w:tc>
      </w:tr>
      <w:tr>
        <w:tc>
          <w:tcPr>
            <w:tcW w:type="dxa" w:w="3120"/>
            <w:vAlign w:val="center"/>
            <w:tcMar>
              <w:top w:w="80" w:type="dxa"/>
              <w:start w:w="120" w:type="dxa"/>
              <w:bottom w:w="80" w:type="dxa"/>
              <w:end w:w="120" w:type="dxa"/>
            </w:tcMar>
          </w:tcPr>
          <w:p>
            <w:pPr>
              <w:jc w:val="left"/>
            </w:pPr>
            <w:r>
              <w:rPr>
                <w:rFonts w:ascii="Calibri" w:hAnsi="Calibri"/>
              </w:rPr>
              <w:t>Nuclear output</w:t>
            </w:r>
          </w:p>
        </w:tc>
        <w:tc>
          <w:tcPr>
            <w:tcW w:type="dxa" w:w="3120"/>
            <w:vAlign w:val="center"/>
            <w:tcMar>
              <w:top w:w="80" w:type="dxa"/>
              <w:start w:w="120" w:type="dxa"/>
              <w:bottom w:w="80" w:type="dxa"/>
              <w:end w:w="120" w:type="dxa"/>
            </w:tcMar>
          </w:tcPr>
          <w:p>
            <w:pPr>
              <w:jc w:val="center"/>
            </w:pPr>
            <w:r>
              <w:rPr>
                <w:rFonts w:ascii="Calibri" w:hAnsi="Calibri"/>
              </w:rPr>
              <w:t>Outages reduce low-cost baseload and raise residual fossil demand.</w:t>
            </w:r>
          </w:p>
        </w:tc>
        <w:tc>
          <w:tcPr>
            <w:tcW w:type="dxa" w:w="3120"/>
            <w:vAlign w:val="center"/>
            <w:tcMar>
              <w:top w:w="80" w:type="dxa"/>
              <w:start w:w="120" w:type="dxa"/>
              <w:bottom w:w="80" w:type="dxa"/>
              <w:end w:w="120" w:type="dxa"/>
            </w:tcMar>
          </w:tcPr>
          <w:p>
            <w:pPr>
              <w:jc w:val="center"/>
            </w:pPr>
            <w:r>
              <w:rPr>
                <w:rFonts w:ascii="Calibri" w:hAnsi="Calibri"/>
              </w:rPr>
              <w:t>High nuclear availability compresses coal and LNG burn.</w:t>
            </w:r>
          </w:p>
        </w:tc>
      </w:tr>
      <w:tr>
        <w:tc>
          <w:tcPr>
            <w:tcW w:type="dxa" w:w="3120"/>
            <w:vAlign w:val="center"/>
            <w:tcMar>
              <w:top w:w="80" w:type="dxa"/>
              <w:start w:w="120" w:type="dxa"/>
              <w:bottom w:w="80" w:type="dxa"/>
              <w:end w:w="120" w:type="dxa"/>
            </w:tcMar>
          </w:tcPr>
          <w:p>
            <w:pPr>
              <w:jc w:val="left"/>
            </w:pPr>
            <w:r>
              <w:rPr>
                <w:rFonts w:ascii="Calibri" w:hAnsi="Calibri"/>
              </w:rPr>
              <w:t>Renewables</w:t>
            </w:r>
          </w:p>
        </w:tc>
        <w:tc>
          <w:tcPr>
            <w:tcW w:type="dxa" w:w="3120"/>
            <w:vAlign w:val="center"/>
            <w:tcMar>
              <w:top w:w="80" w:type="dxa"/>
              <w:start w:w="120" w:type="dxa"/>
              <w:bottom w:w="80" w:type="dxa"/>
              <w:end w:w="120" w:type="dxa"/>
            </w:tcMar>
          </w:tcPr>
          <w:p>
            <w:pPr>
              <w:jc w:val="center"/>
            </w:pPr>
            <w:r>
              <w:rPr>
                <w:rFonts w:ascii="Calibri" w:hAnsi="Calibri"/>
              </w:rPr>
              <w:t>Weak solar/wind increases residual demand.</w:t>
            </w:r>
          </w:p>
        </w:tc>
        <w:tc>
          <w:tcPr>
            <w:tcW w:type="dxa" w:w="3120"/>
            <w:vAlign w:val="center"/>
            <w:tcMar>
              <w:top w:w="80" w:type="dxa"/>
              <w:start w:w="120" w:type="dxa"/>
              <w:bottom w:w="80" w:type="dxa"/>
              <w:end w:w="120" w:type="dxa"/>
            </w:tcMar>
          </w:tcPr>
          <w:p>
            <w:pPr>
              <w:jc w:val="center"/>
            </w:pPr>
            <w:r>
              <w:rPr>
                <w:rFonts w:ascii="Calibri" w:hAnsi="Calibri"/>
              </w:rPr>
              <w:t>Strong renewables reduce fossil need, especially around solar-heavy hours.</w:t>
            </w:r>
          </w:p>
        </w:tc>
      </w:tr>
      <w:tr>
        <w:tc>
          <w:tcPr>
            <w:tcW w:type="dxa" w:w="3120"/>
            <w:vAlign w:val="center"/>
            <w:tcMar>
              <w:top w:w="80" w:type="dxa"/>
              <w:start w:w="120" w:type="dxa"/>
              <w:bottom w:w="80" w:type="dxa"/>
              <w:end w:w="120" w:type="dxa"/>
            </w:tcMar>
          </w:tcPr>
          <w:p>
            <w:pPr>
              <w:jc w:val="left"/>
            </w:pPr>
            <w:r>
              <w:rPr>
                <w:rFonts w:ascii="Calibri" w:hAnsi="Calibri"/>
              </w:rPr>
              <w:t>Coal restrictions</w:t>
            </w:r>
          </w:p>
        </w:tc>
        <w:tc>
          <w:tcPr>
            <w:tcW w:type="dxa" w:w="3120"/>
            <w:vAlign w:val="center"/>
            <w:tcMar>
              <w:top w:w="80" w:type="dxa"/>
              <w:start w:w="120" w:type="dxa"/>
              <w:bottom w:w="80" w:type="dxa"/>
              <w:end w:w="120" w:type="dxa"/>
            </w:tcMar>
          </w:tcPr>
          <w:p>
            <w:pPr>
              <w:jc w:val="center"/>
            </w:pPr>
            <w:r>
              <w:rPr>
                <w:rFonts w:ascii="Calibri" w:hAnsi="Calibri"/>
              </w:rPr>
              <w:t>Caps relax or seasonal controls are not binding.</w:t>
            </w:r>
          </w:p>
        </w:tc>
        <w:tc>
          <w:tcPr>
            <w:tcW w:type="dxa" w:w="3120"/>
            <w:vAlign w:val="center"/>
            <w:tcMar>
              <w:top w:w="80" w:type="dxa"/>
              <w:start w:w="120" w:type="dxa"/>
              <w:bottom w:w="80" w:type="dxa"/>
              <w:end w:w="120" w:type="dxa"/>
            </w:tcMar>
          </w:tcPr>
          <w:p>
            <w:pPr>
              <w:jc w:val="center"/>
            </w:pPr>
            <w:r>
              <w:rPr>
                <w:rFonts w:ascii="Calibri" w:hAnsi="Calibri"/>
              </w:rPr>
              <w:t>Fine-dust season constrains coal units regardless of fuel spread.</w:t>
            </w:r>
          </w:p>
        </w:tc>
      </w:tr>
      <w:tr>
        <w:tc>
          <w:tcPr>
            <w:tcW w:type="dxa" w:w="3120"/>
            <w:vAlign w:val="center"/>
            <w:tcMar>
              <w:top w:w="80" w:type="dxa"/>
              <w:start w:w="120" w:type="dxa"/>
              <w:bottom w:w="80" w:type="dxa"/>
              <w:end w:w="120" w:type="dxa"/>
            </w:tcMar>
          </w:tcPr>
          <w:p>
            <w:pPr>
              <w:jc w:val="left"/>
            </w:pPr>
            <w:r>
              <w:rPr>
                <w:rFonts w:ascii="Calibri" w:hAnsi="Calibri"/>
              </w:rPr>
              <w:t>LNG price</w:t>
            </w:r>
          </w:p>
        </w:tc>
        <w:tc>
          <w:tcPr>
            <w:tcW w:type="dxa" w:w="3120"/>
            <w:vAlign w:val="center"/>
            <w:tcMar>
              <w:top w:w="80" w:type="dxa"/>
              <w:start w:w="120" w:type="dxa"/>
              <w:bottom w:w="80" w:type="dxa"/>
              <w:end w:w="120" w:type="dxa"/>
            </w:tcMar>
          </w:tcPr>
          <w:p>
            <w:pPr>
              <w:jc w:val="center"/>
            </w:pPr>
            <w:r>
              <w:rPr>
                <w:rFonts w:ascii="Calibri" w:hAnsi="Calibri"/>
              </w:rPr>
              <w:t>LNG rises relative to coal, widening coal's merit advantage.</w:t>
            </w:r>
          </w:p>
        </w:tc>
        <w:tc>
          <w:tcPr>
            <w:tcW w:type="dxa" w:w="3120"/>
            <w:vAlign w:val="center"/>
            <w:tcMar>
              <w:top w:w="80" w:type="dxa"/>
              <w:start w:w="120" w:type="dxa"/>
              <w:bottom w:w="80" w:type="dxa"/>
              <w:end w:w="120" w:type="dxa"/>
            </w:tcMar>
          </w:tcPr>
          <w:p>
            <w:pPr>
              <w:jc w:val="center"/>
            </w:pPr>
            <w:r>
              <w:rPr>
                <w:rFonts w:ascii="Calibri" w:hAnsi="Calibri"/>
              </w:rPr>
              <w:t>LNG falls enough to displace the switchable coal band.</w:t>
            </w:r>
          </w:p>
        </w:tc>
      </w:tr>
      <w:tr>
        <w:tc>
          <w:tcPr>
            <w:tcW w:type="dxa" w:w="3120"/>
            <w:vAlign w:val="center"/>
            <w:tcMar>
              <w:top w:w="80" w:type="dxa"/>
              <w:start w:w="120" w:type="dxa"/>
              <w:bottom w:w="80" w:type="dxa"/>
              <w:end w:w="120" w:type="dxa"/>
            </w:tcMar>
          </w:tcPr>
          <w:p>
            <w:pPr>
              <w:jc w:val="left"/>
            </w:pPr>
            <w:r>
              <w:rPr>
                <w:rFonts w:ascii="Calibri" w:hAnsi="Calibri"/>
              </w:rPr>
              <w:t>FX</w:t>
            </w:r>
          </w:p>
        </w:tc>
        <w:tc>
          <w:tcPr>
            <w:tcW w:type="dxa" w:w="3120"/>
            <w:vAlign w:val="center"/>
            <w:tcMar>
              <w:top w:w="80" w:type="dxa"/>
              <w:start w:w="120" w:type="dxa"/>
              <w:bottom w:w="80" w:type="dxa"/>
              <w:end w:w="120" w:type="dxa"/>
            </w:tcMar>
          </w:tcPr>
          <w:p>
            <w:pPr>
              <w:jc w:val="center"/>
            </w:pPr>
            <w:r>
              <w:rPr>
                <w:rFonts w:ascii="Calibri" w:hAnsi="Calibri"/>
              </w:rPr>
              <w:t>KRW strength lowers imported-fuel cost; relative effect depends on commodity move.</w:t>
            </w:r>
          </w:p>
        </w:tc>
        <w:tc>
          <w:tcPr>
            <w:tcW w:type="dxa" w:w="3120"/>
            <w:vAlign w:val="center"/>
            <w:tcMar>
              <w:top w:w="80" w:type="dxa"/>
              <w:start w:w="120" w:type="dxa"/>
              <w:bottom w:w="80" w:type="dxa"/>
              <w:end w:w="120" w:type="dxa"/>
            </w:tcMar>
          </w:tcPr>
          <w:p>
            <w:pPr>
              <w:jc w:val="center"/>
            </w:pPr>
            <w:r>
              <w:rPr>
                <w:rFonts w:ascii="Calibri" w:hAnsi="Calibri"/>
              </w:rPr>
              <w:t>KRW weakness raises both imported coal and LNG costs.</w:t>
            </w:r>
          </w:p>
        </w:tc>
      </w:tr>
      <w:tr>
        <w:tc>
          <w:tcPr>
            <w:tcW w:type="dxa" w:w="3120"/>
            <w:vAlign w:val="center"/>
            <w:tcMar>
              <w:top w:w="80" w:type="dxa"/>
              <w:start w:w="120" w:type="dxa"/>
              <w:bottom w:w="80" w:type="dxa"/>
              <w:end w:w="120" w:type="dxa"/>
            </w:tcMar>
          </w:tcPr>
          <w:p>
            <w:pPr>
              <w:jc w:val="left"/>
            </w:pPr>
            <w:r>
              <w:rPr>
                <w:rFonts w:ascii="Calibri" w:hAnsi="Calibri"/>
              </w:rPr>
              <w:t>Carbon recognition</w:t>
            </w:r>
          </w:p>
        </w:tc>
        <w:tc>
          <w:tcPr>
            <w:tcW w:type="dxa" w:w="3120"/>
            <w:vAlign w:val="center"/>
            <w:tcMar>
              <w:top w:w="80" w:type="dxa"/>
              <w:start w:w="120" w:type="dxa"/>
              <w:bottom w:w="80" w:type="dxa"/>
              <w:end w:w="120" w:type="dxa"/>
            </w:tcMar>
          </w:tcPr>
          <w:p>
            <w:pPr>
              <w:jc w:val="center"/>
            </w:pPr>
            <w:r>
              <w:rPr>
                <w:rFonts w:ascii="Calibri" w:hAnsi="Calibri"/>
              </w:rPr>
              <w:t>Carbon is low or not fully reflected in dispatch economics.</w:t>
            </w:r>
          </w:p>
        </w:tc>
        <w:tc>
          <w:tcPr>
            <w:tcW w:type="dxa" w:w="3120"/>
            <w:vAlign w:val="center"/>
            <w:tcMar>
              <w:top w:w="80" w:type="dxa"/>
              <w:start w:w="120" w:type="dxa"/>
              <w:bottom w:w="80" w:type="dxa"/>
              <w:end w:w="120" w:type="dxa"/>
            </w:tcMar>
          </w:tcPr>
          <w:p>
            <w:pPr>
              <w:jc w:val="center"/>
            </w:pPr>
            <w:r>
              <w:rPr>
                <w:rFonts w:ascii="Calibri" w:hAnsi="Calibri"/>
              </w:rPr>
              <w:t>Carbon is recognized strongly; coal is more CO2-intensive than LNG.</w:t>
            </w:r>
          </w:p>
        </w:tc>
      </w:tr>
    </w:tbl>
    <w:p>
      <w:pPr>
        <w:pStyle w:val="Heading1"/>
      </w:pPr>
      <w:r>
        <w:t>5. Fuel Economics Translation</w:t>
      </w:r>
    </w:p>
    <w:p>
      <w:r>
        <w:rPr>
          <w:rFonts w:ascii="Calibri" w:hAnsi="Calibri"/>
        </w:rPr>
        <w:t>Coal traders think in USD/t and calorific value, while KPX-style dispatch economics require KRW/kWh. The bridge is energy content, heat rate, FX, variable O&amp;M, and carbon.</w:t>
      </w:r>
    </w:p>
    <w:p>
      <w:pPr>
        <w:spacing w:after="120"/>
        <w:ind w:left="360"/>
      </w:pPr>
      <w:r>
        <w:rPr>
          <w:rFonts w:ascii="Consolas" w:hAnsi="Consolas"/>
          <w:color w:val="282828"/>
          <w:sz w:val="20"/>
        </w:rPr>
        <w:t>coal USD/MMBtu = coal USD/t / MMBtu per tonne</w:t>
      </w:r>
    </w:p>
    <w:p>
      <w:pPr>
        <w:spacing w:after="120"/>
        <w:ind w:left="360"/>
      </w:pPr>
      <w:r>
        <w:rPr>
          <w:rFonts w:ascii="Consolas" w:hAnsi="Consolas"/>
          <w:color w:val="282828"/>
          <w:sz w:val="20"/>
        </w:rPr>
        <w:t>fuel KRW/kWh = USD/MMBtu * USD/KRW * heat rate MMBtu/MWh / 1000</w:t>
      </w:r>
    </w:p>
    <w:p>
      <w:pPr>
        <w:spacing w:after="120"/>
        <w:ind w:left="360"/>
      </w:pPr>
      <w:r>
        <w:rPr>
          <w:rFonts w:ascii="Consolas" w:hAnsi="Consolas"/>
          <w:color w:val="282828"/>
          <w:sz w:val="20"/>
        </w:rPr>
        <w:t>carbon KRW/kWh = tCO2e/MWh * KRW/tCO2e * carbon recognition % / 100 / 1000</w:t>
      </w:r>
    </w:p>
    <w:p>
      <w:r>
        <w:rPr>
          <w:rFonts w:ascii="Calibri" w:hAnsi="Calibri"/>
        </w:rPr>
        <w:t>MOTIE's 11th Basic Plan materials provide Korea-specific average power-sector emissions factors used for coal and LNG comparison: coal 0.8384 tCO2e/MWh and LNG 0.3800 tCO2e/MWh. [S8]</w:t>
      </w:r>
    </w:p>
    <w:p>
      <w:pPr>
        <w:pStyle w:val="Heading1"/>
      </w:pPr>
      <w:r>
        <w:t>6. Policy and Structural Overlays</w:t>
      </w:r>
    </w:p>
    <w:p>
      <w:r>
        <w:rPr>
          <w:rFonts w:ascii="Calibri" w:hAnsi="Calibri"/>
        </w:rPr>
        <w:t>Fine-dust seasonal management is important because it can make coal availability a policy variable. The English ministry release describes stronger measures from December 1 to March 31, including coal-unit shutdowns and output caps in the referenced plan. [S10]</w:t>
      </w:r>
    </w:p>
    <w:p>
      <w:r>
        <w:rPr>
          <w:rFonts w:ascii="Calibri" w:hAnsi="Calibri"/>
        </w:rPr>
        <w:t>K-ETS is also relevant, but carbon cost does not always translate one-for-one into dispatch in a regulated cost-based market. ICAP describes K-ETS coverage and Phase 4 rules; the IEA highlights that Korea's cost-based market historically limited direct carbon-price reflection in dispatch and retail signals. [S11], [S12]</w:t>
      </w:r>
    </w:p>
    <w:p>
      <w:r>
        <w:rPr>
          <w:rFonts w:ascii="Calibri" w:hAnsi="Calibri"/>
        </w:rPr>
        <w:t>Long-term supply planning matters for the trade because more nuclear and renewables structurally reduce fossil residual demand, while coal retirements/conversions reduce coal's upper bound. The 11th Basic Plan covers 2024-2038 and includes new nuclear capacity, renewable expansion, and a shifting generation mix. [S8], [S9]</w:t>
      </w:r>
    </w:p>
    <w:p>
      <w:pPr>
        <w:pStyle w:val="Heading1"/>
      </w:pPr>
      <w:r>
        <w:t>7. Questions a Trader Will Ask</w:t>
      </w:r>
    </w:p>
    <w:p>
      <w:pPr>
        <w:pStyle w:val="ListBullet"/>
      </w:pPr>
      <w:r>
        <w:rPr>
          <w:rFonts w:ascii="Calibri" w:hAnsi="Calibri"/>
        </w:rPr>
        <w:t>Is this burn or marginal price? Answer: treat KPX monthly fuel generation as physical burn proxy; SMP tells marginal price-setting, not coal consumption.</w:t>
      </w:r>
    </w:p>
    <w:p>
      <w:pPr>
        <w:pStyle w:val="ListBullet"/>
      </w:pPr>
      <w:r>
        <w:rPr>
          <w:rFonts w:ascii="Calibri" w:hAnsi="Calibri"/>
        </w:rPr>
        <w:t>Does this use customs imports? Answer: no. It uses KPX-traded generation; imports/inventory/procurement timing are separate layers.</w:t>
      </w:r>
    </w:p>
    <w:p>
      <w:pPr>
        <w:pStyle w:val="ListBullet"/>
      </w:pPr>
      <w:r>
        <w:rPr>
          <w:rFonts w:ascii="Calibri" w:hAnsi="Calibri"/>
        </w:rPr>
        <w:t>Where can edge come from? Answer: nuclear outage expectations, fine-dust/cap assumptions, LNG relative value, and month-specific fossil residual demand.</w:t>
      </w:r>
    </w:p>
    <w:p>
      <w:pPr>
        <w:pStyle w:val="ListBullet"/>
      </w:pPr>
      <w:r>
        <w:rPr>
          <w:rFonts w:ascii="Calibri" w:hAnsi="Calibri"/>
        </w:rPr>
        <w:t>Why not just use spark/dark spread? Answer: Korea's cost-based dispatch, recognized-cost timing, coal floors/caps, and policy restrictions make a simple spread incomplete.</w:t>
      </w:r>
    </w:p>
    <w:p>
      <w:pPr>
        <w:pStyle w:val="Heading1"/>
      </w:pPr>
      <w:r>
        <w:t>References</w:t>
      </w:r>
    </w:p>
    <w:p>
      <w:pPr>
        <w:spacing w:after="80"/>
      </w:pPr>
      <w:r>
        <w:rPr>
          <w:rFonts w:ascii="Calibri" w:hAnsi="Calibri"/>
          <w:b/>
        </w:rPr>
        <w:t xml:space="preserve">[S1] Korea Power Exchange (KPX), 2025 Power Market Statistics, published 2026-03-31. </w:t>
      </w:r>
      <w:r>
        <w:rPr>
          <w:rFonts w:ascii="Calibri" w:hAnsi="Calibri"/>
          <w:color w:val="0066CC"/>
        </w:rPr>
        <w:t>https://www.kpx.or.kr/boardDownload.es?bid=0045&amp;list_no=77084&amp;seq=4</w:t>
      </w:r>
    </w:p>
    <w:p>
      <w:pPr>
        <w:spacing w:after="80"/>
      </w:pPr>
      <w:r>
        <w:rPr>
          <w:rFonts w:ascii="Calibri" w:hAnsi="Calibri"/>
          <w:b/>
        </w:rPr>
        <w:t xml:space="preserve">[S2] KPX, Electricity Market Trading Process. </w:t>
      </w:r>
      <w:r>
        <w:rPr>
          <w:rFonts w:ascii="Calibri" w:hAnsi="Calibri"/>
          <w:color w:val="0066CC"/>
        </w:rPr>
        <w:t>https://www.kpx.or.kr/menu.es?mid=a20201000000</w:t>
      </w:r>
    </w:p>
    <w:p>
      <w:pPr>
        <w:spacing w:after="80"/>
      </w:pPr>
      <w:r>
        <w:rPr>
          <w:rFonts w:ascii="Calibri" w:hAnsi="Calibri"/>
          <w:b/>
        </w:rPr>
        <w:t xml:space="preserve">[S3] KPX, Market Price Determination. </w:t>
      </w:r>
      <w:r>
        <w:rPr>
          <w:rFonts w:ascii="Calibri" w:hAnsi="Calibri"/>
          <w:color w:val="0066CC"/>
        </w:rPr>
        <w:t>https://www.kpx.or.kr/menu.es?mid=a20203000000</w:t>
      </w:r>
    </w:p>
    <w:p>
      <w:pPr>
        <w:spacing w:after="80"/>
      </w:pPr>
      <w:r>
        <w:rPr>
          <w:rFonts w:ascii="Calibri" w:hAnsi="Calibri"/>
          <w:b/>
        </w:rPr>
        <w:t xml:space="preserve">[S4] KPX, Electricity Market Trading System. </w:t>
      </w:r>
      <w:r>
        <w:rPr>
          <w:rFonts w:ascii="Calibri" w:hAnsi="Calibri"/>
          <w:color w:val="0066CC"/>
        </w:rPr>
        <w:t>https://www.kpx.or.kr/menu.es?mid=a20202000000</w:t>
      </w:r>
    </w:p>
    <w:p>
      <w:pPr>
        <w:spacing w:after="80"/>
      </w:pPr>
      <w:r>
        <w:rPr>
          <w:rFonts w:ascii="Calibri" w:hAnsi="Calibri"/>
          <w:b/>
        </w:rPr>
        <w:t xml:space="preserve">[S5] KPX, Electricity Market Operation Council / Cost Evaluation Committee. </w:t>
      </w:r>
      <w:r>
        <w:rPr>
          <w:rFonts w:ascii="Calibri" w:hAnsi="Calibri"/>
          <w:color w:val="0066CC"/>
        </w:rPr>
        <w:t>https://new.kpx.or.kr/menu.es?mid=a20205000000</w:t>
      </w:r>
    </w:p>
    <w:p>
      <w:pPr>
        <w:spacing w:after="80"/>
      </w:pPr>
      <w:r>
        <w:rPr>
          <w:rFonts w:ascii="Calibri" w:hAnsi="Calibri"/>
          <w:b/>
        </w:rPr>
        <w:t xml:space="preserve">[S6] KPX, Settlement Process. </w:t>
      </w:r>
      <w:r>
        <w:rPr>
          <w:rFonts w:ascii="Calibri" w:hAnsi="Calibri"/>
          <w:color w:val="0066CC"/>
        </w:rPr>
        <w:t>https://new.kpx.or.kr/menu.es?mid=a20204000000</w:t>
      </w:r>
    </w:p>
    <w:p>
      <w:pPr>
        <w:spacing w:after="80"/>
      </w:pPr>
      <w:r>
        <w:rPr>
          <w:rFonts w:ascii="Calibri" w:hAnsi="Calibri"/>
          <w:b/>
        </w:rPr>
        <w:t xml:space="preserve">[S7] IEA, Korea Electricity Security Review. </w:t>
      </w:r>
      <w:r>
        <w:rPr>
          <w:rFonts w:ascii="Calibri" w:hAnsi="Calibri"/>
          <w:color w:val="0066CC"/>
        </w:rPr>
        <w:t>https://www.iea.org/reports/korea-electricity-security-review</w:t>
      </w:r>
    </w:p>
    <w:p>
      <w:pPr>
        <w:spacing w:after="80"/>
      </w:pPr>
      <w:r>
        <w:rPr>
          <w:rFonts w:ascii="Calibri" w:hAnsi="Calibri"/>
          <w:b/>
        </w:rPr>
        <w:t xml:space="preserve">[S8] MOTIE, 11th Basic Plan for Long-term Electricity Supply and Demand announcement. </w:t>
      </w:r>
      <w:r>
        <w:rPr>
          <w:rFonts w:ascii="Calibri" w:hAnsi="Calibri"/>
          <w:color w:val="0066CC"/>
        </w:rPr>
        <w:t>https://www.motir.go.kr/kor/article/ATCLc01b2801b/70083/view</w:t>
      </w:r>
    </w:p>
    <w:p>
      <w:pPr>
        <w:spacing w:after="80"/>
      </w:pPr>
      <w:r>
        <w:rPr>
          <w:rFonts w:ascii="Calibri" w:hAnsi="Calibri"/>
          <w:b/>
        </w:rPr>
        <w:t xml:space="preserve">[S9] KDI Economic Information and Education Center, MOTIE 11th Basic Plan confirmation release. </w:t>
      </w:r>
      <w:r>
        <w:rPr>
          <w:rFonts w:ascii="Calibri" w:hAnsi="Calibri"/>
          <w:color w:val="0066CC"/>
        </w:rPr>
        <w:t>https://eiec.kdi.re.kr/policy/materialView.do?num=263534</w:t>
      </w:r>
    </w:p>
    <w:p>
      <w:pPr>
        <w:spacing w:after="80"/>
      </w:pPr>
      <w:r>
        <w:rPr>
          <w:rFonts w:ascii="Calibri" w:hAnsi="Calibri"/>
          <w:b/>
        </w:rPr>
        <w:t xml:space="preserve">[S10] Ministry of Climate, Energy and Environment, Fine Dust Seasonal Management release. </w:t>
      </w:r>
      <w:r>
        <w:rPr>
          <w:rFonts w:ascii="Calibri" w:hAnsi="Calibri"/>
          <w:color w:val="0066CC"/>
        </w:rPr>
        <w:t>https://mcee.go.kr/eng/web/board/read.do?boardId=1640870&amp;boardMasterId=522&amp;menuId=461</w:t>
      </w:r>
    </w:p>
    <w:p>
      <w:pPr>
        <w:spacing w:after="80"/>
      </w:pPr>
      <w:r>
        <w:rPr>
          <w:rFonts w:ascii="Calibri" w:hAnsi="Calibri"/>
          <w:b/>
        </w:rPr>
        <w:t xml:space="preserve">[S11] ICAP, Korea Emissions Trading System factsheet. </w:t>
      </w:r>
      <w:r>
        <w:rPr>
          <w:rFonts w:ascii="Calibri" w:hAnsi="Calibri"/>
          <w:color w:val="0066CC"/>
        </w:rPr>
        <w:t>https://icapcarbonaction.com/en/ets/korea-emissions-trading-system-k-ets</w:t>
      </w:r>
    </w:p>
    <w:p>
      <w:pPr>
        <w:spacing w:after="80"/>
      </w:pPr>
      <w:r>
        <w:rPr>
          <w:rFonts w:ascii="Calibri" w:hAnsi="Calibri"/>
          <w:b/>
        </w:rPr>
        <w:t xml:space="preserve">[S12] IEA, ETS in the power sector, Korea case discussion. </w:t>
      </w:r>
      <w:r>
        <w:rPr>
          <w:rFonts w:ascii="Calibri" w:hAnsi="Calibri"/>
          <w:color w:val="0066CC"/>
        </w:rPr>
        <w:t>https://www.iea.org/reports/implementing-effective-emissions-trading-systems/ets-in-power-sector</w:t>
      </w:r>
    </w:p>
    <w:p>
      <w:pPr>
        <w:spacing w:after="80"/>
      </w:pPr>
      <w:r>
        <w:rPr>
          <w:rFonts w:ascii="Calibri" w:hAnsi="Calibri"/>
          <w:b/>
        </w:rPr>
        <w:t xml:space="preserve">[S13] IEA, Natural Gas Supply Security in Korea. </w:t>
      </w:r>
      <w:r>
        <w:rPr>
          <w:rFonts w:ascii="Calibri" w:hAnsi="Calibri"/>
          <w:color w:val="0066CC"/>
        </w:rPr>
        <w:t>https://iea.blob.core.windows.net/assets/4240647e-42f1-4791-8b12-59a09ca8fff9/NaturalGasSupplySecurityinKorea.pdf</w:t>
      </w:r>
    </w:p>
    <w:p>
      <w:pPr>
        <w:spacing w:after="80"/>
      </w:pPr>
      <w:r>
        <w:rPr>
          <w:rFonts w:ascii="Calibri" w:hAnsi="Calibri"/>
          <w:b/>
        </w:rPr>
        <w:t xml:space="preserve">[S14] IEA, Korea 2025 Energy Policy Review, executive summary. </w:t>
      </w:r>
      <w:r>
        <w:rPr>
          <w:rFonts w:ascii="Calibri" w:hAnsi="Calibri"/>
          <w:color w:val="0066CC"/>
        </w:rPr>
        <w:t>https://www.iea.org/reports/korea-2025/executive-summary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5C5C"/>
        <w:sz w:val="18"/>
      </w:rPr>
      <w:t>Prepared for Korea thermal coal market analysis | 2026-06-25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5C5C"/>
        <w:sz w:val="18"/>
      </w:rPr>
      <w:t>Korea Power Stack Primer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Korea Power Stack Primer</dc:title>
  <dc:subject>Korean power-market primer for thermal coal analysis</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