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5C5C5C"/>
          <w:sz w:val="24"/>
        </w:rPr>
        <w:t>Technical Course and Model Guide</w:t>
      </w:r>
    </w:p>
    <w:p>
      <w:pPr>
        <w:spacing w:after="160"/>
        <w:jc w:val="center"/>
      </w:pPr>
      <w:r>
        <w:rPr>
          <w:rFonts w:ascii="Calibri" w:hAnsi="Calibri"/>
          <w:b/>
          <w:color w:val="1F4D78"/>
          <w:sz w:val="52"/>
        </w:rPr>
        <w:t>Understanding Korea's KPX Cost Stack and Thermal Coal-to-LNG Switching</w:t>
      </w:r>
    </w:p>
    <w:p>
      <w:pPr>
        <w:jc w:val="center"/>
      </w:pPr>
      <w:r>
        <w:rPr>
          <w:rFonts w:ascii="Calibri" w:hAnsi="Calibri"/>
          <w:color w:val="5C5C5C"/>
          <w:sz w:val="26"/>
        </w:rPr>
        <w:t>A university-level guide to the market design, data, equations, assumptions, and policy overlays behind the KPX Cost Stack Lab</w:t>
      </w:r>
    </w:p>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2015"/>
            <w:vAlign w:val="center"/>
            <w:shd w:fill="E8EEF5"/>
            <w:tcMar>
              <w:top w:w="80" w:type="dxa"/>
              <w:start w:w="120" w:type="dxa"/>
              <w:bottom w:w="80" w:type="dxa"/>
              <w:end w:w="120" w:type="dxa"/>
            </w:tcMar>
          </w:tcPr>
          <w:p>
            <w:pPr>
              <w:jc w:val="center"/>
            </w:pPr>
            <w:r>
              <w:rPr>
                <w:rFonts w:ascii="Calibri" w:hAnsi="Calibri"/>
                <w:b/>
                <w:color w:val="24231F"/>
              </w:rPr>
              <w:t>Field</w:t>
            </w:r>
          </w:p>
        </w:tc>
        <w:tc>
          <w:tcPr>
            <w:tcW w:type="dxa" w:w="7343"/>
            <w:vAlign w:val="center"/>
            <w:shd w:fill="E8EEF5"/>
            <w:tcMar>
              <w:top w:w="80" w:type="dxa"/>
              <w:start w:w="120" w:type="dxa"/>
              <w:bottom w:w="80" w:type="dxa"/>
              <w:end w:w="120" w:type="dxa"/>
            </w:tcMar>
          </w:tcPr>
          <w:p>
            <w:pPr>
              <w:jc w:val="center"/>
            </w:pPr>
            <w:r>
              <w:rPr>
                <w:rFonts w:ascii="Calibri" w:hAnsi="Calibri"/>
                <w:b/>
                <w:color w:val="24231F"/>
              </w:rPr>
              <w:t>Value</w:t>
            </w:r>
          </w:p>
        </w:tc>
      </w:tr>
      <w:tr>
        <w:tc>
          <w:tcPr>
            <w:tcW w:type="dxa" w:w="4680"/>
            <w:vAlign w:val="center"/>
            <w:tcMar>
              <w:top w:w="80" w:type="dxa"/>
              <w:start w:w="120" w:type="dxa"/>
              <w:bottom w:w="80" w:type="dxa"/>
              <w:end w:w="120" w:type="dxa"/>
            </w:tcMar>
          </w:tcPr>
          <w:p>
            <w:pPr>
              <w:jc w:val="left"/>
            </w:pPr>
            <w:r>
              <w:rPr>
                <w:rFonts w:ascii="Calibri" w:hAnsi="Calibri"/>
              </w:rPr>
              <w:t>Audience</w:t>
            </w:r>
          </w:p>
        </w:tc>
        <w:tc>
          <w:tcPr>
            <w:tcW w:type="dxa" w:w="4680"/>
            <w:vAlign w:val="center"/>
            <w:tcMar>
              <w:top w:w="80" w:type="dxa"/>
              <w:start w:w="120" w:type="dxa"/>
              <w:bottom w:w="80" w:type="dxa"/>
              <w:end w:w="120" w:type="dxa"/>
            </w:tcMar>
          </w:tcPr>
          <w:p>
            <w:pPr>
              <w:jc w:val="center"/>
            </w:pPr>
            <w:r>
              <w:rPr>
                <w:rFonts w:ascii="Calibri" w:hAnsi="Calibri"/>
              </w:rPr>
              <w:t>Thermal coal practitioner with limited Korea power-market background</w:t>
            </w:r>
          </w:p>
        </w:tc>
      </w:tr>
      <w:tr>
        <w:tc>
          <w:tcPr>
            <w:tcW w:type="dxa" w:w="4680"/>
            <w:vAlign w:val="center"/>
            <w:tcMar>
              <w:top w:w="80" w:type="dxa"/>
              <w:start w:w="120" w:type="dxa"/>
              <w:bottom w:w="80" w:type="dxa"/>
              <w:end w:w="120" w:type="dxa"/>
            </w:tcMar>
          </w:tcPr>
          <w:p>
            <w:pPr>
              <w:jc w:val="left"/>
            </w:pPr>
            <w:r>
              <w:rPr>
                <w:rFonts w:ascii="Calibri" w:hAnsi="Calibri"/>
              </w:rPr>
              <w:t>Model</w:t>
            </w:r>
          </w:p>
        </w:tc>
        <w:tc>
          <w:tcPr>
            <w:tcW w:type="dxa" w:w="4680"/>
            <w:vAlign w:val="center"/>
            <w:tcMar>
              <w:top w:w="80" w:type="dxa"/>
              <w:start w:w="120" w:type="dxa"/>
              <w:bottom w:w="80" w:type="dxa"/>
              <w:end w:w="120" w:type="dxa"/>
            </w:tcMar>
          </w:tcPr>
          <w:p>
            <w:pPr>
              <w:jc w:val="center"/>
            </w:pPr>
            <w:r>
              <w:rPr>
                <w:rFonts w:ascii="Calibri" w:hAnsi="Calibri"/>
              </w:rPr>
              <w:t>KPX Cost Stack Lab, static browser app</w:t>
            </w:r>
          </w:p>
        </w:tc>
      </w:tr>
      <w:tr>
        <w:tc>
          <w:tcPr>
            <w:tcW w:type="dxa" w:w="4680"/>
            <w:vAlign w:val="center"/>
            <w:tcMar>
              <w:top w:w="80" w:type="dxa"/>
              <w:start w:w="120" w:type="dxa"/>
              <w:bottom w:w="80" w:type="dxa"/>
              <w:end w:w="120" w:type="dxa"/>
            </w:tcMar>
          </w:tcPr>
          <w:p>
            <w:pPr>
              <w:jc w:val="left"/>
            </w:pPr>
            <w:r>
              <w:rPr>
                <w:rFonts w:ascii="Calibri" w:hAnsi="Calibri"/>
              </w:rPr>
              <w:t>App URL</w:t>
            </w:r>
          </w:p>
        </w:tc>
        <w:tc>
          <w:tcPr>
            <w:tcW w:type="dxa" w:w="4680"/>
            <w:vAlign w:val="center"/>
            <w:tcMar>
              <w:top w:w="80" w:type="dxa"/>
              <w:start w:w="120" w:type="dxa"/>
              <w:bottom w:w="80" w:type="dxa"/>
              <w:end w:w="120" w:type="dxa"/>
            </w:tcMar>
          </w:tcPr>
          <w:p>
            <w:pPr>
              <w:jc w:val="center"/>
            </w:pPr>
            <w:r>
              <w:rPr>
                <w:rFonts w:ascii="Calibri" w:hAnsi="Calibri"/>
              </w:rPr>
              <w:t>https://qrlow.github.io/kpx-cost-stack-lab/</w:t>
            </w:r>
          </w:p>
        </w:tc>
      </w:tr>
      <w:tr>
        <w:tc>
          <w:tcPr>
            <w:tcW w:type="dxa" w:w="4680"/>
            <w:vAlign w:val="center"/>
            <w:tcMar>
              <w:top w:w="80" w:type="dxa"/>
              <w:start w:w="120" w:type="dxa"/>
              <w:bottom w:w="80" w:type="dxa"/>
              <w:end w:w="120" w:type="dxa"/>
            </w:tcMar>
          </w:tcPr>
          <w:p>
            <w:pPr>
              <w:jc w:val="left"/>
            </w:pPr>
            <w:r>
              <w:rPr>
                <w:rFonts w:ascii="Calibri" w:hAnsi="Calibri"/>
              </w:rPr>
              <w:t>Repository</w:t>
            </w:r>
          </w:p>
        </w:tc>
        <w:tc>
          <w:tcPr>
            <w:tcW w:type="dxa" w:w="4680"/>
            <w:vAlign w:val="center"/>
            <w:tcMar>
              <w:top w:w="80" w:type="dxa"/>
              <w:start w:w="120" w:type="dxa"/>
              <w:bottom w:w="80" w:type="dxa"/>
              <w:end w:w="120" w:type="dxa"/>
            </w:tcMar>
          </w:tcPr>
          <w:p>
            <w:pPr>
              <w:jc w:val="center"/>
            </w:pPr>
            <w:r>
              <w:rPr>
                <w:rFonts w:ascii="Calibri" w:hAnsi="Calibri"/>
              </w:rPr>
              <w:t>https://github.com/qrlow/kpx-cost-stack-lab</w:t>
            </w:r>
          </w:p>
        </w:tc>
      </w:tr>
      <w:tr>
        <w:tc>
          <w:tcPr>
            <w:tcW w:type="dxa" w:w="4680"/>
            <w:vAlign w:val="center"/>
            <w:tcMar>
              <w:top w:w="80" w:type="dxa"/>
              <w:start w:w="120" w:type="dxa"/>
              <w:bottom w:w="80" w:type="dxa"/>
              <w:end w:w="120" w:type="dxa"/>
            </w:tcMar>
          </w:tcPr>
          <w:p>
            <w:pPr>
              <w:jc w:val="left"/>
            </w:pPr>
            <w:r>
              <w:rPr>
                <w:rFonts w:ascii="Calibri" w:hAnsi="Calibri"/>
              </w:rPr>
              <w:t>Date</w:t>
            </w:r>
          </w:p>
        </w:tc>
        <w:tc>
          <w:tcPr>
            <w:tcW w:type="dxa" w:w="4680"/>
            <w:vAlign w:val="center"/>
            <w:tcMar>
              <w:top w:w="80" w:type="dxa"/>
              <w:start w:w="120" w:type="dxa"/>
              <w:bottom w:w="80" w:type="dxa"/>
              <w:end w:w="120" w:type="dxa"/>
            </w:tcMar>
          </w:tcPr>
          <w:p>
            <w:pPr>
              <w:jc w:val="center"/>
            </w:pPr>
            <w:r>
              <w:rPr>
                <w:rFonts w:ascii="Calibri" w:hAnsi="Calibri"/>
              </w:rPr>
              <w:t>2026-06-25</w:t>
            </w:r>
          </w:p>
        </w:tc>
      </w:tr>
    </w:tbl>
    <w:p>
      <w:r>
        <w:br w:type="page"/>
      </w:r>
    </w:p>
    <w:p>
      <w:pPr>
        <w:pStyle w:val="Heading1"/>
      </w:pPr>
      <w:r>
        <w:t>How to Use This Course</w:t>
      </w:r>
    </w:p>
    <w:p>
      <w:pPr>
        <w:keepLines w:val="0"/>
      </w:pPr>
      <w:r>
        <w:rPr>
          <w:rFonts w:ascii="Calibri" w:hAnsi="Calibri"/>
        </w:rPr>
        <w:t>This document explains the model as a course. It starts from institutional design, then builds toward the dispatch stack, then shows how coal market knowledge enters Korean power economics. You do not need prior Korea power-market knowledge, but the document assumes you are comfortable with thermal coal terms such as NAR, delivered price, freight, heat rate, and fuel switching.</w:t>
      </w:r>
    </w:p>
    <w:tbl>
      <w:tblPr>
        <w:tblStyle w:val="TableGrid"/>
        <w:tblW w:type="auto" w:w="0"/>
        <w:jc w:val="left"/>
        <w:tblLayout w:type="fixed"/>
        <w:tblLook w:firstColumn="1" w:firstRow="1" w:lastColumn="0" w:lastRow="0" w:noHBand="0" w:noVBand="1" w:val="04A0"/>
      </w:tblPr>
      <w:tblGrid>
        <w:gridCol w:w="9360"/>
      </w:tblGrid>
      <w:tr>
        <w:trPr>
          <w:tblHeader w:val="true"/>
        </w:trPr>
        <w:tc>
          <w:tcPr>
            <w:tcW w:type="dxa" w:w="9360"/>
            <w:shd w:fill="F4F6F9"/>
            <w:tcMar>
              <w:top w:w="120" w:type="dxa"/>
              <w:start w:w="160" w:type="dxa"/>
              <w:bottom w:w="120" w:type="dxa"/>
              <w:end w:w="160" w:type="dxa"/>
            </w:tcMar>
          </w:tcPr>
          <w:p>
            <w:r>
              <w:rPr>
                <w:rFonts w:ascii="Calibri" w:hAnsi="Calibri"/>
                <w:b/>
                <w:color w:val="1F4D78"/>
              </w:rPr>
              <w:t>Core thesis</w:t>
            </w:r>
          </w:p>
          <w:p>
            <w:pPr>
              <w:spacing w:after="0"/>
            </w:pPr>
            <w:r>
              <w:rPr>
                <w:rFonts w:ascii="Calibri" w:hAnsi="Calibri"/>
              </w:rPr>
              <w:t>Korea is not a simple merchant coal-versus-gas switching market. It is a cost-based, centrally scheduled power market where KPX builds a day-ahead schedule from assessed costs and system constraints, while government policy, nuclear availability, LNG procurement structure, air-quality rules, ETS treatment, and transmission/security constraints can all change the apparent coal/LNG economics.</w:t>
            </w:r>
          </w:p>
        </w:tc>
      </w:tr>
    </w:tbl>
    <w:p>
      <w:pPr>
        <w:pStyle w:val="Heading2"/>
      </w:pPr>
      <w:r>
        <w:t>Learning Objectives</w:t>
      </w:r>
    </w:p>
    <w:p>
      <w:pPr>
        <w:pStyle w:val="ListBullet"/>
      </w:pPr>
      <w:r>
        <w:rPr>
          <w:rFonts w:ascii="Calibri" w:hAnsi="Calibri"/>
        </w:rPr>
        <w:t>Explain why KPX dispatch is not equivalent to a free merchant bid stack.</w:t>
      </w:r>
    </w:p>
    <w:p>
      <w:pPr>
        <w:pStyle w:val="ListBullet"/>
      </w:pPr>
      <w:r>
        <w:rPr>
          <w:rFonts w:ascii="Calibri" w:hAnsi="Calibri"/>
        </w:rPr>
        <w:t>Translate coal and LNG commodity prices into KRW/kWh generation costs.</w:t>
      </w:r>
    </w:p>
    <w:p>
      <w:pPr>
        <w:pStyle w:val="ListBullet"/>
      </w:pPr>
      <w:r>
        <w:rPr>
          <w:rFonts w:ascii="Calibri" w:hAnsi="Calibri"/>
        </w:rPr>
        <w:t>Identify the difference between spot fuel economics and KPX-style recognized costs.</w:t>
      </w:r>
    </w:p>
    <w:p>
      <w:pPr>
        <w:pStyle w:val="ListBullet"/>
      </w:pPr>
      <w:r>
        <w:rPr>
          <w:rFonts w:ascii="Calibri" w:hAnsi="Calibri"/>
        </w:rPr>
        <w:t>Explain why nuclear availability, renewables, coal minimum load, and seasonal air-quality policy can dominate coal/LNG spreads.</w:t>
      </w:r>
    </w:p>
    <w:p>
      <w:pPr>
        <w:pStyle w:val="ListBullet"/>
      </w:pPr>
      <w:r>
        <w:rPr>
          <w:rFonts w:ascii="Calibri" w:hAnsi="Calibri"/>
        </w:rPr>
        <w:t>Use the KPX Cost Stack Lab controls without over-interpreting the output as confidential unit-level dispatch.</w:t>
      </w:r>
    </w:p>
    <w:p>
      <w:pPr>
        <w:pStyle w:val="ListBullet"/>
      </w:pPr>
      <w:r>
        <w:rPr>
          <w:rFonts w:ascii="Calibri" w:hAnsi="Calibri"/>
        </w:rPr>
        <w:t>Read model outputs as scenario diagnostics rather than market forecasts.</w:t>
      </w:r>
    </w:p>
    <w:p>
      <w:pPr>
        <w:pStyle w:val="Heading2"/>
      </w:pPr>
      <w:r>
        <w:t>Course Map</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936"/>
            <w:vAlign w:val="center"/>
            <w:shd w:fill="E8EEF5"/>
            <w:tcMar>
              <w:top w:w="80" w:type="dxa"/>
              <w:start w:w="120" w:type="dxa"/>
              <w:bottom w:w="80" w:type="dxa"/>
              <w:end w:w="120" w:type="dxa"/>
            </w:tcMar>
          </w:tcPr>
          <w:p>
            <w:pPr>
              <w:jc w:val="center"/>
            </w:pPr>
            <w:r>
              <w:rPr>
                <w:rFonts w:ascii="Calibri" w:hAnsi="Calibri"/>
                <w:b/>
                <w:color w:val="24231F"/>
              </w:rPr>
              <w:t>Module</w:t>
            </w:r>
          </w:p>
        </w:tc>
        <w:tc>
          <w:tcPr>
            <w:tcW w:type="dxa" w:w="3024"/>
            <w:vAlign w:val="center"/>
            <w:shd w:fill="E8EEF5"/>
            <w:tcMar>
              <w:top w:w="80" w:type="dxa"/>
              <w:start w:w="120" w:type="dxa"/>
              <w:bottom w:w="80" w:type="dxa"/>
              <w:end w:w="120" w:type="dxa"/>
            </w:tcMar>
          </w:tcPr>
          <w:p>
            <w:pPr>
              <w:jc w:val="center"/>
            </w:pPr>
            <w:r>
              <w:rPr>
                <w:rFonts w:ascii="Calibri" w:hAnsi="Calibri"/>
                <w:b/>
                <w:color w:val="24231F"/>
              </w:rPr>
              <w:t>Topic</w:t>
            </w:r>
          </w:p>
        </w:tc>
        <w:tc>
          <w:tcPr>
            <w:tcW w:type="dxa" w:w="5400"/>
            <w:vAlign w:val="center"/>
            <w:shd w:fill="E8EEF5"/>
            <w:tcMar>
              <w:top w:w="80" w:type="dxa"/>
              <w:start w:w="120" w:type="dxa"/>
              <w:bottom w:w="80" w:type="dxa"/>
              <w:end w:w="120" w:type="dxa"/>
            </w:tcMar>
          </w:tcPr>
          <w:p>
            <w:pPr>
              <w:jc w:val="center"/>
            </w:pPr>
            <w:r>
              <w:rPr>
                <w:rFonts w:ascii="Calibri" w:hAnsi="Calibri"/>
                <w:b/>
                <w:color w:val="24231F"/>
              </w:rPr>
              <w:t>What you should be able to do</w:t>
            </w:r>
          </w:p>
        </w:tc>
      </w:tr>
      <w:tr>
        <w:tc>
          <w:tcPr>
            <w:tcW w:type="dxa" w:w="3120"/>
            <w:vAlign w:val="center"/>
            <w:tcMar>
              <w:top w:w="80" w:type="dxa"/>
              <w:start w:w="120" w:type="dxa"/>
              <w:bottom w:w="80" w:type="dxa"/>
              <w:end w:w="120" w:type="dxa"/>
            </w:tcMar>
          </w:tcPr>
          <w:p>
            <w:pPr>
              <w:jc w:val="left"/>
            </w:pPr>
            <w:r>
              <w:rPr>
                <w:rFonts w:ascii="Calibri" w:hAnsi="Calibri"/>
              </w:rPr>
              <w:t>1</w:t>
            </w:r>
          </w:p>
        </w:tc>
        <w:tc>
          <w:tcPr>
            <w:tcW w:type="dxa" w:w="3120"/>
            <w:vAlign w:val="center"/>
            <w:tcMar>
              <w:top w:w="80" w:type="dxa"/>
              <w:start w:w="120" w:type="dxa"/>
              <w:bottom w:w="80" w:type="dxa"/>
              <w:end w:w="120" w:type="dxa"/>
            </w:tcMar>
          </w:tcPr>
          <w:p>
            <w:pPr>
              <w:jc w:val="center"/>
            </w:pPr>
            <w:r>
              <w:rPr>
                <w:rFonts w:ascii="Calibri" w:hAnsi="Calibri"/>
              </w:rPr>
              <w:t>Korea power-market architecture</w:t>
            </w:r>
          </w:p>
        </w:tc>
        <w:tc>
          <w:tcPr>
            <w:tcW w:type="dxa" w:w="3120"/>
            <w:vAlign w:val="center"/>
            <w:tcMar>
              <w:top w:w="80" w:type="dxa"/>
              <w:start w:w="120" w:type="dxa"/>
              <w:bottom w:w="80" w:type="dxa"/>
              <w:end w:w="120" w:type="dxa"/>
            </w:tcMar>
          </w:tcPr>
          <w:p>
            <w:pPr>
              <w:jc w:val="center"/>
            </w:pPr>
            <w:r>
              <w:rPr>
                <w:rFonts w:ascii="Calibri" w:hAnsi="Calibri"/>
              </w:rPr>
              <w:t>Name the core institutions and explain the single-buyer structure.</w:t>
            </w:r>
          </w:p>
        </w:tc>
      </w:tr>
      <w:tr>
        <w:tc>
          <w:tcPr>
            <w:tcW w:type="dxa" w:w="3120"/>
            <w:vAlign w:val="center"/>
            <w:tcMar>
              <w:top w:w="80" w:type="dxa"/>
              <w:start w:w="120" w:type="dxa"/>
              <w:bottom w:w="80" w:type="dxa"/>
              <w:end w:w="120" w:type="dxa"/>
            </w:tcMar>
          </w:tcPr>
          <w:p>
            <w:pPr>
              <w:jc w:val="left"/>
            </w:pPr>
            <w:r>
              <w:rPr>
                <w:rFonts w:ascii="Calibri" w:hAnsi="Calibri"/>
              </w:rPr>
              <w:t>2</w:t>
            </w:r>
          </w:p>
        </w:tc>
        <w:tc>
          <w:tcPr>
            <w:tcW w:type="dxa" w:w="3120"/>
            <w:vAlign w:val="center"/>
            <w:tcMar>
              <w:top w:w="80" w:type="dxa"/>
              <w:start w:w="120" w:type="dxa"/>
              <w:bottom w:w="80" w:type="dxa"/>
              <w:end w:w="120" w:type="dxa"/>
            </w:tcMar>
          </w:tcPr>
          <w:p>
            <w:pPr>
              <w:jc w:val="center"/>
            </w:pPr>
            <w:r>
              <w:rPr>
                <w:rFonts w:ascii="Calibri" w:hAnsi="Calibri"/>
              </w:rPr>
              <w:t>KPX cost-based pool</w:t>
            </w:r>
          </w:p>
        </w:tc>
        <w:tc>
          <w:tcPr>
            <w:tcW w:type="dxa" w:w="3120"/>
            <w:vAlign w:val="center"/>
            <w:tcMar>
              <w:top w:w="80" w:type="dxa"/>
              <w:start w:w="120" w:type="dxa"/>
              <w:bottom w:w="80" w:type="dxa"/>
              <w:end w:w="120" w:type="dxa"/>
            </w:tcMar>
          </w:tcPr>
          <w:p>
            <w:pPr>
              <w:jc w:val="center"/>
            </w:pPr>
            <w:r>
              <w:rPr>
                <w:rFonts w:ascii="Calibri" w:hAnsi="Calibri"/>
              </w:rPr>
              <w:t>Explain GCAC, PSS, SMP, settlement, and why costs are assessed.</w:t>
            </w:r>
          </w:p>
        </w:tc>
      </w:tr>
      <w:tr>
        <w:tc>
          <w:tcPr>
            <w:tcW w:type="dxa" w:w="3120"/>
            <w:vAlign w:val="center"/>
            <w:tcMar>
              <w:top w:w="80" w:type="dxa"/>
              <w:start w:w="120" w:type="dxa"/>
              <w:bottom w:w="80" w:type="dxa"/>
              <w:end w:w="120" w:type="dxa"/>
            </w:tcMar>
          </w:tcPr>
          <w:p>
            <w:pPr>
              <w:jc w:val="left"/>
            </w:pPr>
            <w:r>
              <w:rPr>
                <w:rFonts w:ascii="Calibri" w:hAnsi="Calibri"/>
              </w:rPr>
              <w:t>3</w:t>
            </w:r>
          </w:p>
        </w:tc>
        <w:tc>
          <w:tcPr>
            <w:tcW w:type="dxa" w:w="3120"/>
            <w:vAlign w:val="center"/>
            <w:tcMar>
              <w:top w:w="80" w:type="dxa"/>
              <w:start w:w="120" w:type="dxa"/>
              <w:bottom w:w="80" w:type="dxa"/>
              <w:end w:w="120" w:type="dxa"/>
            </w:tcMar>
          </w:tcPr>
          <w:p>
            <w:pPr>
              <w:jc w:val="center"/>
            </w:pPr>
            <w:r>
              <w:rPr>
                <w:rFonts w:ascii="Calibri" w:hAnsi="Calibri"/>
              </w:rPr>
              <w:t>KPX data baseline</w:t>
            </w:r>
          </w:p>
        </w:tc>
        <w:tc>
          <w:tcPr>
            <w:tcW w:type="dxa" w:w="3120"/>
            <w:vAlign w:val="center"/>
            <w:tcMar>
              <w:top w:w="80" w:type="dxa"/>
              <w:start w:w="120" w:type="dxa"/>
              <w:bottom w:w="80" w:type="dxa"/>
              <w:end w:w="120" w:type="dxa"/>
            </w:tcMar>
          </w:tcPr>
          <w:p>
            <w:pPr>
              <w:jc w:val="center"/>
            </w:pPr>
            <w:r>
              <w:rPr>
                <w:rFonts w:ascii="Calibri" w:hAnsi="Calibri"/>
              </w:rPr>
              <w:t>Read capacity, generation, SMP, and marginal fuel counts from KPX statistics.</w:t>
            </w:r>
          </w:p>
        </w:tc>
      </w:tr>
      <w:tr>
        <w:tc>
          <w:tcPr>
            <w:tcW w:type="dxa" w:w="3120"/>
            <w:vAlign w:val="center"/>
            <w:tcMar>
              <w:top w:w="80" w:type="dxa"/>
              <w:start w:w="120" w:type="dxa"/>
              <w:bottom w:w="80" w:type="dxa"/>
              <w:end w:w="120" w:type="dxa"/>
            </w:tcMar>
          </w:tcPr>
          <w:p>
            <w:pPr>
              <w:jc w:val="left"/>
            </w:pPr>
            <w:r>
              <w:rPr>
                <w:rFonts w:ascii="Calibri" w:hAnsi="Calibri"/>
              </w:rPr>
              <w:t>4</w:t>
            </w:r>
          </w:p>
        </w:tc>
        <w:tc>
          <w:tcPr>
            <w:tcW w:type="dxa" w:w="3120"/>
            <w:vAlign w:val="center"/>
            <w:tcMar>
              <w:top w:w="80" w:type="dxa"/>
              <w:start w:w="120" w:type="dxa"/>
              <w:bottom w:w="80" w:type="dxa"/>
              <w:end w:w="120" w:type="dxa"/>
            </w:tcMar>
          </w:tcPr>
          <w:p>
            <w:pPr>
              <w:jc w:val="center"/>
            </w:pPr>
            <w:r>
              <w:rPr>
                <w:rFonts w:ascii="Calibri" w:hAnsi="Calibri"/>
              </w:rPr>
              <w:t>Fuel economics</w:t>
            </w:r>
          </w:p>
        </w:tc>
        <w:tc>
          <w:tcPr>
            <w:tcW w:type="dxa" w:w="3120"/>
            <w:vAlign w:val="center"/>
            <w:tcMar>
              <w:top w:w="80" w:type="dxa"/>
              <w:start w:w="120" w:type="dxa"/>
              <w:bottom w:w="80" w:type="dxa"/>
              <w:end w:w="120" w:type="dxa"/>
            </w:tcMar>
          </w:tcPr>
          <w:p>
            <w:pPr>
              <w:jc w:val="center"/>
            </w:pPr>
            <w:r>
              <w:rPr>
                <w:rFonts w:ascii="Calibri" w:hAnsi="Calibri"/>
              </w:rPr>
              <w:t>Convert coal and LNG prices into KRW/kWh using heat rates and FX.</w:t>
            </w:r>
          </w:p>
        </w:tc>
      </w:tr>
      <w:tr>
        <w:tc>
          <w:tcPr>
            <w:tcW w:type="dxa" w:w="3120"/>
            <w:vAlign w:val="center"/>
            <w:tcMar>
              <w:top w:w="80" w:type="dxa"/>
              <w:start w:w="120" w:type="dxa"/>
              <w:bottom w:w="80" w:type="dxa"/>
              <w:end w:w="120" w:type="dxa"/>
            </w:tcMar>
          </w:tcPr>
          <w:p>
            <w:pPr>
              <w:jc w:val="left"/>
            </w:pPr>
            <w:r>
              <w:rPr>
                <w:rFonts w:ascii="Calibri" w:hAnsi="Calibri"/>
              </w:rPr>
              <w:t>5</w:t>
            </w:r>
          </w:p>
        </w:tc>
        <w:tc>
          <w:tcPr>
            <w:tcW w:type="dxa" w:w="3120"/>
            <w:vAlign w:val="center"/>
            <w:tcMar>
              <w:top w:w="80" w:type="dxa"/>
              <w:start w:w="120" w:type="dxa"/>
              <w:bottom w:w="80" w:type="dxa"/>
              <w:end w:w="120" w:type="dxa"/>
            </w:tcMar>
          </w:tcPr>
          <w:p>
            <w:pPr>
              <w:jc w:val="center"/>
            </w:pPr>
            <w:r>
              <w:rPr>
                <w:rFonts w:ascii="Calibri" w:hAnsi="Calibri"/>
              </w:rPr>
              <w:t>Residual load and constraints</w:t>
            </w:r>
          </w:p>
        </w:tc>
        <w:tc>
          <w:tcPr>
            <w:tcW w:type="dxa" w:w="3120"/>
            <w:vAlign w:val="center"/>
            <w:tcMar>
              <w:top w:w="80" w:type="dxa"/>
              <w:start w:w="120" w:type="dxa"/>
              <w:bottom w:w="80" w:type="dxa"/>
              <w:end w:w="120" w:type="dxa"/>
            </w:tcMar>
          </w:tcPr>
          <w:p>
            <w:pPr>
              <w:jc w:val="center"/>
            </w:pPr>
            <w:r>
              <w:rPr>
                <w:rFonts w:ascii="Calibri" w:hAnsi="Calibri"/>
              </w:rPr>
              <w:t>Explain why dispatch is about net load, not gross load alone.</w:t>
            </w:r>
          </w:p>
        </w:tc>
      </w:tr>
      <w:tr>
        <w:tc>
          <w:tcPr>
            <w:tcW w:type="dxa" w:w="3120"/>
            <w:vAlign w:val="center"/>
            <w:tcMar>
              <w:top w:w="80" w:type="dxa"/>
              <w:start w:w="120" w:type="dxa"/>
              <w:bottom w:w="80" w:type="dxa"/>
              <w:end w:w="120" w:type="dxa"/>
            </w:tcMar>
          </w:tcPr>
          <w:p>
            <w:pPr>
              <w:jc w:val="left"/>
            </w:pPr>
            <w:r>
              <w:rPr>
                <w:rFonts w:ascii="Calibri" w:hAnsi="Calibri"/>
              </w:rPr>
              <w:t>6</w:t>
            </w:r>
          </w:p>
        </w:tc>
        <w:tc>
          <w:tcPr>
            <w:tcW w:type="dxa" w:w="3120"/>
            <w:vAlign w:val="center"/>
            <w:tcMar>
              <w:top w:w="80" w:type="dxa"/>
              <w:start w:w="120" w:type="dxa"/>
              <w:bottom w:w="80" w:type="dxa"/>
              <w:end w:w="120" w:type="dxa"/>
            </w:tcMar>
          </w:tcPr>
          <w:p>
            <w:pPr>
              <w:jc w:val="center"/>
            </w:pPr>
            <w:r>
              <w:rPr>
                <w:rFonts w:ascii="Calibri" w:hAnsi="Calibri"/>
              </w:rPr>
              <w:t>Policy overlays</w:t>
            </w:r>
          </w:p>
        </w:tc>
        <w:tc>
          <w:tcPr>
            <w:tcW w:type="dxa" w:w="3120"/>
            <w:vAlign w:val="center"/>
            <w:tcMar>
              <w:top w:w="80" w:type="dxa"/>
              <w:start w:w="120" w:type="dxa"/>
              <w:bottom w:w="80" w:type="dxa"/>
              <w:end w:w="120" w:type="dxa"/>
            </w:tcMar>
          </w:tcPr>
          <w:p>
            <w:pPr>
              <w:jc w:val="center"/>
            </w:pPr>
            <w:r>
              <w:rPr>
                <w:rFonts w:ascii="Calibri" w:hAnsi="Calibri"/>
              </w:rPr>
              <w:t>Explain fine-dust controls, K-ETS, carbon recognition, and 11th Basic Plan context.</w:t>
            </w:r>
          </w:p>
        </w:tc>
      </w:tr>
      <w:tr>
        <w:tc>
          <w:tcPr>
            <w:tcW w:type="dxa" w:w="3120"/>
            <w:vAlign w:val="center"/>
            <w:tcMar>
              <w:top w:w="80" w:type="dxa"/>
              <w:start w:w="120" w:type="dxa"/>
              <w:bottom w:w="80" w:type="dxa"/>
              <w:end w:w="120" w:type="dxa"/>
            </w:tcMar>
          </w:tcPr>
          <w:p>
            <w:pPr>
              <w:jc w:val="left"/>
            </w:pPr>
            <w:r>
              <w:rPr>
                <w:rFonts w:ascii="Calibri" w:hAnsi="Calibri"/>
              </w:rPr>
              <w:t>7</w:t>
            </w:r>
          </w:p>
        </w:tc>
        <w:tc>
          <w:tcPr>
            <w:tcW w:type="dxa" w:w="3120"/>
            <w:vAlign w:val="center"/>
            <w:tcMar>
              <w:top w:w="80" w:type="dxa"/>
              <w:start w:w="120" w:type="dxa"/>
              <w:bottom w:w="80" w:type="dxa"/>
              <w:end w:w="120" w:type="dxa"/>
            </w:tcMar>
          </w:tcPr>
          <w:p>
            <w:pPr>
              <w:jc w:val="center"/>
            </w:pPr>
            <w:r>
              <w:rPr>
                <w:rFonts w:ascii="Calibri" w:hAnsi="Calibri"/>
              </w:rPr>
              <w:t>Model walkthrough</w:t>
            </w:r>
          </w:p>
        </w:tc>
        <w:tc>
          <w:tcPr>
            <w:tcW w:type="dxa" w:w="3120"/>
            <w:vAlign w:val="center"/>
            <w:tcMar>
              <w:top w:w="80" w:type="dxa"/>
              <w:start w:w="120" w:type="dxa"/>
              <w:bottom w:w="80" w:type="dxa"/>
              <w:end w:w="120" w:type="dxa"/>
            </w:tcMar>
          </w:tcPr>
          <w:p>
            <w:pPr>
              <w:jc w:val="center"/>
            </w:pPr>
            <w:r>
              <w:rPr>
                <w:rFonts w:ascii="Calibri" w:hAnsi="Calibri"/>
              </w:rPr>
              <w:t>Connect each app control to a market mechanism and equation.</w:t>
            </w:r>
          </w:p>
        </w:tc>
      </w:tr>
      <w:tr>
        <w:tc>
          <w:tcPr>
            <w:tcW w:type="dxa" w:w="3120"/>
            <w:vAlign w:val="center"/>
            <w:tcMar>
              <w:top w:w="80" w:type="dxa"/>
              <w:start w:w="120" w:type="dxa"/>
              <w:bottom w:w="80" w:type="dxa"/>
              <w:end w:w="120" w:type="dxa"/>
            </w:tcMar>
          </w:tcPr>
          <w:p>
            <w:pPr>
              <w:jc w:val="left"/>
            </w:pPr>
            <w:r>
              <w:rPr>
                <w:rFonts w:ascii="Calibri" w:hAnsi="Calibri"/>
              </w:rPr>
              <w:t>8</w:t>
            </w:r>
          </w:p>
        </w:tc>
        <w:tc>
          <w:tcPr>
            <w:tcW w:type="dxa" w:w="3120"/>
            <w:vAlign w:val="center"/>
            <w:tcMar>
              <w:top w:w="80" w:type="dxa"/>
              <w:start w:w="120" w:type="dxa"/>
              <w:bottom w:w="80" w:type="dxa"/>
              <w:end w:w="120" w:type="dxa"/>
            </w:tcMar>
          </w:tcPr>
          <w:p>
            <w:pPr>
              <w:jc w:val="center"/>
            </w:pPr>
            <w:r>
              <w:rPr>
                <w:rFonts w:ascii="Calibri" w:hAnsi="Calibri"/>
              </w:rPr>
              <w:t>Limitations and upgrades</w:t>
            </w:r>
          </w:p>
        </w:tc>
        <w:tc>
          <w:tcPr>
            <w:tcW w:type="dxa" w:w="3120"/>
            <w:vAlign w:val="center"/>
            <w:tcMar>
              <w:top w:w="80" w:type="dxa"/>
              <w:start w:w="120" w:type="dxa"/>
              <w:bottom w:w="80" w:type="dxa"/>
              <w:end w:w="120" w:type="dxa"/>
            </w:tcMar>
          </w:tcPr>
          <w:p>
            <w:pPr>
              <w:jc w:val="center"/>
            </w:pPr>
            <w:r>
              <w:rPr>
                <w:rFonts w:ascii="Calibri" w:hAnsi="Calibri"/>
              </w:rPr>
              <w:t>Separate what the app demonstrates from what a production unit-commitment model would need.</w:t>
            </w:r>
          </w:p>
        </w:tc>
      </w:tr>
    </w:tbl>
    <w:p>
      <w:r>
        <w:br w:type="page"/>
      </w:r>
    </w:p>
    <w:p>
      <w:pPr>
        <w:pStyle w:val="Heading1"/>
      </w:pPr>
      <w:r>
        <w:t>Module 1 - Korea Power-Market Architecture</w:t>
      </w:r>
    </w:p>
    <w:p>
      <w:pPr>
        <w:keepLines w:val="0"/>
      </w:pPr>
      <w:r>
        <w:rPr>
          <w:rFonts w:ascii="Calibri" w:hAnsi="Calibri"/>
        </w:rPr>
        <w:t>Korea's electricity sector is best understood as a hybrid: generation has multiple participants, but transmission, distribution, retail supply, and the wholesale purchase role remain centered on KEPCO. The Korea Power Exchange (KPX) operates the wholesale market and the power system. KPX itself describes the market as a pool in which generators sell and KEPCO acts as the single buyer. [S2]</w:t>
      </w:r>
    </w:p>
    <w:p>
      <w:pPr>
        <w:keepLines w:val="0"/>
      </w:pPr>
      <w:r>
        <w:rPr>
          <w:rFonts w:ascii="Calibri" w:hAnsi="Calibri"/>
        </w:rPr>
        <w:t>The IEA describes the structure as a day-ahead wholesale market run by KPX, with KEPCO controlling transmission, distribution, and retail supply. Generation comes from independent power producers and KEPCO subsidiaries. The six KEPCO generation subsidiaries remain central: Korea Hydro &amp; Nuclear Power owns nuclear and hydro, while the other five gencos own much of the coal and gas fleet. [S7]</w:t>
      </w:r>
    </w:p>
    <w:p>
      <w:pPr>
        <w:keepLines w:val="0"/>
      </w:pPr>
      <w:r>
        <w:rPr>
          <w:rFonts w:ascii="Calibri" w:hAnsi="Calibri"/>
        </w:rPr>
        <w:t>This institutional setup matters for coal switching because a generator is not simply deciding whether to bid coal at its own opportunity cost into a liberalized market. KPX schedules the system, KEPCO pays through the market settlement process, and generator costs are evaluated under market rules. That makes the Korean coal market a power-market-design problem as much as a fuel-price problem.</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1944"/>
            <w:vAlign w:val="center"/>
            <w:shd w:fill="E8EEF5"/>
            <w:tcMar>
              <w:top w:w="80" w:type="dxa"/>
              <w:start w:w="120" w:type="dxa"/>
              <w:bottom w:w="80" w:type="dxa"/>
              <w:end w:w="120" w:type="dxa"/>
            </w:tcMar>
          </w:tcPr>
          <w:p>
            <w:pPr>
              <w:jc w:val="center"/>
            </w:pPr>
            <w:r>
              <w:rPr>
                <w:rFonts w:ascii="Calibri" w:hAnsi="Calibri"/>
                <w:b/>
                <w:color w:val="24231F"/>
              </w:rPr>
              <w:t>Actor</w:t>
            </w:r>
          </w:p>
        </w:tc>
        <w:tc>
          <w:tcPr>
            <w:tcW w:type="dxa" w:w="3096"/>
            <w:vAlign w:val="center"/>
            <w:shd w:fill="E8EEF5"/>
            <w:tcMar>
              <w:top w:w="80" w:type="dxa"/>
              <w:start w:w="120" w:type="dxa"/>
              <w:bottom w:w="80" w:type="dxa"/>
              <w:end w:w="120" w:type="dxa"/>
            </w:tcMar>
          </w:tcPr>
          <w:p>
            <w:pPr>
              <w:jc w:val="center"/>
            </w:pPr>
            <w:r>
              <w:rPr>
                <w:rFonts w:ascii="Calibri" w:hAnsi="Calibri"/>
                <w:b/>
                <w:color w:val="24231F"/>
              </w:rPr>
              <w:t>Role in the model</w:t>
            </w:r>
          </w:p>
        </w:tc>
        <w:tc>
          <w:tcPr>
            <w:tcW w:type="dxa" w:w="4320"/>
            <w:vAlign w:val="center"/>
            <w:shd w:fill="E8EEF5"/>
            <w:tcMar>
              <w:top w:w="80" w:type="dxa"/>
              <w:start w:w="120" w:type="dxa"/>
              <w:bottom w:w="80" w:type="dxa"/>
              <w:end w:w="120" w:type="dxa"/>
            </w:tcMar>
          </w:tcPr>
          <w:p>
            <w:pPr>
              <w:jc w:val="center"/>
            </w:pPr>
            <w:r>
              <w:rPr>
                <w:rFonts w:ascii="Calibri" w:hAnsi="Calibri"/>
                <w:b/>
                <w:color w:val="24231F"/>
              </w:rPr>
              <w:t>Why it matters for coal/LNG switching</w:t>
            </w:r>
          </w:p>
        </w:tc>
      </w:tr>
      <w:tr>
        <w:tc>
          <w:tcPr>
            <w:tcW w:type="dxa" w:w="3120"/>
            <w:vAlign w:val="center"/>
            <w:tcMar>
              <w:top w:w="80" w:type="dxa"/>
              <w:start w:w="120" w:type="dxa"/>
              <w:bottom w:w="80" w:type="dxa"/>
              <w:end w:w="120" w:type="dxa"/>
            </w:tcMar>
          </w:tcPr>
          <w:p>
            <w:pPr>
              <w:jc w:val="left"/>
            </w:pPr>
            <w:r>
              <w:rPr>
                <w:rFonts w:ascii="Calibri" w:hAnsi="Calibri"/>
              </w:rPr>
              <w:t>KPX</w:t>
            </w:r>
          </w:p>
        </w:tc>
        <w:tc>
          <w:tcPr>
            <w:tcW w:type="dxa" w:w="3120"/>
            <w:vAlign w:val="center"/>
            <w:tcMar>
              <w:top w:w="80" w:type="dxa"/>
              <w:start w:w="120" w:type="dxa"/>
              <w:bottom w:w="80" w:type="dxa"/>
              <w:end w:w="120" w:type="dxa"/>
            </w:tcMar>
          </w:tcPr>
          <w:p>
            <w:pPr>
              <w:jc w:val="center"/>
            </w:pPr>
            <w:r>
              <w:rPr>
                <w:rFonts w:ascii="Calibri" w:hAnsi="Calibri"/>
              </w:rPr>
              <w:t>Market operator, system operator, scheduler, settlement administrator</w:t>
            </w:r>
          </w:p>
        </w:tc>
        <w:tc>
          <w:tcPr>
            <w:tcW w:type="dxa" w:w="3120"/>
            <w:vAlign w:val="center"/>
            <w:tcMar>
              <w:top w:w="80" w:type="dxa"/>
              <w:start w:w="120" w:type="dxa"/>
              <w:bottom w:w="80" w:type="dxa"/>
              <w:end w:w="120" w:type="dxa"/>
            </w:tcMar>
          </w:tcPr>
          <w:p>
            <w:pPr>
              <w:jc w:val="center"/>
            </w:pPr>
            <w:r>
              <w:rPr>
                <w:rFonts w:ascii="Calibri" w:hAnsi="Calibri"/>
              </w:rPr>
              <w:t>Builds the day-ahead schedule and determines SMP under assessed-cost and constraint rules.</w:t>
            </w:r>
          </w:p>
        </w:tc>
      </w:tr>
      <w:tr>
        <w:tc>
          <w:tcPr>
            <w:tcW w:type="dxa" w:w="3120"/>
            <w:vAlign w:val="center"/>
            <w:tcMar>
              <w:top w:w="80" w:type="dxa"/>
              <w:start w:w="120" w:type="dxa"/>
              <w:bottom w:w="80" w:type="dxa"/>
              <w:end w:w="120" w:type="dxa"/>
            </w:tcMar>
          </w:tcPr>
          <w:p>
            <w:pPr>
              <w:jc w:val="left"/>
            </w:pPr>
            <w:r>
              <w:rPr>
                <w:rFonts w:ascii="Calibri" w:hAnsi="Calibri"/>
              </w:rPr>
              <w:t>KEPCO</w:t>
            </w:r>
          </w:p>
        </w:tc>
        <w:tc>
          <w:tcPr>
            <w:tcW w:type="dxa" w:w="3120"/>
            <w:vAlign w:val="center"/>
            <w:tcMar>
              <w:top w:w="80" w:type="dxa"/>
              <w:start w:w="120" w:type="dxa"/>
              <w:bottom w:w="80" w:type="dxa"/>
              <w:end w:w="120" w:type="dxa"/>
            </w:tcMar>
          </w:tcPr>
          <w:p>
            <w:pPr>
              <w:jc w:val="center"/>
            </w:pPr>
            <w:r>
              <w:rPr>
                <w:rFonts w:ascii="Calibri" w:hAnsi="Calibri"/>
              </w:rPr>
              <w:t>Single buyer and retail supplier</w:t>
            </w:r>
          </w:p>
        </w:tc>
        <w:tc>
          <w:tcPr>
            <w:tcW w:type="dxa" w:w="3120"/>
            <w:vAlign w:val="center"/>
            <w:tcMar>
              <w:top w:w="80" w:type="dxa"/>
              <w:start w:w="120" w:type="dxa"/>
              <w:bottom w:w="80" w:type="dxa"/>
              <w:end w:w="120" w:type="dxa"/>
            </w:tcMar>
          </w:tcPr>
          <w:p>
            <w:pPr>
              <w:jc w:val="center"/>
            </w:pPr>
            <w:r>
              <w:rPr>
                <w:rFonts w:ascii="Calibri" w:hAnsi="Calibri"/>
              </w:rPr>
              <w:t>Purchases from the KPX pool and supplies end users; retail tariffs are regulated and do not freely float with fuel cost.</w:t>
            </w:r>
          </w:p>
        </w:tc>
      </w:tr>
      <w:tr>
        <w:tc>
          <w:tcPr>
            <w:tcW w:type="dxa" w:w="3120"/>
            <w:vAlign w:val="center"/>
            <w:tcMar>
              <w:top w:w="80" w:type="dxa"/>
              <w:start w:w="120" w:type="dxa"/>
              <w:bottom w:w="80" w:type="dxa"/>
              <w:end w:w="120" w:type="dxa"/>
            </w:tcMar>
          </w:tcPr>
          <w:p>
            <w:pPr>
              <w:jc w:val="left"/>
            </w:pPr>
            <w:r>
              <w:rPr>
                <w:rFonts w:ascii="Calibri" w:hAnsi="Calibri"/>
              </w:rPr>
              <w:t>KEPCO gencos</w:t>
            </w:r>
          </w:p>
        </w:tc>
        <w:tc>
          <w:tcPr>
            <w:tcW w:type="dxa" w:w="3120"/>
            <w:vAlign w:val="center"/>
            <w:tcMar>
              <w:top w:w="80" w:type="dxa"/>
              <w:start w:w="120" w:type="dxa"/>
              <w:bottom w:w="80" w:type="dxa"/>
              <w:end w:w="120" w:type="dxa"/>
            </w:tcMar>
          </w:tcPr>
          <w:p>
            <w:pPr>
              <w:jc w:val="center"/>
            </w:pPr>
            <w:r>
              <w:rPr>
                <w:rFonts w:ascii="Calibri" w:hAnsi="Calibri"/>
              </w:rPr>
              <w:t>Dominant fleet owners</w:t>
            </w:r>
          </w:p>
        </w:tc>
        <w:tc>
          <w:tcPr>
            <w:tcW w:type="dxa" w:w="3120"/>
            <w:vAlign w:val="center"/>
            <w:tcMar>
              <w:top w:w="80" w:type="dxa"/>
              <w:start w:w="120" w:type="dxa"/>
              <w:bottom w:w="80" w:type="dxa"/>
              <w:end w:w="120" w:type="dxa"/>
            </w:tcMar>
          </w:tcPr>
          <w:p>
            <w:pPr>
              <w:jc w:val="center"/>
            </w:pPr>
            <w:r>
              <w:rPr>
                <w:rFonts w:ascii="Calibri" w:hAnsi="Calibri"/>
              </w:rPr>
              <w:t>Own much of the coal and LNG capacity; their units form much of the assessed cost stack.</w:t>
            </w:r>
          </w:p>
        </w:tc>
      </w:tr>
      <w:tr>
        <w:tc>
          <w:tcPr>
            <w:tcW w:type="dxa" w:w="3120"/>
            <w:vAlign w:val="center"/>
            <w:tcMar>
              <w:top w:w="80" w:type="dxa"/>
              <w:start w:w="120" w:type="dxa"/>
              <w:bottom w:w="80" w:type="dxa"/>
              <w:end w:w="120" w:type="dxa"/>
            </w:tcMar>
          </w:tcPr>
          <w:p>
            <w:pPr>
              <w:jc w:val="left"/>
            </w:pPr>
            <w:r>
              <w:rPr>
                <w:rFonts w:ascii="Calibri" w:hAnsi="Calibri"/>
              </w:rPr>
              <w:t>KHNP</w:t>
            </w:r>
          </w:p>
        </w:tc>
        <w:tc>
          <w:tcPr>
            <w:tcW w:type="dxa" w:w="3120"/>
            <w:vAlign w:val="center"/>
            <w:tcMar>
              <w:top w:w="80" w:type="dxa"/>
              <w:start w:w="120" w:type="dxa"/>
              <w:bottom w:w="80" w:type="dxa"/>
              <w:end w:w="120" w:type="dxa"/>
            </w:tcMar>
          </w:tcPr>
          <w:p>
            <w:pPr>
              <w:jc w:val="center"/>
            </w:pPr>
            <w:r>
              <w:rPr>
                <w:rFonts w:ascii="Calibri" w:hAnsi="Calibri"/>
              </w:rPr>
              <w:t>Nuclear and hydro operator</w:t>
            </w:r>
          </w:p>
        </w:tc>
        <w:tc>
          <w:tcPr>
            <w:tcW w:type="dxa" w:w="3120"/>
            <w:vAlign w:val="center"/>
            <w:tcMar>
              <w:top w:w="80" w:type="dxa"/>
              <w:start w:w="120" w:type="dxa"/>
              <w:bottom w:w="80" w:type="dxa"/>
              <w:end w:w="120" w:type="dxa"/>
            </w:tcMar>
          </w:tcPr>
          <w:p>
            <w:pPr>
              <w:jc w:val="center"/>
            </w:pPr>
            <w:r>
              <w:rPr>
                <w:rFonts w:ascii="Calibri" w:hAnsi="Calibri"/>
              </w:rPr>
              <w:t>Nuclear availability strongly changes residual demand for coal and LNG.</w:t>
            </w:r>
          </w:p>
        </w:tc>
      </w:tr>
      <w:tr>
        <w:tc>
          <w:tcPr>
            <w:tcW w:type="dxa" w:w="3120"/>
            <w:vAlign w:val="center"/>
            <w:tcMar>
              <w:top w:w="80" w:type="dxa"/>
              <w:start w:w="120" w:type="dxa"/>
              <w:bottom w:w="80" w:type="dxa"/>
              <w:end w:w="120" w:type="dxa"/>
            </w:tcMar>
          </w:tcPr>
          <w:p>
            <w:pPr>
              <w:jc w:val="left"/>
            </w:pPr>
            <w:r>
              <w:rPr>
                <w:rFonts w:ascii="Calibri" w:hAnsi="Calibri"/>
              </w:rPr>
              <w:t>IPPs/direct LNG importers</w:t>
            </w:r>
          </w:p>
        </w:tc>
        <w:tc>
          <w:tcPr>
            <w:tcW w:type="dxa" w:w="3120"/>
            <w:vAlign w:val="center"/>
            <w:tcMar>
              <w:top w:w="80" w:type="dxa"/>
              <w:start w:w="120" w:type="dxa"/>
              <w:bottom w:w="80" w:type="dxa"/>
              <w:end w:w="120" w:type="dxa"/>
            </w:tcMar>
          </w:tcPr>
          <w:p>
            <w:pPr>
              <w:jc w:val="center"/>
            </w:pPr>
            <w:r>
              <w:rPr>
                <w:rFonts w:ascii="Calibri" w:hAnsi="Calibri"/>
              </w:rPr>
              <w:t>Private generation and some self-use LNG import</w:t>
            </w:r>
          </w:p>
        </w:tc>
        <w:tc>
          <w:tcPr>
            <w:tcW w:type="dxa" w:w="3120"/>
            <w:vAlign w:val="center"/>
            <w:tcMar>
              <w:top w:w="80" w:type="dxa"/>
              <w:start w:w="120" w:type="dxa"/>
              <w:bottom w:w="80" w:type="dxa"/>
              <w:end w:w="120" w:type="dxa"/>
            </w:tcMar>
          </w:tcPr>
          <w:p>
            <w:pPr>
              <w:jc w:val="center"/>
            </w:pPr>
            <w:r>
              <w:rPr>
                <w:rFonts w:ascii="Calibri" w:hAnsi="Calibri"/>
              </w:rPr>
              <w:t>Can introduce plant-specific LNG economics that differ from the KOGAS average.</w:t>
            </w:r>
          </w:p>
        </w:tc>
      </w:tr>
      <w:tr>
        <w:tc>
          <w:tcPr>
            <w:tcW w:type="dxa" w:w="3120"/>
            <w:vAlign w:val="center"/>
            <w:tcMar>
              <w:top w:w="80" w:type="dxa"/>
              <w:start w:w="120" w:type="dxa"/>
              <w:bottom w:w="80" w:type="dxa"/>
              <w:end w:w="120" w:type="dxa"/>
            </w:tcMar>
          </w:tcPr>
          <w:p>
            <w:pPr>
              <w:jc w:val="left"/>
            </w:pPr>
            <w:r>
              <w:rPr>
                <w:rFonts w:ascii="Calibri" w:hAnsi="Calibri"/>
              </w:rPr>
              <w:t>MOTIE/MCEE and policy bodies</w:t>
            </w:r>
          </w:p>
        </w:tc>
        <w:tc>
          <w:tcPr>
            <w:tcW w:type="dxa" w:w="3120"/>
            <w:vAlign w:val="center"/>
            <w:tcMar>
              <w:top w:w="80" w:type="dxa"/>
              <w:start w:w="120" w:type="dxa"/>
              <w:bottom w:w="80" w:type="dxa"/>
              <w:end w:w="120" w:type="dxa"/>
            </w:tcMar>
          </w:tcPr>
          <w:p>
            <w:pPr>
              <w:jc w:val="center"/>
            </w:pPr>
            <w:r>
              <w:rPr>
                <w:rFonts w:ascii="Calibri" w:hAnsi="Calibri"/>
              </w:rPr>
              <w:t>Planning, environmental, and ETS policy</w:t>
            </w:r>
          </w:p>
        </w:tc>
        <w:tc>
          <w:tcPr>
            <w:tcW w:type="dxa" w:w="3120"/>
            <w:vAlign w:val="center"/>
            <w:tcMar>
              <w:top w:w="80" w:type="dxa"/>
              <w:start w:w="120" w:type="dxa"/>
              <w:bottom w:w="80" w:type="dxa"/>
              <w:end w:w="120" w:type="dxa"/>
            </w:tcMar>
          </w:tcPr>
          <w:p>
            <w:pPr>
              <w:jc w:val="center"/>
            </w:pPr>
            <w:r>
              <w:rPr>
                <w:rFonts w:ascii="Calibri" w:hAnsi="Calibri"/>
              </w:rPr>
              <w:t>Coal caps, emissions costs, and the long-term supply plan shape the dispatchable fleet.</w:t>
            </w:r>
          </w:p>
        </w:tc>
      </w:tr>
    </w:tbl>
    <w:p>
      <w:pPr>
        <w:spacing w:before="80" w:after="80"/>
      </w:pPr>
      <w:r>
        <w:rPr>
          <w:rFonts w:ascii="Calibri" w:hAnsi="Calibri"/>
          <w:i/>
          <w:color w:val="5C5C5C"/>
          <w:sz w:val="18"/>
        </w:rPr>
        <w:t>Source: KPX market-process pages and IEA Korea Electricity Security Review. [S2], [S7]</w:t>
      </w:r>
    </w:p>
    <w:tbl>
      <w:tblPr>
        <w:tblStyle w:val="TableGrid"/>
        <w:tblW w:type="auto" w:w="0"/>
        <w:jc w:val="left"/>
        <w:tblLayout w:type="fixed"/>
        <w:tblLook w:firstColumn="1" w:firstRow="1" w:lastColumn="0" w:lastRow="0" w:noHBand="0" w:noVBand="1" w:val="04A0"/>
      </w:tblPr>
      <w:tblGrid>
        <w:gridCol w:w="9360"/>
      </w:tblGrid>
      <w:tr>
        <w:trPr>
          <w:tblHeader w:val="true"/>
        </w:trPr>
        <w:tc>
          <w:tcPr>
            <w:tcW w:type="dxa" w:w="9360"/>
            <w:shd w:fill="F4F6F9"/>
            <w:tcMar>
              <w:top w:w="120" w:type="dxa"/>
              <w:start w:w="160" w:type="dxa"/>
              <w:bottom w:w="120" w:type="dxa"/>
              <w:end w:w="160" w:type="dxa"/>
            </w:tcMar>
          </w:tcPr>
          <w:p>
            <w:r>
              <w:rPr>
                <w:rFonts w:ascii="Calibri" w:hAnsi="Calibri"/>
                <w:b/>
                <w:color w:val="1F4D78"/>
              </w:rPr>
              <w:t>Coal-market intuition adjustment</w:t>
            </w:r>
          </w:p>
          <w:p>
            <w:pPr>
              <w:spacing w:after="0"/>
            </w:pPr>
            <w:r>
              <w:rPr>
                <w:rFonts w:ascii="Calibri" w:hAnsi="Calibri"/>
              </w:rPr>
              <w:t>In a merchant market, a coal analyst asks whether coal variable cost is below gas variable cost. In Korea, ask whether the KPX-recognized cost block can move in the Price Setting Schedule after must-run supply, minimum stable coal output, nuclear availability, policy caps, LNG availability, and system constraints are applied.</w:t>
            </w:r>
          </w:p>
        </w:tc>
      </w:tr>
    </w:tbl>
    <w:p>
      <w:pPr>
        <w:pStyle w:val="Heading1"/>
      </w:pPr>
      <w:r>
        <w:t>Module 2 - KPX Cost-Based Pool, GCAC, PSS, SMP, and Settlement</w:t>
      </w:r>
    </w:p>
    <w:p>
      <w:pPr>
        <w:keepLines w:val="0"/>
      </w:pPr>
      <w:r>
        <w:rPr>
          <w:rFonts w:ascii="Calibri" w:hAnsi="Calibri"/>
        </w:rPr>
        <w:t>Korea's current wholesale market is a Cost-Based Pool. KPX states that both fixed costs, through capacity payment, and variable costs for each generating unit are examined monthly by the Generation Cost Assessment Committee (GCAC) based on documents submitted by generators. [S2]</w:t>
      </w:r>
    </w:p>
    <w:p>
      <w:pPr>
        <w:keepLines w:val="0"/>
      </w:pPr>
      <w:r>
        <w:rPr>
          <w:rFonts w:ascii="Calibri" w:hAnsi="Calibri"/>
        </w:rPr>
        <w:t>The Cost Evaluation Committee matters because the supply curve used by KPX is not built from free price bids. KPX says that generation costs calculated from each generator's variable costs form the basis of market price in the Cost-Based Pool. The committee meets regularly and performs the cost evaluation function. [S5]</w:t>
      </w:r>
    </w:p>
    <w:p>
      <w:pPr>
        <w:keepLines w:val="0"/>
      </w:pPr>
      <w:r>
        <w:rPr>
          <w:rFonts w:ascii="Calibri" w:hAnsi="Calibri"/>
        </w:rPr>
        <w:t>KPX determines market price one day ahead for each hour. The Price Setting Schedule (PSS) chooses generator operation and output levels to meet forecast demand while satisfying system constraints at the lowest generation cost. The highest-cost dispatched generator is designated as the marginal plant, and its System Marginal Price (SMP) is the market price for that time period. [S3]</w:t>
      </w:r>
    </w:p>
    <w:p>
      <w:pPr>
        <w:keepLines w:val="0"/>
      </w:pPr>
      <w:r>
        <w:rPr>
          <w:rFonts w:ascii="Calibri" w:hAnsi="Calibri"/>
        </w:rPr>
        <w:t>KPX's trading system page adds an operational detail that is central to this model: the scheduler establishes a PSS, calculates SMP/BLMP a day ahead according to the trading day's demand forecast, and publishes an operation schedule considering fuel and transmission constraints. That is why a pure fuel spread is incomplete. [S4]</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1440"/>
            <w:vAlign w:val="center"/>
            <w:shd w:fill="E8EEF5"/>
            <w:tcMar>
              <w:top w:w="80" w:type="dxa"/>
              <w:start w:w="120" w:type="dxa"/>
              <w:bottom w:w="80" w:type="dxa"/>
              <w:end w:w="120" w:type="dxa"/>
            </w:tcMar>
          </w:tcPr>
          <w:p>
            <w:pPr>
              <w:jc w:val="center"/>
            </w:pPr>
            <w:r>
              <w:rPr>
                <w:rFonts w:ascii="Calibri" w:hAnsi="Calibri"/>
                <w:b/>
                <w:color w:val="24231F"/>
              </w:rPr>
              <w:t>Concept</w:t>
            </w:r>
          </w:p>
        </w:tc>
        <w:tc>
          <w:tcPr>
            <w:tcW w:type="dxa" w:w="3888"/>
            <w:vAlign w:val="center"/>
            <w:shd w:fill="E8EEF5"/>
            <w:tcMar>
              <w:top w:w="80" w:type="dxa"/>
              <w:start w:w="120" w:type="dxa"/>
              <w:bottom w:w="80" w:type="dxa"/>
              <w:end w:w="120" w:type="dxa"/>
            </w:tcMar>
          </w:tcPr>
          <w:p>
            <w:pPr>
              <w:jc w:val="center"/>
            </w:pPr>
            <w:r>
              <w:rPr>
                <w:rFonts w:ascii="Calibri" w:hAnsi="Calibri"/>
                <w:b/>
                <w:color w:val="24231F"/>
              </w:rPr>
              <w:t>Plain-English definition</w:t>
            </w:r>
          </w:p>
        </w:tc>
        <w:tc>
          <w:tcPr>
            <w:tcW w:type="dxa" w:w="4031"/>
            <w:vAlign w:val="center"/>
            <w:shd w:fill="E8EEF5"/>
            <w:tcMar>
              <w:top w:w="80" w:type="dxa"/>
              <w:start w:w="120" w:type="dxa"/>
              <w:bottom w:w="80" w:type="dxa"/>
              <w:end w:w="120" w:type="dxa"/>
            </w:tcMar>
          </w:tcPr>
          <w:p>
            <w:pPr>
              <w:jc w:val="center"/>
            </w:pPr>
            <w:r>
              <w:rPr>
                <w:rFonts w:ascii="Calibri" w:hAnsi="Calibri"/>
                <w:b/>
                <w:color w:val="24231F"/>
              </w:rPr>
              <w:t>How the app represents it</w:t>
            </w:r>
          </w:p>
        </w:tc>
      </w:tr>
      <w:tr>
        <w:tc>
          <w:tcPr>
            <w:tcW w:type="dxa" w:w="3120"/>
            <w:vAlign w:val="center"/>
            <w:tcMar>
              <w:top w:w="80" w:type="dxa"/>
              <w:start w:w="120" w:type="dxa"/>
              <w:bottom w:w="80" w:type="dxa"/>
              <w:end w:w="120" w:type="dxa"/>
            </w:tcMar>
          </w:tcPr>
          <w:p>
            <w:pPr>
              <w:jc w:val="left"/>
            </w:pPr>
            <w:r>
              <w:rPr>
                <w:rFonts w:ascii="Calibri" w:hAnsi="Calibri"/>
              </w:rPr>
              <w:t>GCAC</w:t>
            </w:r>
          </w:p>
        </w:tc>
        <w:tc>
          <w:tcPr>
            <w:tcW w:type="dxa" w:w="3120"/>
            <w:vAlign w:val="center"/>
            <w:tcMar>
              <w:top w:w="80" w:type="dxa"/>
              <w:start w:w="120" w:type="dxa"/>
              <w:bottom w:w="80" w:type="dxa"/>
              <w:end w:w="120" w:type="dxa"/>
            </w:tcMar>
          </w:tcPr>
          <w:p>
            <w:pPr>
              <w:jc w:val="center"/>
            </w:pPr>
            <w:r>
              <w:rPr>
                <w:rFonts w:ascii="Calibri" w:hAnsi="Calibri"/>
              </w:rPr>
              <w:t>Committee process for assessed fixed and variable generator costs.</w:t>
            </w:r>
          </w:p>
        </w:tc>
        <w:tc>
          <w:tcPr>
            <w:tcW w:type="dxa" w:w="3120"/>
            <w:vAlign w:val="center"/>
            <w:tcMar>
              <w:top w:w="80" w:type="dxa"/>
              <w:start w:w="120" w:type="dxa"/>
              <w:bottom w:w="80" w:type="dxa"/>
              <w:end w:w="120" w:type="dxa"/>
            </w:tcMar>
          </w:tcPr>
          <w:p>
            <w:pPr>
              <w:jc w:val="center"/>
            </w:pPr>
            <w:r>
              <w:rPr>
                <w:rFonts w:ascii="Calibri" w:hAnsi="Calibri"/>
              </w:rPr>
              <w:t>The app uses representative recognized fuel costs and variable O&amp;M rather than pure bid prices.</w:t>
            </w:r>
          </w:p>
        </w:tc>
      </w:tr>
      <w:tr>
        <w:tc>
          <w:tcPr>
            <w:tcW w:type="dxa" w:w="3120"/>
            <w:vAlign w:val="center"/>
            <w:tcMar>
              <w:top w:w="80" w:type="dxa"/>
              <w:start w:w="120" w:type="dxa"/>
              <w:bottom w:w="80" w:type="dxa"/>
              <w:end w:w="120" w:type="dxa"/>
            </w:tcMar>
          </w:tcPr>
          <w:p>
            <w:pPr>
              <w:jc w:val="left"/>
            </w:pPr>
            <w:r>
              <w:rPr>
                <w:rFonts w:ascii="Calibri" w:hAnsi="Calibri"/>
              </w:rPr>
              <w:t>PSS</w:t>
            </w:r>
          </w:p>
        </w:tc>
        <w:tc>
          <w:tcPr>
            <w:tcW w:type="dxa" w:w="3120"/>
            <w:vAlign w:val="center"/>
            <w:tcMar>
              <w:top w:w="80" w:type="dxa"/>
              <w:start w:w="120" w:type="dxa"/>
              <w:bottom w:w="80" w:type="dxa"/>
              <w:end w:w="120" w:type="dxa"/>
            </w:tcMar>
          </w:tcPr>
          <w:p>
            <w:pPr>
              <w:jc w:val="center"/>
            </w:pPr>
            <w:r>
              <w:rPr>
                <w:rFonts w:ascii="Calibri" w:hAnsi="Calibri"/>
              </w:rPr>
              <w:t>Day-ahead cost-minimizing operating schedule subject to constraints.</w:t>
            </w:r>
          </w:p>
        </w:tc>
        <w:tc>
          <w:tcPr>
            <w:tcW w:type="dxa" w:w="3120"/>
            <w:vAlign w:val="center"/>
            <w:tcMar>
              <w:top w:w="80" w:type="dxa"/>
              <w:start w:w="120" w:type="dxa"/>
              <w:bottom w:w="80" w:type="dxa"/>
              <w:end w:w="120" w:type="dxa"/>
            </w:tcMar>
          </w:tcPr>
          <w:p>
            <w:pPr>
              <w:jc w:val="center"/>
            </w:pPr>
            <w:r>
              <w:rPr>
                <w:rFonts w:ascii="Calibri" w:hAnsi="Calibri"/>
              </w:rPr>
              <w:t>The app ranks available blocks by variable cost after must-run and policy constraints.</w:t>
            </w:r>
          </w:p>
        </w:tc>
      </w:tr>
      <w:tr>
        <w:tc>
          <w:tcPr>
            <w:tcW w:type="dxa" w:w="3120"/>
            <w:vAlign w:val="center"/>
            <w:tcMar>
              <w:top w:w="80" w:type="dxa"/>
              <w:start w:w="120" w:type="dxa"/>
              <w:bottom w:w="80" w:type="dxa"/>
              <w:end w:w="120" w:type="dxa"/>
            </w:tcMar>
          </w:tcPr>
          <w:p>
            <w:pPr>
              <w:jc w:val="left"/>
            </w:pPr>
            <w:r>
              <w:rPr>
                <w:rFonts w:ascii="Calibri" w:hAnsi="Calibri"/>
              </w:rPr>
              <w:t>SMP</w:t>
            </w:r>
          </w:p>
        </w:tc>
        <w:tc>
          <w:tcPr>
            <w:tcW w:type="dxa" w:w="3120"/>
            <w:vAlign w:val="center"/>
            <w:tcMar>
              <w:top w:w="80" w:type="dxa"/>
              <w:start w:w="120" w:type="dxa"/>
              <w:bottom w:w="80" w:type="dxa"/>
              <w:end w:w="120" w:type="dxa"/>
            </w:tcMar>
          </w:tcPr>
          <w:p>
            <w:pPr>
              <w:jc w:val="center"/>
            </w:pPr>
            <w:r>
              <w:rPr>
                <w:rFonts w:ascii="Calibri" w:hAnsi="Calibri"/>
              </w:rPr>
              <w:t>System marginal price set by the marginal plant.</w:t>
            </w:r>
          </w:p>
        </w:tc>
        <w:tc>
          <w:tcPr>
            <w:tcW w:type="dxa" w:w="3120"/>
            <w:vAlign w:val="center"/>
            <w:tcMar>
              <w:top w:w="80" w:type="dxa"/>
              <w:start w:w="120" w:type="dxa"/>
              <w:bottom w:w="80" w:type="dxa"/>
              <w:end w:w="120" w:type="dxa"/>
            </w:tcMar>
          </w:tcPr>
          <w:p>
            <w:pPr>
              <w:jc w:val="center"/>
            </w:pPr>
            <w:r>
              <w:rPr>
                <w:rFonts w:ascii="Calibri" w:hAnsi="Calibri"/>
              </w:rPr>
              <w:t>The app reports the variable cost of the last dispatched block plus any reserve scarcity premium.</w:t>
            </w:r>
          </w:p>
        </w:tc>
      </w:tr>
      <w:tr>
        <w:tc>
          <w:tcPr>
            <w:tcW w:type="dxa" w:w="3120"/>
            <w:vAlign w:val="center"/>
            <w:tcMar>
              <w:top w:w="80" w:type="dxa"/>
              <w:start w:w="120" w:type="dxa"/>
              <w:bottom w:w="80" w:type="dxa"/>
              <w:end w:w="120" w:type="dxa"/>
            </w:tcMar>
          </w:tcPr>
          <w:p>
            <w:pPr>
              <w:jc w:val="left"/>
            </w:pPr>
            <w:r>
              <w:rPr>
                <w:rFonts w:ascii="Calibri" w:hAnsi="Calibri"/>
              </w:rPr>
              <w:t>BLMP</w:t>
            </w:r>
          </w:p>
        </w:tc>
        <w:tc>
          <w:tcPr>
            <w:tcW w:type="dxa" w:w="3120"/>
            <w:vAlign w:val="center"/>
            <w:tcMar>
              <w:top w:w="80" w:type="dxa"/>
              <w:start w:w="120" w:type="dxa"/>
              <w:bottom w:w="80" w:type="dxa"/>
              <w:end w:w="120" w:type="dxa"/>
            </w:tcMar>
          </w:tcPr>
          <w:p>
            <w:pPr>
              <w:jc w:val="center"/>
            </w:pPr>
            <w:r>
              <w:rPr>
                <w:rFonts w:ascii="Calibri" w:hAnsi="Calibri"/>
              </w:rPr>
              <w:t>KPX also refers to BLMP in the trading-system scheduler context.</w:t>
            </w:r>
          </w:p>
        </w:tc>
        <w:tc>
          <w:tcPr>
            <w:tcW w:type="dxa" w:w="3120"/>
            <w:vAlign w:val="center"/>
            <w:tcMar>
              <w:top w:w="80" w:type="dxa"/>
              <w:start w:w="120" w:type="dxa"/>
              <w:bottom w:w="80" w:type="dxa"/>
              <w:end w:w="120" w:type="dxa"/>
            </w:tcMar>
          </w:tcPr>
          <w:p>
            <w:pPr>
              <w:jc w:val="center"/>
            </w:pPr>
            <w:r>
              <w:rPr>
                <w:rFonts w:ascii="Calibri" w:hAnsi="Calibri"/>
              </w:rPr>
              <w:t>The app does not model locational/network prices; it uses a single mainland-style stack.</w:t>
            </w:r>
          </w:p>
        </w:tc>
      </w:tr>
      <w:tr>
        <w:tc>
          <w:tcPr>
            <w:tcW w:type="dxa" w:w="3120"/>
            <w:vAlign w:val="center"/>
            <w:tcMar>
              <w:top w:w="80" w:type="dxa"/>
              <w:start w:w="120" w:type="dxa"/>
              <w:bottom w:w="80" w:type="dxa"/>
              <w:end w:w="120" w:type="dxa"/>
            </w:tcMar>
          </w:tcPr>
          <w:p>
            <w:pPr>
              <w:jc w:val="left"/>
            </w:pPr>
            <w:r>
              <w:rPr>
                <w:rFonts w:ascii="Calibri" w:hAnsi="Calibri"/>
              </w:rPr>
              <w:t>Settlement</w:t>
            </w:r>
          </w:p>
        </w:tc>
        <w:tc>
          <w:tcPr>
            <w:tcW w:type="dxa" w:w="3120"/>
            <w:vAlign w:val="center"/>
            <w:tcMar>
              <w:top w:w="80" w:type="dxa"/>
              <w:start w:w="120" w:type="dxa"/>
              <w:bottom w:w="80" w:type="dxa"/>
              <w:end w:w="120" w:type="dxa"/>
            </w:tcMar>
          </w:tcPr>
          <w:p>
            <w:pPr>
              <w:jc w:val="center"/>
            </w:pPr>
            <w:r>
              <w:rPr>
                <w:rFonts w:ascii="Calibri" w:hAnsi="Calibri"/>
              </w:rPr>
              <w:t>KPX calculates trading amounts after trading from bid, metered, and dispatch data.</w:t>
            </w:r>
          </w:p>
        </w:tc>
        <w:tc>
          <w:tcPr>
            <w:tcW w:type="dxa" w:w="3120"/>
            <w:vAlign w:val="center"/>
            <w:tcMar>
              <w:top w:w="80" w:type="dxa"/>
              <w:start w:w="120" w:type="dxa"/>
              <w:bottom w:w="80" w:type="dxa"/>
              <w:end w:w="120" w:type="dxa"/>
            </w:tcMar>
          </w:tcPr>
          <w:p>
            <w:pPr>
              <w:jc w:val="center"/>
            </w:pPr>
            <w:r>
              <w:rPr>
                <w:rFonts w:ascii="Calibri" w:hAnsi="Calibri"/>
              </w:rPr>
              <w:t>The app focuses on dispatch logic, not cash settlement or uplift mechanics.</w:t>
            </w:r>
          </w:p>
        </w:tc>
      </w:tr>
    </w:tbl>
    <w:p>
      <w:pPr>
        <w:spacing w:before="80" w:after="80"/>
      </w:pPr>
      <w:r>
        <w:rPr>
          <w:rFonts w:ascii="Calibri" w:hAnsi="Calibri"/>
          <w:i/>
          <w:color w:val="5C5C5C"/>
          <w:sz w:val="18"/>
        </w:rPr>
        <w:t>Source: KPX market operation pages. [S2]-[S6]</w:t>
      </w:r>
    </w:p>
    <w:p>
      <w:pPr>
        <w:pStyle w:val="Heading2"/>
      </w:pPr>
      <w:r>
        <w:t>Settlement Is Not the Same as Dispatch</w:t>
      </w:r>
    </w:p>
    <w:p>
      <w:pPr>
        <w:keepLines w:val="0"/>
      </w:pPr>
      <w:r>
        <w:rPr>
          <w:rFonts w:ascii="Calibri" w:hAnsi="Calibri"/>
        </w:rPr>
        <w:t>KPX settlement is calculated after trading using bidding data, metered data, and dispatch data. KPX describes preliminary and final settlement steps, including notice to generators and KEPCO, review of objections, and payment transfer after KEPCO deposits funds. [S6]</w:t>
      </w:r>
    </w:p>
    <w:p>
      <w:pPr>
        <w:keepLines w:val="0"/>
      </w:pPr>
      <w:r>
        <w:rPr>
          <w:rFonts w:ascii="Calibri" w:hAnsi="Calibri"/>
        </w:rPr>
        <w:t>For learning coal switching, do not confuse three layers: physical dispatch, price formation, and final cash settlement. The app models physical dispatch and marginal price formation. It does not model all settlement adjustments, capacity payments, constrained-on/off compensation, or generator-specific payment coefficients.</w:t>
      </w:r>
    </w:p>
    <w:p>
      <w:pPr>
        <w:pStyle w:val="Heading1"/>
      </w:pPr>
      <w:r>
        <w:t>Module 3 - The 2025 KPX Statistical Baseline</w:t>
      </w:r>
    </w:p>
    <w:p>
      <w:pPr>
        <w:keepLines w:val="0"/>
      </w:pPr>
      <w:r>
        <w:rPr>
          <w:rFonts w:ascii="Calibri" w:hAnsi="Calibri"/>
        </w:rPr>
        <w:t>The app uses KPX's 2025 Power Market Statistics as its core baseline. KPX's explanatory notes define market-registered capacity as capacity registered in the power market at period end; KEPCO PPA and other non-market items are not necessarily included, so it is not identical to total national installed capacity. KPX defines trading volume as market-traded output net of station service and transformer losses, and again not necessarily total national generation. [S1]</w:t>
      </w:r>
    </w:p>
    <w:tbl>
      <w:tblPr>
        <w:tblStyle w:val="TableGrid"/>
        <w:tblW w:type="auto" w:w="0"/>
        <w:jc w:val="left"/>
        <w:tblLayout w:type="fixed"/>
        <w:tblLook w:firstColumn="1" w:firstRow="1" w:lastColumn="0" w:lastRow="0" w:noHBand="0" w:noVBand="1" w:val="04A0"/>
      </w:tblPr>
      <w:tblGrid>
        <w:gridCol w:w="1872"/>
        <w:gridCol w:w="1872"/>
        <w:gridCol w:w="1872"/>
        <w:gridCol w:w="1872"/>
        <w:gridCol w:w="1872"/>
      </w:tblGrid>
      <w:tr>
        <w:trPr>
          <w:tblHeader w:val="true"/>
        </w:trPr>
        <w:tc>
          <w:tcPr>
            <w:tcW w:type="dxa" w:w="1728"/>
            <w:vAlign w:val="center"/>
            <w:shd w:fill="E8EEF5"/>
            <w:tcMar>
              <w:top w:w="80" w:type="dxa"/>
              <w:start w:w="120" w:type="dxa"/>
              <w:bottom w:w="80" w:type="dxa"/>
              <w:end w:w="120" w:type="dxa"/>
            </w:tcMar>
          </w:tcPr>
          <w:p>
            <w:pPr>
              <w:jc w:val="center"/>
            </w:pPr>
            <w:r>
              <w:rPr>
                <w:rFonts w:ascii="Calibri" w:hAnsi="Calibri"/>
                <w:b/>
                <w:color w:val="24231F"/>
              </w:rPr>
              <w:t>Fuel</w:t>
            </w:r>
          </w:p>
        </w:tc>
        <w:tc>
          <w:tcPr>
            <w:tcW w:type="dxa" w:w="2232"/>
            <w:vAlign w:val="center"/>
            <w:shd w:fill="E8EEF5"/>
            <w:tcMar>
              <w:top w:w="80" w:type="dxa"/>
              <w:start w:w="120" w:type="dxa"/>
              <w:bottom w:w="80" w:type="dxa"/>
              <w:end w:w="120" w:type="dxa"/>
            </w:tcMar>
          </w:tcPr>
          <w:p>
            <w:pPr>
              <w:jc w:val="center"/>
            </w:pPr>
            <w:r>
              <w:rPr>
                <w:rFonts w:ascii="Calibri" w:hAnsi="Calibri"/>
                <w:b/>
                <w:color w:val="24231F"/>
              </w:rPr>
              <w:t>2025 market-registered capacity (MW)</w:t>
            </w:r>
          </w:p>
        </w:tc>
        <w:tc>
          <w:tcPr>
            <w:tcW w:type="dxa" w:w="1512"/>
            <w:vAlign w:val="center"/>
            <w:shd w:fill="E8EEF5"/>
            <w:tcMar>
              <w:top w:w="80" w:type="dxa"/>
              <w:start w:w="120" w:type="dxa"/>
              <w:bottom w:w="80" w:type="dxa"/>
              <w:end w:w="120" w:type="dxa"/>
            </w:tcMar>
          </w:tcPr>
          <w:p>
            <w:pPr>
              <w:jc w:val="center"/>
            </w:pPr>
            <w:r>
              <w:rPr>
                <w:rFonts w:ascii="Calibri" w:hAnsi="Calibri"/>
                <w:b/>
                <w:color w:val="24231F"/>
              </w:rPr>
              <w:t>Capacity share</w:t>
            </w:r>
          </w:p>
        </w:tc>
        <w:tc>
          <w:tcPr>
            <w:tcW w:type="dxa" w:w="2232"/>
            <w:vAlign w:val="center"/>
            <w:shd w:fill="E8EEF5"/>
            <w:tcMar>
              <w:top w:w="80" w:type="dxa"/>
              <w:start w:w="120" w:type="dxa"/>
              <w:bottom w:w="80" w:type="dxa"/>
              <w:end w:w="120" w:type="dxa"/>
            </w:tcMar>
          </w:tcPr>
          <w:p>
            <w:pPr>
              <w:jc w:val="center"/>
            </w:pPr>
            <w:r>
              <w:rPr>
                <w:rFonts w:ascii="Calibri" w:hAnsi="Calibri"/>
                <w:b/>
                <w:color w:val="24231F"/>
              </w:rPr>
              <w:t>2025 traded volume (GWh)</w:t>
            </w:r>
          </w:p>
        </w:tc>
        <w:tc>
          <w:tcPr>
            <w:tcW w:type="dxa" w:w="1655"/>
            <w:vAlign w:val="center"/>
            <w:shd w:fill="E8EEF5"/>
            <w:tcMar>
              <w:top w:w="80" w:type="dxa"/>
              <w:start w:w="120" w:type="dxa"/>
              <w:bottom w:w="80" w:type="dxa"/>
              <w:end w:w="120" w:type="dxa"/>
            </w:tcMar>
          </w:tcPr>
          <w:p>
            <w:pPr>
              <w:jc w:val="center"/>
            </w:pPr>
            <w:r>
              <w:rPr>
                <w:rFonts w:ascii="Calibri" w:hAnsi="Calibri"/>
                <w:b/>
                <w:color w:val="24231F"/>
              </w:rPr>
              <w:t>Trading share</w:t>
            </w:r>
          </w:p>
        </w:tc>
      </w:tr>
      <w:tr>
        <w:tc>
          <w:tcPr>
            <w:tcW w:type="dxa" w:w="1872"/>
            <w:vAlign w:val="center"/>
            <w:tcMar>
              <w:top w:w="80" w:type="dxa"/>
              <w:start w:w="120" w:type="dxa"/>
              <w:bottom w:w="80" w:type="dxa"/>
              <w:end w:w="120" w:type="dxa"/>
            </w:tcMar>
          </w:tcPr>
          <w:p>
            <w:pPr>
              <w:jc w:val="left"/>
            </w:pPr>
            <w:r>
              <w:rPr>
                <w:rFonts w:ascii="Calibri" w:hAnsi="Calibri"/>
              </w:rPr>
              <w:t>Nuclear</w:t>
            </w:r>
          </w:p>
        </w:tc>
        <w:tc>
          <w:tcPr>
            <w:tcW w:type="dxa" w:w="1872"/>
            <w:vAlign w:val="center"/>
            <w:tcMar>
              <w:top w:w="80" w:type="dxa"/>
              <w:start w:w="120" w:type="dxa"/>
              <w:bottom w:w="80" w:type="dxa"/>
              <w:end w:w="120" w:type="dxa"/>
            </w:tcMar>
          </w:tcPr>
          <w:p>
            <w:pPr>
              <w:jc w:val="center"/>
            </w:pPr>
            <w:r>
              <w:rPr>
                <w:rFonts w:ascii="Calibri" w:hAnsi="Calibri"/>
              </w:rPr>
              <w:t>26,050</w:t>
            </w:r>
          </w:p>
        </w:tc>
        <w:tc>
          <w:tcPr>
            <w:tcW w:type="dxa" w:w="1872"/>
            <w:vAlign w:val="center"/>
            <w:tcMar>
              <w:top w:w="80" w:type="dxa"/>
              <w:start w:w="120" w:type="dxa"/>
              <w:bottom w:w="80" w:type="dxa"/>
              <w:end w:w="120" w:type="dxa"/>
            </w:tcMar>
          </w:tcPr>
          <w:p>
            <w:pPr>
              <w:jc w:val="center"/>
            </w:pPr>
            <w:r>
              <w:rPr>
                <w:rFonts w:ascii="Calibri" w:hAnsi="Calibri"/>
              </w:rPr>
              <w:t>17.8%</w:t>
            </w:r>
          </w:p>
        </w:tc>
        <w:tc>
          <w:tcPr>
            <w:tcW w:type="dxa" w:w="1872"/>
            <w:vAlign w:val="center"/>
            <w:tcMar>
              <w:top w:w="80" w:type="dxa"/>
              <w:start w:w="120" w:type="dxa"/>
              <w:bottom w:w="80" w:type="dxa"/>
              <w:end w:w="120" w:type="dxa"/>
            </w:tcMar>
          </w:tcPr>
          <w:p>
            <w:pPr>
              <w:jc w:val="center"/>
            </w:pPr>
            <w:r>
              <w:rPr>
                <w:rFonts w:ascii="Calibri" w:hAnsi="Calibri"/>
              </w:rPr>
              <w:t>175,549</w:t>
            </w:r>
          </w:p>
        </w:tc>
        <w:tc>
          <w:tcPr>
            <w:tcW w:type="dxa" w:w="1872"/>
            <w:vAlign w:val="center"/>
            <w:tcMar>
              <w:top w:w="80" w:type="dxa"/>
              <w:start w:w="120" w:type="dxa"/>
              <w:bottom w:w="80" w:type="dxa"/>
              <w:end w:w="120" w:type="dxa"/>
            </w:tcMar>
          </w:tcPr>
          <w:p>
            <w:pPr>
              <w:jc w:val="center"/>
            </w:pPr>
            <w:r>
              <w:rPr>
                <w:rFonts w:ascii="Calibri" w:hAnsi="Calibri"/>
              </w:rPr>
              <w:t>32.1%</w:t>
            </w:r>
          </w:p>
        </w:tc>
      </w:tr>
      <w:tr>
        <w:tc>
          <w:tcPr>
            <w:tcW w:type="dxa" w:w="1872"/>
            <w:vAlign w:val="center"/>
            <w:tcMar>
              <w:top w:w="80" w:type="dxa"/>
              <w:start w:w="120" w:type="dxa"/>
              <w:bottom w:w="80" w:type="dxa"/>
              <w:end w:w="120" w:type="dxa"/>
            </w:tcMar>
          </w:tcPr>
          <w:p>
            <w:pPr>
              <w:jc w:val="left"/>
            </w:pPr>
            <w:r>
              <w:rPr>
                <w:rFonts w:ascii="Calibri" w:hAnsi="Calibri"/>
              </w:rPr>
              <w:t>Coal</w:t>
            </w:r>
          </w:p>
        </w:tc>
        <w:tc>
          <w:tcPr>
            <w:tcW w:type="dxa" w:w="1872"/>
            <w:vAlign w:val="center"/>
            <w:tcMar>
              <w:top w:w="80" w:type="dxa"/>
              <w:start w:w="120" w:type="dxa"/>
              <w:bottom w:w="80" w:type="dxa"/>
              <w:end w:w="120" w:type="dxa"/>
            </w:tcMar>
          </w:tcPr>
          <w:p>
            <w:pPr>
              <w:jc w:val="center"/>
            </w:pPr>
            <w:r>
              <w:rPr>
                <w:rFonts w:ascii="Calibri" w:hAnsi="Calibri"/>
              </w:rPr>
              <w:t>41,739</w:t>
            </w:r>
          </w:p>
        </w:tc>
        <w:tc>
          <w:tcPr>
            <w:tcW w:type="dxa" w:w="1872"/>
            <w:vAlign w:val="center"/>
            <w:tcMar>
              <w:top w:w="80" w:type="dxa"/>
              <w:start w:w="120" w:type="dxa"/>
              <w:bottom w:w="80" w:type="dxa"/>
              <w:end w:w="120" w:type="dxa"/>
            </w:tcMar>
          </w:tcPr>
          <w:p>
            <w:pPr>
              <w:jc w:val="center"/>
            </w:pPr>
            <w:r>
              <w:rPr>
                <w:rFonts w:ascii="Calibri" w:hAnsi="Calibri"/>
              </w:rPr>
              <w:t>28.6%</w:t>
            </w:r>
          </w:p>
        </w:tc>
        <w:tc>
          <w:tcPr>
            <w:tcW w:type="dxa" w:w="1872"/>
            <w:vAlign w:val="center"/>
            <w:tcMar>
              <w:top w:w="80" w:type="dxa"/>
              <w:start w:w="120" w:type="dxa"/>
              <w:bottom w:w="80" w:type="dxa"/>
              <w:end w:w="120" w:type="dxa"/>
            </w:tcMar>
          </w:tcPr>
          <w:p>
            <w:pPr>
              <w:jc w:val="center"/>
            </w:pPr>
            <w:r>
              <w:rPr>
                <w:rFonts w:ascii="Calibri" w:hAnsi="Calibri"/>
              </w:rPr>
              <w:t>164,790</w:t>
            </w:r>
          </w:p>
        </w:tc>
        <w:tc>
          <w:tcPr>
            <w:tcW w:type="dxa" w:w="1872"/>
            <w:vAlign w:val="center"/>
            <w:tcMar>
              <w:top w:w="80" w:type="dxa"/>
              <w:start w:w="120" w:type="dxa"/>
              <w:bottom w:w="80" w:type="dxa"/>
              <w:end w:w="120" w:type="dxa"/>
            </w:tcMar>
          </w:tcPr>
          <w:p>
            <w:pPr>
              <w:jc w:val="center"/>
            </w:pPr>
            <w:r>
              <w:rPr>
                <w:rFonts w:ascii="Calibri" w:hAnsi="Calibri"/>
              </w:rPr>
              <w:t>30.1%</w:t>
            </w:r>
          </w:p>
        </w:tc>
      </w:tr>
      <w:tr>
        <w:tc>
          <w:tcPr>
            <w:tcW w:type="dxa" w:w="1872"/>
            <w:vAlign w:val="center"/>
            <w:tcMar>
              <w:top w:w="80" w:type="dxa"/>
              <w:start w:w="120" w:type="dxa"/>
              <w:bottom w:w="80" w:type="dxa"/>
              <w:end w:w="120" w:type="dxa"/>
            </w:tcMar>
          </w:tcPr>
          <w:p>
            <w:pPr>
              <w:jc w:val="left"/>
            </w:pPr>
            <w:r>
              <w:rPr>
                <w:rFonts w:ascii="Calibri" w:hAnsi="Calibri"/>
              </w:rPr>
              <w:t>LNG</w:t>
            </w:r>
          </w:p>
        </w:tc>
        <w:tc>
          <w:tcPr>
            <w:tcW w:type="dxa" w:w="1872"/>
            <w:vAlign w:val="center"/>
            <w:tcMar>
              <w:top w:w="80" w:type="dxa"/>
              <w:start w:w="120" w:type="dxa"/>
              <w:bottom w:w="80" w:type="dxa"/>
              <w:end w:w="120" w:type="dxa"/>
            </w:tcMar>
          </w:tcPr>
          <w:p>
            <w:pPr>
              <w:jc w:val="center"/>
            </w:pPr>
            <w:r>
              <w:rPr>
                <w:rFonts w:ascii="Calibri" w:hAnsi="Calibri"/>
              </w:rPr>
              <w:t>48,388</w:t>
            </w:r>
          </w:p>
        </w:tc>
        <w:tc>
          <w:tcPr>
            <w:tcW w:type="dxa" w:w="1872"/>
            <w:vAlign w:val="center"/>
            <w:tcMar>
              <w:top w:w="80" w:type="dxa"/>
              <w:start w:w="120" w:type="dxa"/>
              <w:bottom w:w="80" w:type="dxa"/>
              <w:end w:w="120" w:type="dxa"/>
            </w:tcMar>
          </w:tcPr>
          <w:p>
            <w:pPr>
              <w:jc w:val="center"/>
            </w:pPr>
            <w:r>
              <w:rPr>
                <w:rFonts w:ascii="Calibri" w:hAnsi="Calibri"/>
              </w:rPr>
              <w:t>33.1%</w:t>
            </w:r>
          </w:p>
        </w:tc>
        <w:tc>
          <w:tcPr>
            <w:tcW w:type="dxa" w:w="1872"/>
            <w:vAlign w:val="center"/>
            <w:tcMar>
              <w:top w:w="80" w:type="dxa"/>
              <w:start w:w="120" w:type="dxa"/>
              <w:bottom w:w="80" w:type="dxa"/>
              <w:end w:w="120" w:type="dxa"/>
            </w:tcMar>
          </w:tcPr>
          <w:p>
            <w:pPr>
              <w:jc w:val="center"/>
            </w:pPr>
            <w:r>
              <w:rPr>
                <w:rFonts w:ascii="Calibri" w:hAnsi="Calibri"/>
              </w:rPr>
              <w:t>159,227</w:t>
            </w:r>
          </w:p>
        </w:tc>
        <w:tc>
          <w:tcPr>
            <w:tcW w:type="dxa" w:w="1872"/>
            <w:vAlign w:val="center"/>
            <w:tcMar>
              <w:top w:w="80" w:type="dxa"/>
              <w:start w:w="120" w:type="dxa"/>
              <w:bottom w:w="80" w:type="dxa"/>
              <w:end w:w="120" w:type="dxa"/>
            </w:tcMar>
          </w:tcPr>
          <w:p>
            <w:pPr>
              <w:jc w:val="center"/>
            </w:pPr>
            <w:r>
              <w:rPr>
                <w:rFonts w:ascii="Calibri" w:hAnsi="Calibri"/>
              </w:rPr>
              <w:t>29.1%</w:t>
            </w:r>
          </w:p>
        </w:tc>
      </w:tr>
      <w:tr>
        <w:tc>
          <w:tcPr>
            <w:tcW w:type="dxa" w:w="1872"/>
            <w:vAlign w:val="center"/>
            <w:tcMar>
              <w:top w:w="80" w:type="dxa"/>
              <w:start w:w="120" w:type="dxa"/>
              <w:bottom w:w="80" w:type="dxa"/>
              <w:end w:w="120" w:type="dxa"/>
            </w:tcMar>
          </w:tcPr>
          <w:p>
            <w:pPr>
              <w:jc w:val="left"/>
            </w:pPr>
            <w:r>
              <w:rPr>
                <w:rFonts w:ascii="Calibri" w:hAnsi="Calibri"/>
              </w:rPr>
              <w:t>Oil</w:t>
            </w:r>
          </w:p>
        </w:tc>
        <w:tc>
          <w:tcPr>
            <w:tcW w:type="dxa" w:w="1872"/>
            <w:vAlign w:val="center"/>
            <w:tcMar>
              <w:top w:w="80" w:type="dxa"/>
              <w:start w:w="120" w:type="dxa"/>
              <w:bottom w:w="80" w:type="dxa"/>
              <w:end w:w="120" w:type="dxa"/>
            </w:tcMar>
          </w:tcPr>
          <w:p>
            <w:pPr>
              <w:jc w:val="center"/>
            </w:pPr>
            <w:r>
              <w:rPr>
                <w:rFonts w:ascii="Calibri" w:hAnsi="Calibri"/>
              </w:rPr>
              <w:t>531</w:t>
            </w:r>
          </w:p>
        </w:tc>
        <w:tc>
          <w:tcPr>
            <w:tcW w:type="dxa" w:w="1872"/>
            <w:vAlign w:val="center"/>
            <w:tcMar>
              <w:top w:w="80" w:type="dxa"/>
              <w:start w:w="120" w:type="dxa"/>
              <w:bottom w:w="80" w:type="dxa"/>
              <w:end w:w="120" w:type="dxa"/>
            </w:tcMar>
          </w:tcPr>
          <w:p>
            <w:pPr>
              <w:jc w:val="center"/>
            </w:pPr>
            <w:r>
              <w:rPr>
                <w:rFonts w:ascii="Calibri" w:hAnsi="Calibri"/>
              </w:rPr>
              <w:t>0.4%</w:t>
            </w:r>
          </w:p>
        </w:tc>
        <w:tc>
          <w:tcPr>
            <w:tcW w:type="dxa" w:w="1872"/>
            <w:vAlign w:val="center"/>
            <w:tcMar>
              <w:top w:w="80" w:type="dxa"/>
              <w:start w:w="120" w:type="dxa"/>
              <w:bottom w:w="80" w:type="dxa"/>
              <w:end w:w="120" w:type="dxa"/>
            </w:tcMar>
          </w:tcPr>
          <w:p>
            <w:pPr>
              <w:jc w:val="center"/>
            </w:pPr>
            <w:r>
              <w:rPr>
                <w:rFonts w:ascii="Calibri" w:hAnsi="Calibri"/>
              </w:rPr>
              <w:t>160</w:t>
            </w:r>
          </w:p>
        </w:tc>
        <w:tc>
          <w:tcPr>
            <w:tcW w:type="dxa" w:w="1872"/>
            <w:vAlign w:val="center"/>
            <w:tcMar>
              <w:top w:w="80" w:type="dxa"/>
              <w:start w:w="120" w:type="dxa"/>
              <w:bottom w:w="80" w:type="dxa"/>
              <w:end w:w="120" w:type="dxa"/>
            </w:tcMar>
          </w:tcPr>
          <w:p>
            <w:pPr>
              <w:jc w:val="center"/>
            </w:pPr>
            <w:r>
              <w:rPr>
                <w:rFonts w:ascii="Calibri" w:hAnsi="Calibri"/>
              </w:rPr>
              <w:t>0.0%</w:t>
            </w:r>
          </w:p>
        </w:tc>
      </w:tr>
      <w:tr>
        <w:tc>
          <w:tcPr>
            <w:tcW w:type="dxa" w:w="1872"/>
            <w:vAlign w:val="center"/>
            <w:tcMar>
              <w:top w:w="80" w:type="dxa"/>
              <w:start w:w="120" w:type="dxa"/>
              <w:bottom w:w="80" w:type="dxa"/>
              <w:end w:w="120" w:type="dxa"/>
            </w:tcMar>
          </w:tcPr>
          <w:p>
            <w:pPr>
              <w:jc w:val="left"/>
            </w:pPr>
            <w:r>
              <w:rPr>
                <w:rFonts w:ascii="Calibri" w:hAnsi="Calibri"/>
              </w:rPr>
              <w:t>Pumped storage</w:t>
            </w:r>
          </w:p>
        </w:tc>
        <w:tc>
          <w:tcPr>
            <w:tcW w:type="dxa" w:w="1872"/>
            <w:vAlign w:val="center"/>
            <w:tcMar>
              <w:top w:w="80" w:type="dxa"/>
              <w:start w:w="120" w:type="dxa"/>
              <w:bottom w:w="80" w:type="dxa"/>
              <w:end w:w="120" w:type="dxa"/>
            </w:tcMar>
          </w:tcPr>
          <w:p>
            <w:pPr>
              <w:jc w:val="center"/>
            </w:pPr>
            <w:r>
              <w:rPr>
                <w:rFonts w:ascii="Calibri" w:hAnsi="Calibri"/>
              </w:rPr>
              <w:t>4,700</w:t>
            </w:r>
          </w:p>
        </w:tc>
        <w:tc>
          <w:tcPr>
            <w:tcW w:type="dxa" w:w="1872"/>
            <w:vAlign w:val="center"/>
            <w:tcMar>
              <w:top w:w="80" w:type="dxa"/>
              <w:start w:w="120" w:type="dxa"/>
              <w:bottom w:w="80" w:type="dxa"/>
              <w:end w:w="120" w:type="dxa"/>
            </w:tcMar>
          </w:tcPr>
          <w:p>
            <w:pPr>
              <w:jc w:val="center"/>
            </w:pPr>
            <w:r>
              <w:rPr>
                <w:rFonts w:ascii="Calibri" w:hAnsi="Calibri"/>
              </w:rPr>
              <w:t>3.2%</w:t>
            </w:r>
          </w:p>
        </w:tc>
        <w:tc>
          <w:tcPr>
            <w:tcW w:type="dxa" w:w="1872"/>
            <w:vAlign w:val="center"/>
            <w:tcMar>
              <w:top w:w="80" w:type="dxa"/>
              <w:start w:w="120" w:type="dxa"/>
              <w:bottom w:w="80" w:type="dxa"/>
              <w:end w:w="120" w:type="dxa"/>
            </w:tcMar>
          </w:tcPr>
          <w:p>
            <w:pPr>
              <w:jc w:val="center"/>
            </w:pPr>
            <w:r>
              <w:rPr>
                <w:rFonts w:ascii="Calibri" w:hAnsi="Calibri"/>
              </w:rPr>
              <w:t>4,414</w:t>
            </w:r>
          </w:p>
        </w:tc>
        <w:tc>
          <w:tcPr>
            <w:tcW w:type="dxa" w:w="1872"/>
            <w:vAlign w:val="center"/>
            <w:tcMar>
              <w:top w:w="80" w:type="dxa"/>
              <w:start w:w="120" w:type="dxa"/>
              <w:bottom w:w="80" w:type="dxa"/>
              <w:end w:w="120" w:type="dxa"/>
            </w:tcMar>
          </w:tcPr>
          <w:p>
            <w:pPr>
              <w:jc w:val="center"/>
            </w:pPr>
            <w:r>
              <w:rPr>
                <w:rFonts w:ascii="Calibri" w:hAnsi="Calibri"/>
              </w:rPr>
              <w:t>0.8%</w:t>
            </w:r>
          </w:p>
        </w:tc>
      </w:tr>
      <w:tr>
        <w:tc>
          <w:tcPr>
            <w:tcW w:type="dxa" w:w="1872"/>
            <w:vAlign w:val="center"/>
            <w:tcMar>
              <w:top w:w="80" w:type="dxa"/>
              <w:start w:w="120" w:type="dxa"/>
              <w:bottom w:w="80" w:type="dxa"/>
              <w:end w:w="120" w:type="dxa"/>
            </w:tcMar>
          </w:tcPr>
          <w:p>
            <w:pPr>
              <w:jc w:val="left"/>
            </w:pPr>
            <w:r>
              <w:rPr>
                <w:rFonts w:ascii="Calibri" w:hAnsi="Calibri"/>
              </w:rPr>
              <w:t>Renewable</w:t>
            </w:r>
          </w:p>
        </w:tc>
        <w:tc>
          <w:tcPr>
            <w:tcW w:type="dxa" w:w="1872"/>
            <w:vAlign w:val="center"/>
            <w:tcMar>
              <w:top w:w="80" w:type="dxa"/>
              <w:start w:w="120" w:type="dxa"/>
              <w:bottom w:w="80" w:type="dxa"/>
              <w:end w:w="120" w:type="dxa"/>
            </w:tcMar>
          </w:tcPr>
          <w:p>
            <w:pPr>
              <w:jc w:val="center"/>
            </w:pPr>
            <w:r>
              <w:rPr>
                <w:rFonts w:ascii="Calibri" w:hAnsi="Calibri"/>
              </w:rPr>
              <w:t>19,457</w:t>
            </w:r>
          </w:p>
        </w:tc>
        <w:tc>
          <w:tcPr>
            <w:tcW w:type="dxa" w:w="1872"/>
            <w:vAlign w:val="center"/>
            <w:tcMar>
              <w:top w:w="80" w:type="dxa"/>
              <w:start w:w="120" w:type="dxa"/>
              <w:bottom w:w="80" w:type="dxa"/>
              <w:end w:w="120" w:type="dxa"/>
            </w:tcMar>
          </w:tcPr>
          <w:p>
            <w:pPr>
              <w:jc w:val="center"/>
            </w:pPr>
            <w:r>
              <w:rPr>
                <w:rFonts w:ascii="Calibri" w:hAnsi="Calibri"/>
              </w:rPr>
              <w:t>13.3%</w:t>
            </w:r>
          </w:p>
        </w:tc>
        <w:tc>
          <w:tcPr>
            <w:tcW w:type="dxa" w:w="1872"/>
            <w:vAlign w:val="center"/>
            <w:tcMar>
              <w:top w:w="80" w:type="dxa"/>
              <w:start w:w="120" w:type="dxa"/>
              <w:bottom w:w="80" w:type="dxa"/>
              <w:end w:w="120" w:type="dxa"/>
            </w:tcMar>
          </w:tcPr>
          <w:p>
            <w:pPr>
              <w:jc w:val="center"/>
            </w:pPr>
            <w:r>
              <w:rPr>
                <w:rFonts w:ascii="Calibri" w:hAnsi="Calibri"/>
              </w:rPr>
              <w:t>39,697</w:t>
            </w:r>
          </w:p>
        </w:tc>
        <w:tc>
          <w:tcPr>
            <w:tcW w:type="dxa" w:w="1872"/>
            <w:vAlign w:val="center"/>
            <w:tcMar>
              <w:top w:w="80" w:type="dxa"/>
              <w:start w:w="120" w:type="dxa"/>
              <w:bottom w:w="80" w:type="dxa"/>
              <w:end w:w="120" w:type="dxa"/>
            </w:tcMar>
          </w:tcPr>
          <w:p>
            <w:pPr>
              <w:jc w:val="center"/>
            </w:pPr>
            <w:r>
              <w:rPr>
                <w:rFonts w:ascii="Calibri" w:hAnsi="Calibri"/>
              </w:rPr>
              <w:t>7.3%</w:t>
            </w:r>
          </w:p>
        </w:tc>
      </w:tr>
      <w:tr>
        <w:tc>
          <w:tcPr>
            <w:tcW w:type="dxa" w:w="1872"/>
            <w:vAlign w:val="center"/>
            <w:tcMar>
              <w:top w:w="80" w:type="dxa"/>
              <w:start w:w="120" w:type="dxa"/>
              <w:bottom w:w="80" w:type="dxa"/>
              <w:end w:w="120" w:type="dxa"/>
            </w:tcMar>
          </w:tcPr>
          <w:p>
            <w:pPr>
              <w:jc w:val="left"/>
            </w:pPr>
            <w:r>
              <w:rPr>
                <w:rFonts w:ascii="Calibri" w:hAnsi="Calibri"/>
              </w:rPr>
              <w:t>Other</w:t>
            </w:r>
          </w:p>
        </w:tc>
        <w:tc>
          <w:tcPr>
            <w:tcW w:type="dxa" w:w="1872"/>
            <w:vAlign w:val="center"/>
            <w:tcMar>
              <w:top w:w="80" w:type="dxa"/>
              <w:start w:w="120" w:type="dxa"/>
              <w:bottom w:w="80" w:type="dxa"/>
              <w:end w:w="120" w:type="dxa"/>
            </w:tcMar>
          </w:tcPr>
          <w:p>
            <w:pPr>
              <w:jc w:val="center"/>
            </w:pPr>
            <w:r>
              <w:rPr>
                <w:rFonts w:ascii="Calibri" w:hAnsi="Calibri"/>
              </w:rPr>
              <w:t>5,293</w:t>
            </w:r>
          </w:p>
        </w:tc>
        <w:tc>
          <w:tcPr>
            <w:tcW w:type="dxa" w:w="1872"/>
            <w:vAlign w:val="center"/>
            <w:tcMar>
              <w:top w:w="80" w:type="dxa"/>
              <w:start w:w="120" w:type="dxa"/>
              <w:bottom w:w="80" w:type="dxa"/>
              <w:end w:w="120" w:type="dxa"/>
            </w:tcMar>
          </w:tcPr>
          <w:p>
            <w:pPr>
              <w:jc w:val="center"/>
            </w:pPr>
            <w:r>
              <w:rPr>
                <w:rFonts w:ascii="Calibri" w:hAnsi="Calibri"/>
              </w:rPr>
              <w:t>3.6%</w:t>
            </w:r>
          </w:p>
        </w:tc>
        <w:tc>
          <w:tcPr>
            <w:tcW w:type="dxa" w:w="1872"/>
            <w:vAlign w:val="center"/>
            <w:tcMar>
              <w:top w:w="80" w:type="dxa"/>
              <w:start w:w="120" w:type="dxa"/>
              <w:bottom w:w="80" w:type="dxa"/>
              <w:end w:w="120" w:type="dxa"/>
            </w:tcMar>
          </w:tcPr>
          <w:p>
            <w:pPr>
              <w:jc w:val="center"/>
            </w:pPr>
            <w:r>
              <w:rPr>
                <w:rFonts w:ascii="Calibri" w:hAnsi="Calibri"/>
              </w:rPr>
              <w:t>3,325</w:t>
            </w:r>
          </w:p>
        </w:tc>
        <w:tc>
          <w:tcPr>
            <w:tcW w:type="dxa" w:w="1872"/>
            <w:vAlign w:val="center"/>
            <w:tcMar>
              <w:top w:w="80" w:type="dxa"/>
              <w:start w:w="120" w:type="dxa"/>
              <w:bottom w:w="80" w:type="dxa"/>
              <w:end w:w="120" w:type="dxa"/>
            </w:tcMar>
          </w:tcPr>
          <w:p>
            <w:pPr>
              <w:jc w:val="center"/>
            </w:pPr>
            <w:r>
              <w:rPr>
                <w:rFonts w:ascii="Calibri" w:hAnsi="Calibri"/>
              </w:rPr>
              <w:t>0.6%</w:t>
            </w:r>
          </w:p>
        </w:tc>
      </w:tr>
      <w:tr>
        <w:tc>
          <w:tcPr>
            <w:tcW w:type="dxa" w:w="1872"/>
            <w:vAlign w:val="center"/>
            <w:tcMar>
              <w:top w:w="80" w:type="dxa"/>
              <w:start w:w="120" w:type="dxa"/>
              <w:bottom w:w="80" w:type="dxa"/>
              <w:end w:w="120" w:type="dxa"/>
            </w:tcMar>
          </w:tcPr>
          <w:p>
            <w:pPr>
              <w:jc w:val="left"/>
            </w:pPr>
            <w:r>
              <w:rPr>
                <w:rFonts w:ascii="Calibri" w:hAnsi="Calibri"/>
              </w:rPr>
              <w:t>Total</w:t>
            </w:r>
          </w:p>
        </w:tc>
        <w:tc>
          <w:tcPr>
            <w:tcW w:type="dxa" w:w="1872"/>
            <w:vAlign w:val="center"/>
            <w:tcMar>
              <w:top w:w="80" w:type="dxa"/>
              <w:start w:w="120" w:type="dxa"/>
              <w:bottom w:w="80" w:type="dxa"/>
              <w:end w:w="120" w:type="dxa"/>
            </w:tcMar>
          </w:tcPr>
          <w:p>
            <w:pPr>
              <w:jc w:val="center"/>
            </w:pPr>
            <w:r>
              <w:rPr>
                <w:rFonts w:ascii="Calibri" w:hAnsi="Calibri"/>
              </w:rPr>
              <w:t>146,157</w:t>
            </w:r>
          </w:p>
        </w:tc>
        <w:tc>
          <w:tcPr>
            <w:tcW w:type="dxa" w:w="1872"/>
            <w:vAlign w:val="center"/>
            <w:tcMar>
              <w:top w:w="80" w:type="dxa"/>
              <w:start w:w="120" w:type="dxa"/>
              <w:bottom w:w="80" w:type="dxa"/>
              <w:end w:w="120" w:type="dxa"/>
            </w:tcMar>
          </w:tcPr>
          <w:p>
            <w:pPr>
              <w:jc w:val="center"/>
            </w:pPr>
            <w:r>
              <w:rPr>
                <w:rFonts w:ascii="Calibri" w:hAnsi="Calibri"/>
              </w:rPr>
              <w:t>100.0%</w:t>
            </w:r>
          </w:p>
        </w:tc>
        <w:tc>
          <w:tcPr>
            <w:tcW w:type="dxa" w:w="1872"/>
            <w:vAlign w:val="center"/>
            <w:tcMar>
              <w:top w:w="80" w:type="dxa"/>
              <w:start w:w="120" w:type="dxa"/>
              <w:bottom w:w="80" w:type="dxa"/>
              <w:end w:w="120" w:type="dxa"/>
            </w:tcMar>
          </w:tcPr>
          <w:p>
            <w:pPr>
              <w:jc w:val="center"/>
            </w:pPr>
            <w:r>
              <w:rPr>
                <w:rFonts w:ascii="Calibri" w:hAnsi="Calibri"/>
              </w:rPr>
              <w:t>547,163</w:t>
            </w:r>
          </w:p>
        </w:tc>
        <w:tc>
          <w:tcPr>
            <w:tcW w:type="dxa" w:w="1872"/>
            <w:vAlign w:val="center"/>
            <w:tcMar>
              <w:top w:w="80" w:type="dxa"/>
              <w:start w:w="120" w:type="dxa"/>
              <w:bottom w:w="80" w:type="dxa"/>
              <w:end w:w="120" w:type="dxa"/>
            </w:tcMar>
          </w:tcPr>
          <w:p>
            <w:pPr>
              <w:jc w:val="center"/>
            </w:pPr>
            <w:r>
              <w:rPr>
                <w:rFonts w:ascii="Calibri" w:hAnsi="Calibri"/>
              </w:rPr>
              <w:t>100.0%</w:t>
            </w:r>
          </w:p>
        </w:tc>
      </w:tr>
    </w:tbl>
    <w:p>
      <w:pPr>
        <w:spacing w:before="80" w:after="80"/>
      </w:pPr>
      <w:r>
        <w:rPr>
          <w:rFonts w:ascii="Calibri" w:hAnsi="Calibri"/>
          <w:i/>
          <w:color w:val="5C5C5C"/>
          <w:sz w:val="18"/>
        </w:rPr>
        <w:t>Source: KPX 2025 Power Market Statistics. [S1]</w:t>
      </w:r>
    </w:p>
    <w:p>
      <w:pPr>
        <w:keepLines w:val="0"/>
      </w:pPr>
      <w:r>
        <w:rPr>
          <w:rFonts w:ascii="Calibri" w:hAnsi="Calibri"/>
        </w:rPr>
        <w:t>Several patterns jump out. First, LNG had the largest market-registered capacity but not the largest energy output; nuclear and coal produced more energy relative to capacity because they typically run at higher utilization. Second, coal and LNG traded volumes were very close in 2025, which makes the coal/LNG switching question commercially important. Third, renewables were still a relatively small share of traded energy, but their hourly profile matters because solar changes the shape of residual demand.</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2376"/>
            <w:vAlign w:val="center"/>
            <w:shd w:fill="E8EEF5"/>
            <w:tcMar>
              <w:top w:w="80" w:type="dxa"/>
              <w:start w:w="120" w:type="dxa"/>
              <w:bottom w:w="80" w:type="dxa"/>
              <w:end w:w="120" w:type="dxa"/>
            </w:tcMar>
          </w:tcPr>
          <w:p>
            <w:pPr>
              <w:jc w:val="center"/>
            </w:pPr>
            <w:r>
              <w:rPr>
                <w:rFonts w:ascii="Calibri" w:hAnsi="Calibri"/>
                <w:b/>
                <w:color w:val="24231F"/>
              </w:rPr>
              <w:t>Metric</w:t>
            </w:r>
          </w:p>
        </w:tc>
        <w:tc>
          <w:tcPr>
            <w:tcW w:type="dxa" w:w="2448"/>
            <w:vAlign w:val="center"/>
            <w:shd w:fill="E8EEF5"/>
            <w:tcMar>
              <w:top w:w="80" w:type="dxa"/>
              <w:start w:w="120" w:type="dxa"/>
              <w:bottom w:w="80" w:type="dxa"/>
              <w:end w:w="120" w:type="dxa"/>
            </w:tcMar>
          </w:tcPr>
          <w:p>
            <w:pPr>
              <w:jc w:val="center"/>
            </w:pPr>
            <w:r>
              <w:rPr>
                <w:rFonts w:ascii="Calibri" w:hAnsi="Calibri"/>
                <w:b/>
                <w:color w:val="24231F"/>
              </w:rPr>
              <w:t>2025 KPX value used in app</w:t>
            </w:r>
          </w:p>
        </w:tc>
        <w:tc>
          <w:tcPr>
            <w:tcW w:type="dxa" w:w="4536"/>
            <w:vAlign w:val="center"/>
            <w:shd w:fill="E8EEF5"/>
            <w:tcMar>
              <w:top w:w="80" w:type="dxa"/>
              <w:start w:w="120" w:type="dxa"/>
              <w:bottom w:w="80" w:type="dxa"/>
              <w:end w:w="120" w:type="dxa"/>
            </w:tcMar>
          </w:tcPr>
          <w:p>
            <w:pPr>
              <w:jc w:val="center"/>
            </w:pPr>
            <w:r>
              <w:rPr>
                <w:rFonts w:ascii="Calibri" w:hAnsi="Calibri"/>
                <w:b/>
                <w:color w:val="24231F"/>
              </w:rPr>
              <w:t>Interpretation</w:t>
            </w:r>
          </w:p>
        </w:tc>
      </w:tr>
      <w:tr>
        <w:tc>
          <w:tcPr>
            <w:tcW w:type="dxa" w:w="3120"/>
            <w:vAlign w:val="center"/>
            <w:tcMar>
              <w:top w:w="80" w:type="dxa"/>
              <w:start w:w="120" w:type="dxa"/>
              <w:bottom w:w="80" w:type="dxa"/>
              <w:end w:w="120" w:type="dxa"/>
            </w:tcMar>
          </w:tcPr>
          <w:p>
            <w:pPr>
              <w:jc w:val="left"/>
            </w:pPr>
            <w:r>
              <w:rPr>
                <w:rFonts w:ascii="Calibri" w:hAnsi="Calibri"/>
              </w:rPr>
              <w:t>Mainland weighted-average SMP</w:t>
            </w:r>
          </w:p>
        </w:tc>
        <w:tc>
          <w:tcPr>
            <w:tcW w:type="dxa" w:w="3120"/>
            <w:vAlign w:val="center"/>
            <w:tcMar>
              <w:top w:w="80" w:type="dxa"/>
              <w:start w:w="120" w:type="dxa"/>
              <w:bottom w:w="80" w:type="dxa"/>
              <w:end w:w="120" w:type="dxa"/>
            </w:tcMar>
          </w:tcPr>
          <w:p>
            <w:pPr>
              <w:jc w:val="center"/>
            </w:pPr>
            <w:r>
              <w:rPr>
                <w:rFonts w:ascii="Calibri" w:hAnsi="Calibri"/>
              </w:rPr>
              <w:t>112.73 KRW/kWh</w:t>
            </w:r>
          </w:p>
        </w:tc>
        <w:tc>
          <w:tcPr>
            <w:tcW w:type="dxa" w:w="3120"/>
            <w:vAlign w:val="center"/>
            <w:tcMar>
              <w:top w:w="80" w:type="dxa"/>
              <w:start w:w="120" w:type="dxa"/>
              <w:bottom w:w="80" w:type="dxa"/>
              <w:end w:w="120" w:type="dxa"/>
            </w:tcMar>
          </w:tcPr>
          <w:p>
            <w:pPr>
              <w:jc w:val="center"/>
            </w:pPr>
            <w:r>
              <w:rPr>
                <w:rFonts w:ascii="Calibri" w:hAnsi="Calibri"/>
              </w:rPr>
              <w:t>Anchor for checking whether modeled SMP is plausible, not a calibration target.</w:t>
            </w:r>
          </w:p>
        </w:tc>
      </w:tr>
      <w:tr>
        <w:tc>
          <w:tcPr>
            <w:tcW w:type="dxa" w:w="3120"/>
            <w:vAlign w:val="center"/>
            <w:tcMar>
              <w:top w:w="80" w:type="dxa"/>
              <w:start w:w="120" w:type="dxa"/>
              <w:bottom w:w="80" w:type="dxa"/>
              <w:end w:w="120" w:type="dxa"/>
            </w:tcMar>
          </w:tcPr>
          <w:p>
            <w:pPr>
              <w:jc w:val="left"/>
            </w:pPr>
            <w:r>
              <w:rPr>
                <w:rFonts w:ascii="Calibri" w:hAnsi="Calibri"/>
              </w:rPr>
              <w:t>LNG marginal price-setting count</w:t>
            </w:r>
          </w:p>
        </w:tc>
        <w:tc>
          <w:tcPr>
            <w:tcW w:type="dxa" w:w="3120"/>
            <w:vAlign w:val="center"/>
            <w:tcMar>
              <w:top w:w="80" w:type="dxa"/>
              <w:start w:w="120" w:type="dxa"/>
              <w:bottom w:w="80" w:type="dxa"/>
              <w:end w:w="120" w:type="dxa"/>
            </w:tcMar>
          </w:tcPr>
          <w:p>
            <w:pPr>
              <w:jc w:val="center"/>
            </w:pPr>
            <w:r>
              <w:rPr>
                <w:rFonts w:ascii="Calibri" w:hAnsi="Calibri"/>
              </w:rPr>
              <w:t>7,292 of 8,741 intervals</w:t>
            </w:r>
          </w:p>
        </w:tc>
        <w:tc>
          <w:tcPr>
            <w:tcW w:type="dxa" w:w="3120"/>
            <w:vAlign w:val="center"/>
            <w:tcMar>
              <w:top w:w="80" w:type="dxa"/>
              <w:start w:w="120" w:type="dxa"/>
              <w:bottom w:w="80" w:type="dxa"/>
              <w:end w:w="120" w:type="dxa"/>
            </w:tcMar>
          </w:tcPr>
          <w:p>
            <w:pPr>
              <w:jc w:val="center"/>
            </w:pPr>
            <w:r>
              <w:rPr>
                <w:rFonts w:ascii="Calibri" w:hAnsi="Calibri"/>
              </w:rPr>
              <w:t>LNG set SMP in about 83.4% of counted intervals.</w:t>
            </w:r>
          </w:p>
        </w:tc>
      </w:tr>
      <w:tr>
        <w:tc>
          <w:tcPr>
            <w:tcW w:type="dxa" w:w="3120"/>
            <w:vAlign w:val="center"/>
            <w:tcMar>
              <w:top w:w="80" w:type="dxa"/>
              <w:start w:w="120" w:type="dxa"/>
              <w:bottom w:w="80" w:type="dxa"/>
              <w:end w:w="120" w:type="dxa"/>
            </w:tcMar>
          </w:tcPr>
          <w:p>
            <w:pPr>
              <w:jc w:val="left"/>
            </w:pPr>
            <w:r>
              <w:rPr>
                <w:rFonts w:ascii="Calibri" w:hAnsi="Calibri"/>
              </w:rPr>
              <w:t>Coal marginal price-setting count</w:t>
            </w:r>
          </w:p>
        </w:tc>
        <w:tc>
          <w:tcPr>
            <w:tcW w:type="dxa" w:w="3120"/>
            <w:vAlign w:val="center"/>
            <w:tcMar>
              <w:top w:w="80" w:type="dxa"/>
              <w:start w:w="120" w:type="dxa"/>
              <w:bottom w:w="80" w:type="dxa"/>
              <w:end w:w="120" w:type="dxa"/>
            </w:tcMar>
          </w:tcPr>
          <w:p>
            <w:pPr>
              <w:jc w:val="center"/>
            </w:pPr>
            <w:r>
              <w:rPr>
                <w:rFonts w:ascii="Calibri" w:hAnsi="Calibri"/>
              </w:rPr>
              <w:t>1,413 of 8,741 intervals</w:t>
            </w:r>
          </w:p>
        </w:tc>
        <w:tc>
          <w:tcPr>
            <w:tcW w:type="dxa" w:w="3120"/>
            <w:vAlign w:val="center"/>
            <w:tcMar>
              <w:top w:w="80" w:type="dxa"/>
              <w:start w:w="120" w:type="dxa"/>
              <w:bottom w:w="80" w:type="dxa"/>
              <w:end w:w="120" w:type="dxa"/>
            </w:tcMar>
          </w:tcPr>
          <w:p>
            <w:pPr>
              <w:jc w:val="center"/>
            </w:pPr>
            <w:r>
              <w:rPr>
                <w:rFonts w:ascii="Calibri" w:hAnsi="Calibri"/>
              </w:rPr>
              <w:t>Coal set SMP in about 16.2% of counted intervals.</w:t>
            </w:r>
          </w:p>
        </w:tc>
      </w:tr>
      <w:tr>
        <w:tc>
          <w:tcPr>
            <w:tcW w:type="dxa" w:w="3120"/>
            <w:vAlign w:val="center"/>
            <w:tcMar>
              <w:top w:w="80" w:type="dxa"/>
              <w:start w:w="120" w:type="dxa"/>
              <w:bottom w:w="80" w:type="dxa"/>
              <w:end w:w="120" w:type="dxa"/>
            </w:tcMar>
          </w:tcPr>
          <w:p>
            <w:pPr>
              <w:jc w:val="left"/>
            </w:pPr>
            <w:r>
              <w:rPr>
                <w:rFonts w:ascii="Calibri" w:hAnsi="Calibri"/>
              </w:rPr>
              <w:t>Hourly pattern</w:t>
            </w:r>
          </w:p>
        </w:tc>
        <w:tc>
          <w:tcPr>
            <w:tcW w:type="dxa" w:w="3120"/>
            <w:vAlign w:val="center"/>
            <w:tcMar>
              <w:top w:w="80" w:type="dxa"/>
              <w:start w:w="120" w:type="dxa"/>
              <w:bottom w:w="80" w:type="dxa"/>
              <w:end w:w="120" w:type="dxa"/>
            </w:tcMar>
          </w:tcPr>
          <w:p>
            <w:pPr>
              <w:jc w:val="center"/>
            </w:pPr>
            <w:r>
              <w:rPr>
                <w:rFonts w:ascii="Calibri" w:hAnsi="Calibri"/>
              </w:rPr>
              <w:t>Coal more frequent overnight; LNG more frequent most hours</w:t>
            </w:r>
          </w:p>
        </w:tc>
        <w:tc>
          <w:tcPr>
            <w:tcW w:type="dxa" w:w="3120"/>
            <w:vAlign w:val="center"/>
            <w:tcMar>
              <w:top w:w="80" w:type="dxa"/>
              <w:start w:w="120" w:type="dxa"/>
              <w:bottom w:w="80" w:type="dxa"/>
              <w:end w:w="120" w:type="dxa"/>
            </w:tcMar>
          </w:tcPr>
          <w:p>
            <w:pPr>
              <w:jc w:val="center"/>
            </w:pPr>
            <w:r>
              <w:rPr>
                <w:rFonts w:ascii="Calibri" w:hAnsi="Calibri"/>
              </w:rPr>
              <w:t>Supports the model design where LNG often marginal but coal still material.</w:t>
            </w:r>
          </w:p>
        </w:tc>
      </w:tr>
    </w:tbl>
    <w:p>
      <w:pPr>
        <w:spacing w:before="80" w:after="80"/>
      </w:pPr>
      <w:r>
        <w:rPr>
          <w:rFonts w:ascii="Calibri" w:hAnsi="Calibri"/>
          <w:i/>
          <w:color w:val="5C5C5C"/>
          <w:sz w:val="18"/>
        </w:rPr>
        <w:t>Source: KPX 2025 Power Market Statistics. [S1]</w:t>
      </w:r>
    </w:p>
    <w:tbl>
      <w:tblPr>
        <w:tblStyle w:val="TableGrid"/>
        <w:tblW w:type="auto" w:w="0"/>
        <w:jc w:val="left"/>
        <w:tblLayout w:type="fixed"/>
        <w:tblLook w:firstColumn="1" w:firstRow="1" w:lastColumn="0" w:lastRow="0" w:noHBand="0" w:noVBand="1" w:val="04A0"/>
      </w:tblPr>
      <w:tblGrid>
        <w:gridCol w:w="9360"/>
      </w:tblGrid>
      <w:tr>
        <w:trPr>
          <w:tblHeader w:val="true"/>
        </w:trPr>
        <w:tc>
          <w:tcPr>
            <w:tcW w:type="dxa" w:w="9360"/>
            <w:shd w:fill="F4F6F9"/>
            <w:tcMar>
              <w:top w:w="120" w:type="dxa"/>
              <w:start w:w="160" w:type="dxa"/>
              <w:bottom w:w="120" w:type="dxa"/>
              <w:end w:w="160" w:type="dxa"/>
            </w:tcMar>
          </w:tcPr>
          <w:p>
            <w:r>
              <w:rPr>
                <w:rFonts w:ascii="Calibri" w:hAnsi="Calibri"/>
                <w:b/>
                <w:color w:val="1F4D78"/>
              </w:rPr>
              <w:t>Interpreting marginal counts</w:t>
            </w:r>
          </w:p>
          <w:p>
            <w:pPr>
              <w:spacing w:after="0"/>
            </w:pPr>
            <w:r>
              <w:rPr>
                <w:rFonts w:ascii="Calibri" w:hAnsi="Calibri"/>
              </w:rPr>
              <w:t>A fuel's marginal price-setting count is not its generation share. Coal can generate a large amount without setting SMP if another resource is marginal. Conversely, LNG can set SMP frequently even if its generation share is similar to coal's.</w:t>
            </w:r>
          </w:p>
        </w:tc>
      </w:tr>
    </w:tbl>
    <w:p>
      <w:pPr>
        <w:pStyle w:val="Heading1"/>
      </w:pPr>
      <w:r>
        <w:t>Module 4 - Translating Coal and LNG into KRW/kWh</w:t>
      </w:r>
    </w:p>
    <w:p>
      <w:pPr>
        <w:keepLines w:val="0"/>
      </w:pPr>
      <w:r>
        <w:rPr>
          <w:rFonts w:ascii="Calibri" w:hAnsi="Calibri"/>
        </w:rPr>
        <w:t>A thermal coal analyst normally thinks in USD/t, kcal/kg, freight, sulphur, ash, and delivered basis. A power-market stack needs the same economics expressed as KRW/kWh. The app makes this translation explicitly so that coal knowledge is visible inside the dispatch model.</w:t>
      </w:r>
    </w:p>
    <w:p>
      <w:pPr>
        <w:keepLines w:val="0"/>
      </w:pPr>
      <w:r>
        <w:rPr>
          <w:rFonts w:ascii="Calibri" w:hAnsi="Calibri"/>
        </w:rPr>
        <w:t>For coal, the conversion starts with calorific value. A tonne of 5,500 kcal/kg NAR coal contains about 23.03 GJ, or about 21.83 MMBtu. Therefore, USD/t divided by roughly 21.83 gives USD/MMBtu. Multiplying by USD/KRW gives KRW/MMBtu. Multiplying by heat rate in MMBtu/MWh gives KRW/MWh, and dividing by 1,000 gives KRW/kWh.</w:t>
      </w:r>
    </w:p>
    <w:p>
      <w:pPr>
        <w:spacing w:after="120"/>
        <w:ind w:left="360"/>
      </w:pPr>
      <w:r>
        <w:rPr>
          <w:rFonts w:ascii="Consolas" w:hAnsi="Consolas"/>
          <w:color w:val="282828"/>
          <w:sz w:val="20"/>
        </w:rPr>
        <w:t>coal_USD_per_MMBtu = coal_USD_per_tonne / ((NAR_kcal_per_kg * 1000 * 4.1868 / 1,000,000) / 1.05505585262)</w:t>
      </w:r>
    </w:p>
    <w:p>
      <w:pPr>
        <w:spacing w:after="120"/>
        <w:ind w:left="360"/>
      </w:pPr>
      <w:r>
        <w:rPr>
          <w:rFonts w:ascii="Consolas" w:hAnsi="Consolas"/>
          <w:color w:val="282828"/>
          <w:sz w:val="20"/>
        </w:rPr>
        <w:t>fuel_KRW_per_kWh = fuel_KRW_per_MMBtu * heat_rate_MMBtu_per_MWh / 1000</w:t>
      </w:r>
    </w:p>
    <w:p>
      <w:pPr>
        <w:keepLines w:val="0"/>
      </w:pPr>
      <w:r>
        <w:rPr>
          <w:rFonts w:ascii="Calibri" w:hAnsi="Calibri"/>
        </w:rPr>
        <w:t>For LNG, market price is already quoted as USD/MMBtu in JKM-style terms, so the model uses USD/MMBtu multiplied by FX, then by plant heat rate. LNG combined-cycle plants have lower heat rates than coal units, but LNG fuel is usually more expensive per MMBtu. That is the fuel-switching tension.</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rPr>
          <w:tblHeader w:val="true"/>
        </w:trPr>
        <w:tc>
          <w:tcPr>
            <w:tcW w:type="dxa" w:w="1800"/>
            <w:vAlign w:val="center"/>
            <w:shd w:fill="E8EEF5"/>
            <w:tcMar>
              <w:top w:w="80" w:type="dxa"/>
              <w:start w:w="120" w:type="dxa"/>
              <w:bottom w:w="80" w:type="dxa"/>
              <w:end w:w="120" w:type="dxa"/>
            </w:tcMar>
          </w:tcPr>
          <w:p>
            <w:pPr>
              <w:jc w:val="center"/>
            </w:pPr>
            <w:r>
              <w:rPr>
                <w:rFonts w:ascii="Calibri" w:hAnsi="Calibri"/>
                <w:b/>
                <w:color w:val="24231F"/>
              </w:rPr>
              <w:t>Input</w:t>
            </w:r>
          </w:p>
        </w:tc>
        <w:tc>
          <w:tcPr>
            <w:tcW w:type="dxa" w:w="2160"/>
            <w:vAlign w:val="center"/>
            <w:shd w:fill="E8EEF5"/>
            <w:tcMar>
              <w:top w:w="80" w:type="dxa"/>
              <w:start w:w="120" w:type="dxa"/>
              <w:bottom w:w="80" w:type="dxa"/>
              <w:end w:w="120" w:type="dxa"/>
            </w:tcMar>
          </w:tcPr>
          <w:p>
            <w:pPr>
              <w:jc w:val="center"/>
            </w:pPr>
            <w:r>
              <w:rPr>
                <w:rFonts w:ascii="Calibri" w:hAnsi="Calibri"/>
                <w:b/>
                <w:color w:val="24231F"/>
              </w:rPr>
              <w:t>Coal example</w:t>
            </w:r>
          </w:p>
        </w:tc>
        <w:tc>
          <w:tcPr>
            <w:tcW w:type="dxa" w:w="2088"/>
            <w:vAlign w:val="center"/>
            <w:shd w:fill="E8EEF5"/>
            <w:tcMar>
              <w:top w:w="80" w:type="dxa"/>
              <w:start w:w="120" w:type="dxa"/>
              <w:bottom w:w="80" w:type="dxa"/>
              <w:end w:w="120" w:type="dxa"/>
            </w:tcMar>
          </w:tcPr>
          <w:p>
            <w:pPr>
              <w:jc w:val="center"/>
            </w:pPr>
            <w:r>
              <w:rPr>
                <w:rFonts w:ascii="Calibri" w:hAnsi="Calibri"/>
                <w:b/>
                <w:color w:val="24231F"/>
              </w:rPr>
              <w:t>LNG example</w:t>
            </w:r>
          </w:p>
        </w:tc>
        <w:tc>
          <w:tcPr>
            <w:tcW w:type="dxa" w:w="3311"/>
            <w:vAlign w:val="center"/>
            <w:shd w:fill="E8EEF5"/>
            <w:tcMar>
              <w:top w:w="80" w:type="dxa"/>
              <w:start w:w="120" w:type="dxa"/>
              <w:bottom w:w="80" w:type="dxa"/>
              <w:end w:w="120" w:type="dxa"/>
            </w:tcMar>
          </w:tcPr>
          <w:p>
            <w:pPr>
              <w:jc w:val="center"/>
            </w:pPr>
            <w:r>
              <w:rPr>
                <w:rFonts w:ascii="Calibri" w:hAnsi="Calibri"/>
                <w:b/>
                <w:color w:val="24231F"/>
              </w:rPr>
              <w:t>Why it matters</w:t>
            </w:r>
          </w:p>
        </w:tc>
      </w:tr>
      <w:tr>
        <w:tc>
          <w:tcPr>
            <w:tcW w:type="dxa" w:w="2340"/>
            <w:vAlign w:val="center"/>
            <w:tcMar>
              <w:top w:w="80" w:type="dxa"/>
              <w:start w:w="120" w:type="dxa"/>
              <w:bottom w:w="80" w:type="dxa"/>
              <w:end w:w="120" w:type="dxa"/>
            </w:tcMar>
          </w:tcPr>
          <w:p>
            <w:pPr>
              <w:jc w:val="left"/>
            </w:pPr>
            <w:r>
              <w:rPr>
                <w:rFonts w:ascii="Calibri" w:hAnsi="Calibri"/>
              </w:rPr>
              <w:t>Commodity price</w:t>
            </w:r>
          </w:p>
        </w:tc>
        <w:tc>
          <w:tcPr>
            <w:tcW w:type="dxa" w:w="2340"/>
            <w:vAlign w:val="center"/>
            <w:tcMar>
              <w:top w:w="80" w:type="dxa"/>
              <w:start w:w="120" w:type="dxa"/>
              <w:bottom w:w="80" w:type="dxa"/>
              <w:end w:w="120" w:type="dxa"/>
            </w:tcMar>
          </w:tcPr>
          <w:p>
            <w:pPr>
              <w:jc w:val="center"/>
            </w:pPr>
            <w:r>
              <w:rPr>
                <w:rFonts w:ascii="Calibri" w:hAnsi="Calibri"/>
              </w:rPr>
              <w:t>98 USD/t at 5,500 kcal/kg NAR</w:t>
            </w:r>
          </w:p>
        </w:tc>
        <w:tc>
          <w:tcPr>
            <w:tcW w:type="dxa" w:w="2340"/>
            <w:vAlign w:val="center"/>
            <w:tcMar>
              <w:top w:w="80" w:type="dxa"/>
              <w:start w:w="120" w:type="dxa"/>
              <w:bottom w:w="80" w:type="dxa"/>
              <w:end w:w="120" w:type="dxa"/>
            </w:tcMar>
          </w:tcPr>
          <w:p>
            <w:pPr>
              <w:jc w:val="center"/>
            </w:pPr>
            <w:r>
              <w:rPr>
                <w:rFonts w:ascii="Calibri" w:hAnsi="Calibri"/>
              </w:rPr>
              <w:t>10.8 USD/MMBtu</w:t>
            </w:r>
          </w:p>
        </w:tc>
        <w:tc>
          <w:tcPr>
            <w:tcW w:type="dxa" w:w="2340"/>
            <w:vAlign w:val="center"/>
            <w:tcMar>
              <w:top w:w="80" w:type="dxa"/>
              <w:start w:w="120" w:type="dxa"/>
              <w:bottom w:w="80" w:type="dxa"/>
              <w:end w:w="120" w:type="dxa"/>
            </w:tcMar>
          </w:tcPr>
          <w:p>
            <w:pPr>
              <w:jc w:val="center"/>
            </w:pPr>
            <w:r>
              <w:rPr>
                <w:rFonts w:ascii="Calibri" w:hAnsi="Calibri"/>
              </w:rPr>
              <w:t>Sets fuel energy cost.</w:t>
            </w:r>
          </w:p>
        </w:tc>
      </w:tr>
      <w:tr>
        <w:tc>
          <w:tcPr>
            <w:tcW w:type="dxa" w:w="2340"/>
            <w:vAlign w:val="center"/>
            <w:tcMar>
              <w:top w:w="80" w:type="dxa"/>
              <w:start w:w="120" w:type="dxa"/>
              <w:bottom w:w="80" w:type="dxa"/>
              <w:end w:w="120" w:type="dxa"/>
            </w:tcMar>
          </w:tcPr>
          <w:p>
            <w:pPr>
              <w:jc w:val="left"/>
            </w:pPr>
            <w:r>
              <w:rPr>
                <w:rFonts w:ascii="Calibri" w:hAnsi="Calibri"/>
              </w:rPr>
              <w:t>FX</w:t>
            </w:r>
          </w:p>
        </w:tc>
        <w:tc>
          <w:tcPr>
            <w:tcW w:type="dxa" w:w="2340"/>
            <w:vAlign w:val="center"/>
            <w:tcMar>
              <w:top w:w="80" w:type="dxa"/>
              <w:start w:w="120" w:type="dxa"/>
              <w:bottom w:w="80" w:type="dxa"/>
              <w:end w:w="120" w:type="dxa"/>
            </w:tcMar>
          </w:tcPr>
          <w:p>
            <w:pPr>
              <w:jc w:val="center"/>
            </w:pPr>
            <w:r>
              <w:rPr>
                <w:rFonts w:ascii="Calibri" w:hAnsi="Calibri"/>
              </w:rPr>
              <w:t>1,380 KRW/USD</w:t>
            </w:r>
          </w:p>
        </w:tc>
        <w:tc>
          <w:tcPr>
            <w:tcW w:type="dxa" w:w="2340"/>
            <w:vAlign w:val="center"/>
            <w:tcMar>
              <w:top w:w="80" w:type="dxa"/>
              <w:start w:w="120" w:type="dxa"/>
              <w:bottom w:w="80" w:type="dxa"/>
              <w:end w:w="120" w:type="dxa"/>
            </w:tcMar>
          </w:tcPr>
          <w:p>
            <w:pPr>
              <w:jc w:val="center"/>
            </w:pPr>
            <w:r>
              <w:rPr>
                <w:rFonts w:ascii="Calibri" w:hAnsi="Calibri"/>
              </w:rPr>
              <w:t>1,380 KRW/USD</w:t>
            </w:r>
          </w:p>
        </w:tc>
        <w:tc>
          <w:tcPr>
            <w:tcW w:type="dxa" w:w="2340"/>
            <w:vAlign w:val="center"/>
            <w:tcMar>
              <w:top w:w="80" w:type="dxa"/>
              <w:start w:w="120" w:type="dxa"/>
              <w:bottom w:w="80" w:type="dxa"/>
              <w:end w:w="120" w:type="dxa"/>
            </w:tcMar>
          </w:tcPr>
          <w:p>
            <w:pPr>
              <w:jc w:val="center"/>
            </w:pPr>
            <w:r>
              <w:rPr>
                <w:rFonts w:ascii="Calibri" w:hAnsi="Calibri"/>
              </w:rPr>
              <w:t>Korea imports both fuels; FX is a direct cost driver.</w:t>
            </w:r>
          </w:p>
        </w:tc>
      </w:tr>
      <w:tr>
        <w:tc>
          <w:tcPr>
            <w:tcW w:type="dxa" w:w="2340"/>
            <w:vAlign w:val="center"/>
            <w:tcMar>
              <w:top w:w="80" w:type="dxa"/>
              <w:start w:w="120" w:type="dxa"/>
              <w:bottom w:w="80" w:type="dxa"/>
              <w:end w:w="120" w:type="dxa"/>
            </w:tcMar>
          </w:tcPr>
          <w:p>
            <w:pPr>
              <w:jc w:val="left"/>
            </w:pPr>
            <w:r>
              <w:rPr>
                <w:rFonts w:ascii="Calibri" w:hAnsi="Calibri"/>
              </w:rPr>
              <w:t>Heat rate</w:t>
            </w:r>
          </w:p>
        </w:tc>
        <w:tc>
          <w:tcPr>
            <w:tcW w:type="dxa" w:w="2340"/>
            <w:vAlign w:val="center"/>
            <w:tcMar>
              <w:top w:w="80" w:type="dxa"/>
              <w:start w:w="120" w:type="dxa"/>
              <w:bottom w:w="80" w:type="dxa"/>
              <w:end w:w="120" w:type="dxa"/>
            </w:tcMar>
          </w:tcPr>
          <w:p>
            <w:pPr>
              <w:jc w:val="center"/>
            </w:pPr>
            <w:r>
              <w:rPr>
                <w:rFonts w:ascii="Calibri" w:hAnsi="Calibri"/>
              </w:rPr>
              <w:t>8.75-9.55 MMBtu/MWh in model blocks</w:t>
            </w:r>
          </w:p>
        </w:tc>
        <w:tc>
          <w:tcPr>
            <w:tcW w:type="dxa" w:w="2340"/>
            <w:vAlign w:val="center"/>
            <w:tcMar>
              <w:top w:w="80" w:type="dxa"/>
              <w:start w:w="120" w:type="dxa"/>
              <w:bottom w:w="80" w:type="dxa"/>
              <w:end w:w="120" w:type="dxa"/>
            </w:tcMar>
          </w:tcPr>
          <w:p>
            <w:pPr>
              <w:jc w:val="center"/>
            </w:pPr>
            <w:r>
              <w:rPr>
                <w:rFonts w:ascii="Calibri" w:hAnsi="Calibri"/>
              </w:rPr>
              <w:t>6.55-7.75 MMBtu/MWh in model blocks</w:t>
            </w:r>
          </w:p>
        </w:tc>
        <w:tc>
          <w:tcPr>
            <w:tcW w:type="dxa" w:w="2340"/>
            <w:vAlign w:val="center"/>
            <w:tcMar>
              <w:top w:w="80" w:type="dxa"/>
              <w:start w:w="120" w:type="dxa"/>
              <w:bottom w:w="80" w:type="dxa"/>
              <w:end w:w="120" w:type="dxa"/>
            </w:tcMar>
          </w:tcPr>
          <w:p>
            <w:pPr>
              <w:jc w:val="center"/>
            </w:pPr>
            <w:r>
              <w:rPr>
                <w:rFonts w:ascii="Calibri" w:hAnsi="Calibri"/>
              </w:rPr>
              <w:t>Efficiency changes whether expensive LNG can compete with cheaper coal.</w:t>
            </w:r>
          </w:p>
        </w:tc>
      </w:tr>
      <w:tr>
        <w:tc>
          <w:tcPr>
            <w:tcW w:type="dxa" w:w="2340"/>
            <w:vAlign w:val="center"/>
            <w:tcMar>
              <w:top w:w="80" w:type="dxa"/>
              <w:start w:w="120" w:type="dxa"/>
              <w:bottom w:w="80" w:type="dxa"/>
              <w:end w:w="120" w:type="dxa"/>
            </w:tcMar>
          </w:tcPr>
          <w:p>
            <w:pPr>
              <w:jc w:val="left"/>
            </w:pPr>
            <w:r>
              <w:rPr>
                <w:rFonts w:ascii="Calibri" w:hAnsi="Calibri"/>
              </w:rPr>
              <w:t>Variable O&amp;M</w:t>
            </w:r>
          </w:p>
        </w:tc>
        <w:tc>
          <w:tcPr>
            <w:tcW w:type="dxa" w:w="2340"/>
            <w:vAlign w:val="center"/>
            <w:tcMar>
              <w:top w:w="80" w:type="dxa"/>
              <w:start w:w="120" w:type="dxa"/>
              <w:bottom w:w="80" w:type="dxa"/>
              <w:end w:w="120" w:type="dxa"/>
            </w:tcMar>
          </w:tcPr>
          <w:p>
            <w:pPr>
              <w:jc w:val="center"/>
            </w:pPr>
            <w:r>
              <w:rPr>
                <w:rFonts w:ascii="Calibri" w:hAnsi="Calibri"/>
              </w:rPr>
              <w:t>5.5-7.4 KRW/kWh</w:t>
            </w:r>
          </w:p>
        </w:tc>
        <w:tc>
          <w:tcPr>
            <w:tcW w:type="dxa" w:w="2340"/>
            <w:vAlign w:val="center"/>
            <w:tcMar>
              <w:top w:w="80" w:type="dxa"/>
              <w:start w:w="120" w:type="dxa"/>
              <w:bottom w:w="80" w:type="dxa"/>
              <w:end w:w="120" w:type="dxa"/>
            </w:tcMar>
          </w:tcPr>
          <w:p>
            <w:pPr>
              <w:jc w:val="center"/>
            </w:pPr>
            <w:r>
              <w:rPr>
                <w:rFonts w:ascii="Calibri" w:hAnsi="Calibri"/>
              </w:rPr>
              <w:t>3.8-5.8 KRW/kWh</w:t>
            </w:r>
          </w:p>
        </w:tc>
        <w:tc>
          <w:tcPr>
            <w:tcW w:type="dxa" w:w="2340"/>
            <w:vAlign w:val="center"/>
            <w:tcMar>
              <w:top w:w="80" w:type="dxa"/>
              <w:start w:w="120" w:type="dxa"/>
              <w:bottom w:w="80" w:type="dxa"/>
              <w:end w:w="120" w:type="dxa"/>
            </w:tcMar>
          </w:tcPr>
          <w:p>
            <w:pPr>
              <w:jc w:val="center"/>
            </w:pPr>
            <w:r>
              <w:rPr>
                <w:rFonts w:ascii="Calibri" w:hAnsi="Calibri"/>
              </w:rPr>
              <w:t>Non-fuel dispatch cost.</w:t>
            </w:r>
          </w:p>
        </w:tc>
      </w:tr>
      <w:tr>
        <w:tc>
          <w:tcPr>
            <w:tcW w:type="dxa" w:w="2340"/>
            <w:vAlign w:val="center"/>
            <w:tcMar>
              <w:top w:w="80" w:type="dxa"/>
              <w:start w:w="120" w:type="dxa"/>
              <w:bottom w:w="80" w:type="dxa"/>
              <w:end w:w="120" w:type="dxa"/>
            </w:tcMar>
          </w:tcPr>
          <w:p>
            <w:pPr>
              <w:jc w:val="left"/>
            </w:pPr>
            <w:r>
              <w:rPr>
                <w:rFonts w:ascii="Calibri" w:hAnsi="Calibri"/>
              </w:rPr>
              <w:t>Carbon factor</w:t>
            </w:r>
          </w:p>
        </w:tc>
        <w:tc>
          <w:tcPr>
            <w:tcW w:type="dxa" w:w="2340"/>
            <w:vAlign w:val="center"/>
            <w:tcMar>
              <w:top w:w="80" w:type="dxa"/>
              <w:start w:w="120" w:type="dxa"/>
              <w:bottom w:w="80" w:type="dxa"/>
              <w:end w:w="120" w:type="dxa"/>
            </w:tcMar>
          </w:tcPr>
          <w:p>
            <w:pPr>
              <w:jc w:val="center"/>
            </w:pPr>
            <w:r>
              <w:rPr>
                <w:rFonts w:ascii="Calibri" w:hAnsi="Calibri"/>
              </w:rPr>
              <w:t>0.8384 tCO2e/MWh</w:t>
            </w:r>
          </w:p>
        </w:tc>
        <w:tc>
          <w:tcPr>
            <w:tcW w:type="dxa" w:w="2340"/>
            <w:vAlign w:val="center"/>
            <w:tcMar>
              <w:top w:w="80" w:type="dxa"/>
              <w:start w:w="120" w:type="dxa"/>
              <w:bottom w:w="80" w:type="dxa"/>
              <w:end w:w="120" w:type="dxa"/>
            </w:tcMar>
          </w:tcPr>
          <w:p>
            <w:pPr>
              <w:jc w:val="center"/>
            </w:pPr>
            <w:r>
              <w:rPr>
                <w:rFonts w:ascii="Calibri" w:hAnsi="Calibri"/>
              </w:rPr>
              <w:t>0.3800 tCO2e/MWh</w:t>
            </w:r>
          </w:p>
        </w:tc>
        <w:tc>
          <w:tcPr>
            <w:tcW w:type="dxa" w:w="2340"/>
            <w:vAlign w:val="center"/>
            <w:tcMar>
              <w:top w:w="80" w:type="dxa"/>
              <w:start w:w="120" w:type="dxa"/>
              <w:bottom w:w="80" w:type="dxa"/>
              <w:end w:w="120" w:type="dxa"/>
            </w:tcMar>
          </w:tcPr>
          <w:p>
            <w:pPr>
              <w:jc w:val="center"/>
            </w:pPr>
            <w:r>
              <w:rPr>
                <w:rFonts w:ascii="Calibri" w:hAnsi="Calibri"/>
              </w:rPr>
              <w:t>MOTIE average factors used in the updated app.</w:t>
            </w:r>
          </w:p>
        </w:tc>
      </w:tr>
    </w:tbl>
    <w:p>
      <w:pPr>
        <w:spacing w:before="80" w:after="80"/>
      </w:pPr>
      <w:r>
        <w:rPr>
          <w:rFonts w:ascii="Calibri" w:hAnsi="Calibri"/>
          <w:i/>
          <w:color w:val="5C5C5C"/>
          <w:sz w:val="18"/>
        </w:rPr>
        <w:t>Source: Heat rates are representative model assumptions; emissions factors are from MOTIE 11th Basic Plan preview text. [S8]</w:t>
      </w:r>
    </w:p>
    <w:p>
      <w:pPr>
        <w:pStyle w:val="Heading2"/>
      </w:pPr>
      <w:r>
        <w:t>Why Spot Price Is Not Enough</w:t>
      </w:r>
    </w:p>
    <w:p>
      <w:pPr>
        <w:keepLines w:val="0"/>
      </w:pPr>
      <w:r>
        <w:rPr>
          <w:rFonts w:ascii="Calibri" w:hAnsi="Calibri"/>
        </w:rPr>
        <w:t>The app separates spot fuel prices from recognized fuel prices. Spot coal and spot LNG represent what a commodity analyst sees in the market. Recognized prices represent the lagged, documented, and evaluated fuel-cost basis that better approximates how a cost-based pool reorders generation. A spot coal selloff may not immediately push coal deeper into the KPX stack if procurement costs, inventory accounting, fuel-cost submission cycles, and GCAC evaluation lag the move.</w:t>
      </w:r>
    </w:p>
    <w:p>
      <w:pPr>
        <w:keepLines w:val="0"/>
      </w:pPr>
      <w:r>
        <w:rPr>
          <w:rFonts w:ascii="Calibri" w:hAnsi="Calibri"/>
        </w:rPr>
        <w:t>This is especially important for Korea because most fuel is imported. Delivered cost includes not just commodity index price, but freight, quality adjustment, terminal and handling assumptions, taxes/levies, FX, contract terms, and accounting timing. The model therefore lets you test both an immediate spot world and a KPX-style recognized-cost world.</w:t>
      </w:r>
    </w:p>
    <w:p>
      <w:pPr>
        <w:pStyle w:val="Heading1"/>
      </w:pPr>
      <w:r>
        <w:t>Module 5 - LNG and Gas-Market Structure</w:t>
      </w:r>
    </w:p>
    <w:p>
      <w:pPr>
        <w:keepLines w:val="0"/>
      </w:pPr>
      <w:r>
        <w:rPr>
          <w:rFonts w:ascii="Calibri" w:hAnsi="Calibri"/>
        </w:rPr>
        <w:t>LNG in Korea is not a single transparent spot fuel input. The IEA explains that Korea's gas industry is divided into wholesale and retail sectors. KOGAS manages the wholesale sector; regional city gas companies handle retail supply. KOGAS holds a dominant position across LNG imports, distribution, and the wholesale market, while large power and industrial consumers may directly import LNG for their own consumption if they meet requirements. [S13]</w:t>
      </w:r>
    </w:p>
    <w:p>
      <w:pPr>
        <w:keepLines w:val="0"/>
      </w:pPr>
      <w:r>
        <w:rPr>
          <w:rFonts w:ascii="Calibri" w:hAnsi="Calibri"/>
        </w:rPr>
        <w:t>This matters for dispatch because a gas-fired plant's economics can differ by procurement route. A plant supplied under KOGAS tariffs, a private generator with direct LNG imports, and a CHP unit serving district heating can face different effective gas economics and operational obligations. The app simplifies this into three representative LNG blocks: high-efficiency CCGT, mid-merit CCGT, and CHP/peaking LNG.</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2088"/>
            <w:vAlign w:val="center"/>
            <w:shd w:fill="E8EEF5"/>
            <w:tcMar>
              <w:top w:w="80" w:type="dxa"/>
              <w:start w:w="120" w:type="dxa"/>
              <w:bottom w:w="80" w:type="dxa"/>
              <w:end w:w="120" w:type="dxa"/>
            </w:tcMar>
          </w:tcPr>
          <w:p>
            <w:pPr>
              <w:jc w:val="center"/>
            </w:pPr>
            <w:r>
              <w:rPr>
                <w:rFonts w:ascii="Calibri" w:hAnsi="Calibri"/>
                <w:b/>
                <w:color w:val="24231F"/>
              </w:rPr>
              <w:t>LNG channel</w:t>
            </w:r>
          </w:p>
        </w:tc>
        <w:tc>
          <w:tcPr>
            <w:tcW w:type="dxa" w:w="3240"/>
            <w:vAlign w:val="center"/>
            <w:shd w:fill="E8EEF5"/>
            <w:tcMar>
              <w:top w:w="80" w:type="dxa"/>
              <w:start w:w="120" w:type="dxa"/>
              <w:bottom w:w="80" w:type="dxa"/>
              <w:end w:w="120" w:type="dxa"/>
            </w:tcMar>
          </w:tcPr>
          <w:p>
            <w:pPr>
              <w:jc w:val="center"/>
            </w:pPr>
            <w:r>
              <w:rPr>
                <w:rFonts w:ascii="Calibri" w:hAnsi="Calibri"/>
                <w:b/>
                <w:color w:val="24231F"/>
              </w:rPr>
              <w:t>Market feature</w:t>
            </w:r>
          </w:p>
        </w:tc>
        <w:tc>
          <w:tcPr>
            <w:tcW w:type="dxa" w:w="4031"/>
            <w:vAlign w:val="center"/>
            <w:shd w:fill="E8EEF5"/>
            <w:tcMar>
              <w:top w:w="80" w:type="dxa"/>
              <w:start w:w="120" w:type="dxa"/>
              <w:bottom w:w="80" w:type="dxa"/>
              <w:end w:w="120" w:type="dxa"/>
            </w:tcMar>
          </w:tcPr>
          <w:p>
            <w:pPr>
              <w:jc w:val="center"/>
            </w:pPr>
            <w:r>
              <w:rPr>
                <w:rFonts w:ascii="Calibri" w:hAnsi="Calibri"/>
                <w:b/>
                <w:color w:val="24231F"/>
              </w:rPr>
              <w:t>Dispatch implication</w:t>
            </w:r>
          </w:p>
        </w:tc>
      </w:tr>
      <w:tr>
        <w:tc>
          <w:tcPr>
            <w:tcW w:type="dxa" w:w="3120"/>
            <w:vAlign w:val="center"/>
            <w:tcMar>
              <w:top w:w="80" w:type="dxa"/>
              <w:start w:w="120" w:type="dxa"/>
              <w:bottom w:w="80" w:type="dxa"/>
              <w:end w:w="120" w:type="dxa"/>
            </w:tcMar>
          </w:tcPr>
          <w:p>
            <w:pPr>
              <w:jc w:val="left"/>
            </w:pPr>
            <w:r>
              <w:rPr>
                <w:rFonts w:ascii="Calibri" w:hAnsi="Calibri"/>
              </w:rPr>
              <w:t>KOGAS wholesale supply</w:t>
            </w:r>
          </w:p>
        </w:tc>
        <w:tc>
          <w:tcPr>
            <w:tcW w:type="dxa" w:w="3120"/>
            <w:vAlign w:val="center"/>
            <w:tcMar>
              <w:top w:w="80" w:type="dxa"/>
              <w:start w:w="120" w:type="dxa"/>
              <w:bottom w:w="80" w:type="dxa"/>
              <w:end w:w="120" w:type="dxa"/>
            </w:tcMar>
          </w:tcPr>
          <w:p>
            <w:pPr>
              <w:jc w:val="center"/>
            </w:pPr>
            <w:r>
              <w:rPr>
                <w:rFonts w:ascii="Calibri" w:hAnsi="Calibri"/>
              </w:rPr>
              <w:t>Dominant national LNG importer and wholesale supplier.</w:t>
            </w:r>
          </w:p>
        </w:tc>
        <w:tc>
          <w:tcPr>
            <w:tcW w:type="dxa" w:w="3120"/>
            <w:vAlign w:val="center"/>
            <w:tcMar>
              <w:top w:w="80" w:type="dxa"/>
              <w:start w:w="120" w:type="dxa"/>
              <w:bottom w:w="80" w:type="dxa"/>
              <w:end w:w="120" w:type="dxa"/>
            </w:tcMar>
          </w:tcPr>
          <w:p>
            <w:pPr>
              <w:jc w:val="center"/>
            </w:pPr>
            <w:r>
              <w:rPr>
                <w:rFonts w:ascii="Calibri" w:hAnsi="Calibri"/>
              </w:rPr>
              <w:t>Cost may reflect portfolio procurement, storage, and tariff timing rather than spot JKM alone.</w:t>
            </w:r>
          </w:p>
        </w:tc>
      </w:tr>
      <w:tr>
        <w:tc>
          <w:tcPr>
            <w:tcW w:type="dxa" w:w="3120"/>
            <w:vAlign w:val="center"/>
            <w:tcMar>
              <w:top w:w="80" w:type="dxa"/>
              <w:start w:w="120" w:type="dxa"/>
              <w:bottom w:w="80" w:type="dxa"/>
              <w:end w:w="120" w:type="dxa"/>
            </w:tcMar>
          </w:tcPr>
          <w:p>
            <w:pPr>
              <w:jc w:val="left"/>
            </w:pPr>
            <w:r>
              <w:rPr>
                <w:rFonts w:ascii="Calibri" w:hAnsi="Calibri"/>
              </w:rPr>
              <w:t>Direct LNG import</w:t>
            </w:r>
          </w:p>
        </w:tc>
        <w:tc>
          <w:tcPr>
            <w:tcW w:type="dxa" w:w="3120"/>
            <w:vAlign w:val="center"/>
            <w:tcMar>
              <w:top w:w="80" w:type="dxa"/>
              <w:start w:w="120" w:type="dxa"/>
              <w:bottom w:w="80" w:type="dxa"/>
              <w:end w:w="120" w:type="dxa"/>
            </w:tcMar>
          </w:tcPr>
          <w:p>
            <w:pPr>
              <w:jc w:val="center"/>
            </w:pPr>
            <w:r>
              <w:rPr>
                <w:rFonts w:ascii="Calibri" w:hAnsi="Calibri"/>
              </w:rPr>
              <w:t>Large power/industrial users can import for own use but not resale.</w:t>
            </w:r>
          </w:p>
        </w:tc>
        <w:tc>
          <w:tcPr>
            <w:tcW w:type="dxa" w:w="3120"/>
            <w:vAlign w:val="center"/>
            <w:tcMar>
              <w:top w:w="80" w:type="dxa"/>
              <w:start w:w="120" w:type="dxa"/>
              <w:bottom w:w="80" w:type="dxa"/>
              <w:end w:w="120" w:type="dxa"/>
            </w:tcMar>
          </w:tcPr>
          <w:p>
            <w:pPr>
              <w:jc w:val="center"/>
            </w:pPr>
            <w:r>
              <w:rPr>
                <w:rFonts w:ascii="Calibri" w:hAnsi="Calibri"/>
              </w:rPr>
              <w:t>Some plants may have contract-specific fuel costs that differ from average KOGAS supply.</w:t>
            </w:r>
          </w:p>
        </w:tc>
      </w:tr>
      <w:tr>
        <w:tc>
          <w:tcPr>
            <w:tcW w:type="dxa" w:w="3120"/>
            <w:vAlign w:val="center"/>
            <w:tcMar>
              <w:top w:w="80" w:type="dxa"/>
              <w:start w:w="120" w:type="dxa"/>
              <w:bottom w:w="80" w:type="dxa"/>
              <w:end w:w="120" w:type="dxa"/>
            </w:tcMar>
          </w:tcPr>
          <w:p>
            <w:pPr>
              <w:jc w:val="left"/>
            </w:pPr>
            <w:r>
              <w:rPr>
                <w:rFonts w:ascii="Calibri" w:hAnsi="Calibri"/>
              </w:rPr>
              <w:t>City gas / winter demand</w:t>
            </w:r>
          </w:p>
        </w:tc>
        <w:tc>
          <w:tcPr>
            <w:tcW w:type="dxa" w:w="3120"/>
            <w:vAlign w:val="center"/>
            <w:tcMar>
              <w:top w:w="80" w:type="dxa"/>
              <w:start w:w="120" w:type="dxa"/>
              <w:bottom w:w="80" w:type="dxa"/>
              <w:end w:w="120" w:type="dxa"/>
            </w:tcMar>
          </w:tcPr>
          <w:p>
            <w:pPr>
              <w:jc w:val="center"/>
            </w:pPr>
            <w:r>
              <w:rPr>
                <w:rFonts w:ascii="Calibri" w:hAnsi="Calibri"/>
              </w:rPr>
              <w:t>Residential and commercial heating creates seasonal gas demand.</w:t>
            </w:r>
          </w:p>
        </w:tc>
        <w:tc>
          <w:tcPr>
            <w:tcW w:type="dxa" w:w="3120"/>
            <w:vAlign w:val="center"/>
            <w:tcMar>
              <w:top w:w="80" w:type="dxa"/>
              <w:start w:w="120" w:type="dxa"/>
              <w:bottom w:w="80" w:type="dxa"/>
              <w:end w:w="120" w:type="dxa"/>
            </w:tcMar>
          </w:tcPr>
          <w:p>
            <w:pPr>
              <w:jc w:val="center"/>
            </w:pPr>
            <w:r>
              <w:rPr>
                <w:rFonts w:ascii="Calibri" w:hAnsi="Calibri"/>
              </w:rPr>
              <w:t>Winter gas demand can raise scarcity concerns and complicate power-sector switching.</w:t>
            </w:r>
          </w:p>
        </w:tc>
      </w:tr>
      <w:tr>
        <w:tc>
          <w:tcPr>
            <w:tcW w:type="dxa" w:w="3120"/>
            <w:vAlign w:val="center"/>
            <w:tcMar>
              <w:top w:w="80" w:type="dxa"/>
              <w:start w:w="120" w:type="dxa"/>
              <w:bottom w:w="80" w:type="dxa"/>
              <w:end w:w="120" w:type="dxa"/>
            </w:tcMar>
          </w:tcPr>
          <w:p>
            <w:pPr>
              <w:jc w:val="left"/>
            </w:pPr>
            <w:r>
              <w:rPr>
                <w:rFonts w:ascii="Calibri" w:hAnsi="Calibri"/>
              </w:rPr>
              <w:t>CHP/district heating</w:t>
            </w:r>
          </w:p>
        </w:tc>
        <w:tc>
          <w:tcPr>
            <w:tcW w:type="dxa" w:w="3120"/>
            <w:vAlign w:val="center"/>
            <w:tcMar>
              <w:top w:w="80" w:type="dxa"/>
              <w:start w:w="120" w:type="dxa"/>
              <w:bottom w:w="80" w:type="dxa"/>
              <w:end w:w="120" w:type="dxa"/>
            </w:tcMar>
          </w:tcPr>
          <w:p>
            <w:pPr>
              <w:jc w:val="center"/>
            </w:pPr>
            <w:r>
              <w:rPr>
                <w:rFonts w:ascii="Calibri" w:hAnsi="Calibri"/>
              </w:rPr>
              <w:t>Some units serve heat load as well as electricity.</w:t>
            </w:r>
          </w:p>
        </w:tc>
        <w:tc>
          <w:tcPr>
            <w:tcW w:type="dxa" w:w="3120"/>
            <w:vAlign w:val="center"/>
            <w:tcMar>
              <w:top w:w="80" w:type="dxa"/>
              <w:start w:w="120" w:type="dxa"/>
              <w:bottom w:w="80" w:type="dxa"/>
              <w:end w:w="120" w:type="dxa"/>
            </w:tcMar>
          </w:tcPr>
          <w:p>
            <w:pPr>
              <w:jc w:val="center"/>
            </w:pPr>
            <w:r>
              <w:rPr>
                <w:rFonts w:ascii="Calibri" w:hAnsi="Calibri"/>
              </w:rPr>
              <w:t>Must-run heat obligations can keep gas units online even when pure power economics would differ.</w:t>
            </w:r>
          </w:p>
        </w:tc>
      </w:tr>
    </w:tbl>
    <w:p>
      <w:pPr>
        <w:spacing w:before="80" w:after="80"/>
      </w:pPr>
      <w:r>
        <w:rPr>
          <w:rFonts w:ascii="Calibri" w:hAnsi="Calibri"/>
          <w:i/>
          <w:color w:val="5C5C5C"/>
          <w:sz w:val="18"/>
        </w:rPr>
        <w:t>Source: IEA Natural Gas Supply Security in Korea. [S13]</w:t>
      </w:r>
    </w:p>
    <w:p>
      <w:pPr>
        <w:keepLines w:val="0"/>
      </w:pPr>
      <w:r>
        <w:rPr>
          <w:rFonts w:ascii="Calibri" w:hAnsi="Calibri"/>
        </w:rPr>
        <w:t>The IEA also notes that power-generation gas demand is sensitive to nuclear expansion, renewable growth, hydrogen co-firing, and relative pricing. In a Korean switching model, LNG is both the main flexible competitor to coal and a security-of-supply exposure to global LNG markets. [S13]</w:t>
      </w:r>
    </w:p>
    <w:p>
      <w:pPr>
        <w:pStyle w:val="Heading1"/>
      </w:pPr>
      <w:r>
        <w:t>Module 6 - Residual Load, Must-Run Supply, and Physical Constraints</w:t>
      </w:r>
    </w:p>
    <w:p>
      <w:pPr>
        <w:keepLines w:val="0"/>
      </w:pPr>
      <w:r>
        <w:rPr>
          <w:rFonts w:ascii="Calibri" w:hAnsi="Calibri"/>
        </w:rPr>
        <w:t>Dispatch is not simply a stack of every fuel from cheapest to most expensive. The schedule first has to serve net load: gross electricity demand minus non-dispatchable or must-take resources, plus operational requirements. Nuclear, renewables, CHP, pumped storage, reserve requirements, and grid constraints all shape the residual load that coal and LNG compete to serve.</w:t>
      </w:r>
    </w:p>
    <w:p>
      <w:pPr>
        <w:keepLines w:val="0"/>
      </w:pPr>
      <w:r>
        <w:rPr>
          <w:rFonts w:ascii="Calibri" w:hAnsi="Calibri"/>
        </w:rPr>
        <w:t>Nuclear is central in Korea. The IEA's 2025 executive summary states that 26 reactors with 26 GW of installed capacity provide about a third of electricity, and nuclear remains one pillar of Korea's long-term energy and climate strategy. [S14] In the model, reducing nuclear availability raises residual demand and usually increases the need for LNG after coal reaches its modeled cap or availability limit.</w:t>
      </w:r>
    </w:p>
    <w:p>
      <w:pPr>
        <w:keepLines w:val="0"/>
      </w:pPr>
      <w:r>
        <w:rPr>
          <w:rFonts w:ascii="Calibri" w:hAnsi="Calibri"/>
        </w:rPr>
        <w:t>Coal units have physical inflexibility. They have minimum stable output, slower start-up and ramping than gas turbines, minimum up/down constraints, and planned/forced outage schedules. The app approximates this with a coal minimum stable block plus flexible coal blocks. This is a simplification: a real unit-commitment model would track each unit's minimum output, ramp rate, start cost, and minimum up/down time.</w:t>
      </w:r>
    </w:p>
    <w:p>
      <w:pPr>
        <w:keepLines w:val="0"/>
      </w:pPr>
      <w:r>
        <w:rPr>
          <w:rFonts w:ascii="Calibri" w:hAnsi="Calibri"/>
        </w:rPr>
        <w:t>Renewables change the shape rather than only the level of demand. Solar lowers midday net load and can increase evening ramp requirements. The IEA's Korea Electricity Security Review emphasizes that higher variable renewable energy raises flexibility requirements and changes net-load ramps. [S7]</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2088"/>
            <w:vAlign w:val="center"/>
            <w:shd w:fill="E8EEF5"/>
            <w:tcMar>
              <w:top w:w="80" w:type="dxa"/>
              <w:start w:w="120" w:type="dxa"/>
              <w:bottom w:w="80" w:type="dxa"/>
              <w:end w:w="120" w:type="dxa"/>
            </w:tcMar>
          </w:tcPr>
          <w:p>
            <w:pPr>
              <w:jc w:val="center"/>
            </w:pPr>
            <w:r>
              <w:rPr>
                <w:rFonts w:ascii="Calibri" w:hAnsi="Calibri"/>
                <w:b/>
                <w:color w:val="24231F"/>
              </w:rPr>
              <w:t>Constraint</w:t>
            </w:r>
          </w:p>
        </w:tc>
        <w:tc>
          <w:tcPr>
            <w:tcW w:type="dxa" w:w="3671"/>
            <w:vAlign w:val="center"/>
            <w:shd w:fill="E8EEF5"/>
            <w:tcMar>
              <w:top w:w="80" w:type="dxa"/>
              <w:start w:w="120" w:type="dxa"/>
              <w:bottom w:w="80" w:type="dxa"/>
              <w:end w:w="120" w:type="dxa"/>
            </w:tcMar>
          </w:tcPr>
          <w:p>
            <w:pPr>
              <w:jc w:val="center"/>
            </w:pPr>
            <w:r>
              <w:rPr>
                <w:rFonts w:ascii="Calibri" w:hAnsi="Calibri"/>
                <w:b/>
                <w:color w:val="24231F"/>
              </w:rPr>
              <w:t>Real-world mechanism</w:t>
            </w:r>
          </w:p>
        </w:tc>
        <w:tc>
          <w:tcPr>
            <w:tcW w:type="dxa" w:w="3600"/>
            <w:vAlign w:val="center"/>
            <w:shd w:fill="E8EEF5"/>
            <w:tcMar>
              <w:top w:w="80" w:type="dxa"/>
              <w:start w:w="120" w:type="dxa"/>
              <w:bottom w:w="80" w:type="dxa"/>
              <w:end w:w="120" w:type="dxa"/>
            </w:tcMar>
          </w:tcPr>
          <w:p>
            <w:pPr>
              <w:jc w:val="center"/>
            </w:pPr>
            <w:r>
              <w:rPr>
                <w:rFonts w:ascii="Calibri" w:hAnsi="Calibri"/>
                <w:b/>
                <w:color w:val="24231F"/>
              </w:rPr>
              <w:t>App approximation</w:t>
            </w:r>
          </w:p>
        </w:tc>
      </w:tr>
      <w:tr>
        <w:tc>
          <w:tcPr>
            <w:tcW w:type="dxa" w:w="3120"/>
            <w:vAlign w:val="center"/>
            <w:tcMar>
              <w:top w:w="80" w:type="dxa"/>
              <w:start w:w="120" w:type="dxa"/>
              <w:bottom w:w="80" w:type="dxa"/>
              <w:end w:w="120" w:type="dxa"/>
            </w:tcMar>
          </w:tcPr>
          <w:p>
            <w:pPr>
              <w:jc w:val="left"/>
            </w:pPr>
            <w:r>
              <w:rPr>
                <w:rFonts w:ascii="Calibri" w:hAnsi="Calibri"/>
              </w:rPr>
              <w:t>Nuclear availability</w:t>
            </w:r>
          </w:p>
        </w:tc>
        <w:tc>
          <w:tcPr>
            <w:tcW w:type="dxa" w:w="3120"/>
            <w:vAlign w:val="center"/>
            <w:tcMar>
              <w:top w:w="80" w:type="dxa"/>
              <w:start w:w="120" w:type="dxa"/>
              <w:bottom w:w="80" w:type="dxa"/>
              <w:end w:w="120" w:type="dxa"/>
            </w:tcMar>
          </w:tcPr>
          <w:p>
            <w:pPr>
              <w:jc w:val="center"/>
            </w:pPr>
            <w:r>
              <w:rPr>
                <w:rFonts w:ascii="Calibri" w:hAnsi="Calibri"/>
              </w:rPr>
              <w:t>Planned/forced outages and utilization of low-variable-cost nuclear fleet.</w:t>
            </w:r>
          </w:p>
        </w:tc>
        <w:tc>
          <w:tcPr>
            <w:tcW w:type="dxa" w:w="3120"/>
            <w:vAlign w:val="center"/>
            <w:tcMar>
              <w:top w:w="80" w:type="dxa"/>
              <w:start w:w="120" w:type="dxa"/>
              <w:bottom w:w="80" w:type="dxa"/>
              <w:end w:w="120" w:type="dxa"/>
            </w:tcMar>
          </w:tcPr>
          <w:p>
            <w:pPr>
              <w:jc w:val="center"/>
            </w:pPr>
            <w:r>
              <w:rPr>
                <w:rFonts w:ascii="Calibri" w:hAnsi="Calibri"/>
              </w:rPr>
              <w:t>Nuclear availability percentage control.</w:t>
            </w:r>
          </w:p>
        </w:tc>
      </w:tr>
      <w:tr>
        <w:tc>
          <w:tcPr>
            <w:tcW w:type="dxa" w:w="3120"/>
            <w:vAlign w:val="center"/>
            <w:tcMar>
              <w:top w:w="80" w:type="dxa"/>
              <w:start w:w="120" w:type="dxa"/>
              <w:bottom w:w="80" w:type="dxa"/>
              <w:end w:w="120" w:type="dxa"/>
            </w:tcMar>
          </w:tcPr>
          <w:p>
            <w:pPr>
              <w:jc w:val="left"/>
            </w:pPr>
            <w:r>
              <w:rPr>
                <w:rFonts w:ascii="Calibri" w:hAnsi="Calibri"/>
              </w:rPr>
              <w:t>Renewable weather</w:t>
            </w:r>
          </w:p>
        </w:tc>
        <w:tc>
          <w:tcPr>
            <w:tcW w:type="dxa" w:w="3120"/>
            <w:vAlign w:val="center"/>
            <w:tcMar>
              <w:top w:w="80" w:type="dxa"/>
              <w:start w:w="120" w:type="dxa"/>
              <w:bottom w:w="80" w:type="dxa"/>
              <w:end w:w="120" w:type="dxa"/>
            </w:tcMar>
          </w:tcPr>
          <w:p>
            <w:pPr>
              <w:jc w:val="center"/>
            </w:pPr>
            <w:r>
              <w:rPr>
                <w:rFonts w:ascii="Calibri" w:hAnsi="Calibri"/>
              </w:rPr>
              <w:t>Solar/wind output profile, curtailment, and weather variation.</w:t>
            </w:r>
          </w:p>
        </w:tc>
        <w:tc>
          <w:tcPr>
            <w:tcW w:type="dxa" w:w="3120"/>
            <w:vAlign w:val="center"/>
            <w:tcMar>
              <w:top w:w="80" w:type="dxa"/>
              <w:start w:w="120" w:type="dxa"/>
              <w:bottom w:w="80" w:type="dxa"/>
              <w:end w:w="120" w:type="dxa"/>
            </w:tcMar>
          </w:tcPr>
          <w:p>
            <w:pPr>
              <w:jc w:val="center"/>
            </w:pPr>
            <w:r>
              <w:rPr>
                <w:rFonts w:ascii="Calibri" w:hAnsi="Calibri"/>
              </w:rPr>
              <w:t>Hourly renewable profile scaled by renewable weather control.</w:t>
            </w:r>
          </w:p>
        </w:tc>
      </w:tr>
      <w:tr>
        <w:tc>
          <w:tcPr>
            <w:tcW w:type="dxa" w:w="3120"/>
            <w:vAlign w:val="center"/>
            <w:tcMar>
              <w:top w:w="80" w:type="dxa"/>
              <w:start w:w="120" w:type="dxa"/>
              <w:bottom w:w="80" w:type="dxa"/>
              <w:end w:w="120" w:type="dxa"/>
            </w:tcMar>
          </w:tcPr>
          <w:p>
            <w:pPr>
              <w:jc w:val="left"/>
            </w:pPr>
            <w:r>
              <w:rPr>
                <w:rFonts w:ascii="Calibri" w:hAnsi="Calibri"/>
              </w:rPr>
              <w:t>Coal minimum load</w:t>
            </w:r>
          </w:p>
        </w:tc>
        <w:tc>
          <w:tcPr>
            <w:tcW w:type="dxa" w:w="3120"/>
            <w:vAlign w:val="center"/>
            <w:tcMar>
              <w:top w:w="80" w:type="dxa"/>
              <w:start w:w="120" w:type="dxa"/>
              <w:bottom w:w="80" w:type="dxa"/>
              <w:end w:w="120" w:type="dxa"/>
            </w:tcMar>
          </w:tcPr>
          <w:p>
            <w:pPr>
              <w:jc w:val="center"/>
            </w:pPr>
            <w:r>
              <w:rPr>
                <w:rFonts w:ascii="Calibri" w:hAnsi="Calibri"/>
              </w:rPr>
              <w:t>Coal units cannot be turned down to zero instantly.</w:t>
            </w:r>
          </w:p>
        </w:tc>
        <w:tc>
          <w:tcPr>
            <w:tcW w:type="dxa" w:w="3120"/>
            <w:vAlign w:val="center"/>
            <w:tcMar>
              <w:top w:w="80" w:type="dxa"/>
              <w:start w:w="120" w:type="dxa"/>
              <w:bottom w:w="80" w:type="dxa"/>
              <w:end w:w="120" w:type="dxa"/>
            </w:tcMar>
          </w:tcPr>
          <w:p>
            <w:pPr>
              <w:jc w:val="center"/>
            </w:pPr>
            <w:r>
              <w:rPr>
                <w:rFonts w:ascii="Calibri" w:hAnsi="Calibri"/>
              </w:rPr>
              <w:t>Mandatory coal minimum stable block.</w:t>
            </w:r>
          </w:p>
        </w:tc>
      </w:tr>
      <w:tr>
        <w:tc>
          <w:tcPr>
            <w:tcW w:type="dxa" w:w="3120"/>
            <w:vAlign w:val="center"/>
            <w:tcMar>
              <w:top w:w="80" w:type="dxa"/>
              <w:start w:w="120" w:type="dxa"/>
              <w:bottom w:w="80" w:type="dxa"/>
              <w:end w:w="120" w:type="dxa"/>
            </w:tcMar>
          </w:tcPr>
          <w:p>
            <w:pPr>
              <w:jc w:val="left"/>
            </w:pPr>
            <w:r>
              <w:rPr>
                <w:rFonts w:ascii="Calibri" w:hAnsi="Calibri"/>
              </w:rPr>
              <w:t>Coal cap / fine dust</w:t>
            </w:r>
          </w:p>
        </w:tc>
        <w:tc>
          <w:tcPr>
            <w:tcW w:type="dxa" w:w="3120"/>
            <w:vAlign w:val="center"/>
            <w:tcMar>
              <w:top w:w="80" w:type="dxa"/>
              <w:start w:w="120" w:type="dxa"/>
              <w:bottom w:w="80" w:type="dxa"/>
              <w:end w:w="120" w:type="dxa"/>
            </w:tcMar>
          </w:tcPr>
          <w:p>
            <w:pPr>
              <w:jc w:val="center"/>
            </w:pPr>
            <w:r>
              <w:rPr>
                <w:rFonts w:ascii="Calibri" w:hAnsi="Calibri"/>
              </w:rPr>
              <w:t>Policy and air-quality restrictions can limit coal operation.</w:t>
            </w:r>
          </w:p>
        </w:tc>
        <w:tc>
          <w:tcPr>
            <w:tcW w:type="dxa" w:w="3120"/>
            <w:vAlign w:val="center"/>
            <w:tcMar>
              <w:top w:w="80" w:type="dxa"/>
              <w:start w:w="120" w:type="dxa"/>
              <w:bottom w:w="80" w:type="dxa"/>
              <w:end w:w="120" w:type="dxa"/>
            </w:tcMar>
          </w:tcPr>
          <w:p>
            <w:pPr>
              <w:jc w:val="center"/>
            </w:pPr>
            <w:r>
              <w:rPr>
                <w:rFonts w:ascii="Calibri" w:hAnsi="Calibri"/>
              </w:rPr>
              <w:t>Coal availability cap and fine-dust toggle.</w:t>
            </w:r>
          </w:p>
        </w:tc>
      </w:tr>
      <w:tr>
        <w:tc>
          <w:tcPr>
            <w:tcW w:type="dxa" w:w="3120"/>
            <w:vAlign w:val="center"/>
            <w:tcMar>
              <w:top w:w="80" w:type="dxa"/>
              <w:start w:w="120" w:type="dxa"/>
              <w:bottom w:w="80" w:type="dxa"/>
              <w:end w:w="120" w:type="dxa"/>
            </w:tcMar>
          </w:tcPr>
          <w:p>
            <w:pPr>
              <w:jc w:val="left"/>
            </w:pPr>
            <w:r>
              <w:rPr>
                <w:rFonts w:ascii="Calibri" w:hAnsi="Calibri"/>
              </w:rPr>
              <w:t>Transmission constraints</w:t>
            </w:r>
          </w:p>
        </w:tc>
        <w:tc>
          <w:tcPr>
            <w:tcW w:type="dxa" w:w="3120"/>
            <w:vAlign w:val="center"/>
            <w:tcMar>
              <w:top w:w="80" w:type="dxa"/>
              <w:start w:w="120" w:type="dxa"/>
              <w:bottom w:w="80" w:type="dxa"/>
              <w:end w:w="120" w:type="dxa"/>
            </w:tcMar>
          </w:tcPr>
          <w:p>
            <w:pPr>
              <w:jc w:val="center"/>
            </w:pPr>
            <w:r>
              <w:rPr>
                <w:rFonts w:ascii="Calibri" w:hAnsi="Calibri"/>
              </w:rPr>
              <w:t>Local grid limits can force units on/off out of economic order.</w:t>
            </w:r>
          </w:p>
        </w:tc>
        <w:tc>
          <w:tcPr>
            <w:tcW w:type="dxa" w:w="3120"/>
            <w:vAlign w:val="center"/>
            <w:tcMar>
              <w:top w:w="80" w:type="dxa"/>
              <w:start w:w="120" w:type="dxa"/>
              <w:bottom w:w="80" w:type="dxa"/>
              <w:end w:w="120" w:type="dxa"/>
            </w:tcMar>
          </w:tcPr>
          <w:p>
            <w:pPr>
              <w:jc w:val="center"/>
            </w:pPr>
            <w:r>
              <w:rPr>
                <w:rFonts w:ascii="Calibri" w:hAnsi="Calibri"/>
              </w:rPr>
              <w:t>Transmission stress derates LNG availability and is discussed as a qualitative constraint.</w:t>
            </w:r>
          </w:p>
        </w:tc>
      </w:tr>
      <w:tr>
        <w:tc>
          <w:tcPr>
            <w:tcW w:type="dxa" w:w="3120"/>
            <w:vAlign w:val="center"/>
            <w:tcMar>
              <w:top w:w="80" w:type="dxa"/>
              <w:start w:w="120" w:type="dxa"/>
              <w:bottom w:w="80" w:type="dxa"/>
              <w:end w:w="120" w:type="dxa"/>
            </w:tcMar>
          </w:tcPr>
          <w:p>
            <w:pPr>
              <w:jc w:val="left"/>
            </w:pPr>
            <w:r>
              <w:rPr>
                <w:rFonts w:ascii="Calibri" w:hAnsi="Calibri"/>
              </w:rPr>
              <w:t>Reserve requirement</w:t>
            </w:r>
          </w:p>
        </w:tc>
        <w:tc>
          <w:tcPr>
            <w:tcW w:type="dxa" w:w="3120"/>
            <w:vAlign w:val="center"/>
            <w:tcMar>
              <w:top w:w="80" w:type="dxa"/>
              <w:start w:w="120" w:type="dxa"/>
              <w:bottom w:w="80" w:type="dxa"/>
              <w:end w:w="120" w:type="dxa"/>
            </w:tcMar>
          </w:tcPr>
          <w:p>
            <w:pPr>
              <w:jc w:val="center"/>
            </w:pPr>
            <w:r>
              <w:rPr>
                <w:rFonts w:ascii="Calibri" w:hAnsi="Calibri"/>
              </w:rPr>
              <w:t>System reliability requires capacity beyond current load.</w:t>
            </w:r>
          </w:p>
        </w:tc>
        <w:tc>
          <w:tcPr>
            <w:tcW w:type="dxa" w:w="3120"/>
            <w:vAlign w:val="center"/>
            <w:tcMar>
              <w:top w:w="80" w:type="dxa"/>
              <w:start w:w="120" w:type="dxa"/>
              <w:bottom w:w="80" w:type="dxa"/>
              <w:end w:w="120" w:type="dxa"/>
            </w:tcMar>
          </w:tcPr>
          <w:p>
            <w:pPr>
              <w:jc w:val="center"/>
            </w:pPr>
            <w:r>
              <w:rPr>
                <w:rFonts w:ascii="Calibri" w:hAnsi="Calibri"/>
              </w:rPr>
              <w:t>Reserve target and scarcity premium.</w:t>
            </w:r>
          </w:p>
        </w:tc>
      </w:tr>
    </w:tbl>
    <w:tbl>
      <w:tblPr>
        <w:tblStyle w:val="TableGrid"/>
        <w:tblW w:type="auto" w:w="0"/>
        <w:jc w:val="left"/>
        <w:tblLayout w:type="fixed"/>
        <w:tblLook w:firstColumn="1" w:firstRow="1" w:lastColumn="0" w:lastRow="0" w:noHBand="0" w:noVBand="1" w:val="04A0"/>
      </w:tblPr>
      <w:tblGrid>
        <w:gridCol w:w="9360"/>
      </w:tblGrid>
      <w:tr>
        <w:trPr>
          <w:tblHeader w:val="true"/>
        </w:trPr>
        <w:tc>
          <w:tcPr>
            <w:tcW w:type="dxa" w:w="9360"/>
            <w:shd w:fill="F4F6F9"/>
            <w:tcMar>
              <w:top w:w="120" w:type="dxa"/>
              <w:start w:w="160" w:type="dxa"/>
              <w:bottom w:w="120" w:type="dxa"/>
              <w:end w:w="160" w:type="dxa"/>
            </w:tcMar>
          </w:tcPr>
          <w:p>
            <w:r>
              <w:rPr>
                <w:rFonts w:ascii="Calibri" w:hAnsi="Calibri"/>
                <w:b/>
                <w:color w:val="1F4D78"/>
              </w:rPr>
              <w:t>Why LNG often sets SMP</w:t>
            </w:r>
          </w:p>
          <w:p>
            <w:pPr>
              <w:spacing w:after="0"/>
            </w:pPr>
            <w:r>
              <w:rPr>
                <w:rFonts w:ascii="Calibri" w:hAnsi="Calibri"/>
              </w:rPr>
              <w:t>LNG often sits near the margin because it is flexible and generally higher variable cost than nuclear and coal. KPX 2025 statistics show LNG set SMP in the large majority of counted intervals. That does not mean LNG supplied most generation; it means LNG often supplied the marginal increment. [S1]</w:t>
            </w:r>
          </w:p>
        </w:tc>
      </w:tr>
    </w:tbl>
    <w:p>
      <w:pPr>
        <w:pStyle w:val="Heading1"/>
      </w:pPr>
      <w:r>
        <w:t>Module 7 - Policy Overlays: Fine Dust, ETS, Carbon Recognition, and the 11th Basic Plan</w:t>
      </w:r>
    </w:p>
    <w:p>
      <w:pPr>
        <w:pStyle w:val="Heading2"/>
      </w:pPr>
      <w:r>
        <w:t>Fine-Dust Seasonal Management</w:t>
      </w:r>
    </w:p>
    <w:p>
      <w:pPr>
        <w:keepLines w:val="0"/>
      </w:pPr>
      <w:r>
        <w:rPr>
          <w:rFonts w:ascii="Calibri" w:hAnsi="Calibri"/>
        </w:rPr>
        <w:t>Korea's fine-dust policy can directly constrain coal operation. The Ministry of Climate, Energy and Environment explains that the Fine Dust Seasonal Management Plan implements stronger emission-reduction measures from December 1 to March 31, when fine-dust concentrations are typically higher. In the 5th plan, coal power measures included promoting shutdown of up to 15 units and output caps for up to 47 units at 80%. [S10]</w:t>
      </w:r>
    </w:p>
    <w:p>
      <w:pPr>
        <w:keepLines w:val="0"/>
      </w:pPr>
      <w:r>
        <w:rPr>
          <w:rFonts w:ascii="Calibri" w:hAnsi="Calibri"/>
        </w:rPr>
        <w:t>This is not a fuel-price switch. Coal can be backed down because air-quality policy says so, even if coal is cheaper than LNG. The app represents this with a fine-dust toggle and a coal availability cap.</w:t>
      </w:r>
    </w:p>
    <w:p>
      <w:pPr>
        <w:pStyle w:val="Heading2"/>
      </w:pPr>
      <w:r>
        <w:t>K-ETS and Carbon Recognition</w:t>
      </w:r>
    </w:p>
    <w:p>
      <w:pPr>
        <w:keepLines w:val="0"/>
      </w:pPr>
      <w:r>
        <w:rPr>
          <w:rFonts w:ascii="Calibri" w:hAnsi="Calibri"/>
        </w:rPr>
        <w:t>The Korea Emissions Trading System launched in 2015 and covers power, industry, buildings, waste, transport, domestic aviation, and maritime sectors. ICAP reports that K-ETS covered 813 large emitters for the 2025 compliance year and that Phase 4 runs from 2026 to 2030. For power generation, allowance auctioning is scheduled to rise from 15% in 2026 to 50% by 2030. [S11]</w:t>
      </w:r>
    </w:p>
    <w:p>
      <w:pPr>
        <w:keepLines w:val="0"/>
      </w:pPr>
      <w:r>
        <w:rPr>
          <w:rFonts w:ascii="Calibri" w:hAnsi="Calibri"/>
        </w:rPr>
        <w:t>Carbon pricing does not automatically behave the same way in every electricity market. The IEA's discussion of ETS in Korea's power sector highlights that Korea's cost-based wholesale market and regulated retail prices historically limited how carbon costs influenced dispatch and retail price signals. It describes the policy challenge of reflecting ETS carbon prices in the power generation plan through environmental dispatch or similar mechanisms. [S12]</w:t>
      </w:r>
    </w:p>
    <w:p>
      <w:pPr>
        <w:keepLines w:val="0"/>
      </w:pPr>
      <w:r>
        <w:rPr>
          <w:rFonts w:ascii="Calibri" w:hAnsi="Calibri"/>
        </w:rPr>
        <w:t>The updated model therefore separates carbon price from carbon recognition. Carbon price is the allowance value in KRW/tCO2e. Carbon recognition is the percentage of that price reflected in the modeled dispatch variable cost. A 100% recognition setting asks what happens when the full carbon value is in the stack; a 0% setting asks what the fuel stack looks like when carbon is not dispatch-relevant.</w:t>
      </w:r>
    </w:p>
    <w:p>
      <w:pPr>
        <w:spacing w:after="120"/>
        <w:ind w:left="360"/>
      </w:pPr>
      <w:r>
        <w:rPr>
          <w:rFonts w:ascii="Consolas" w:hAnsi="Consolas"/>
          <w:color w:val="282828"/>
          <w:sz w:val="20"/>
        </w:rPr>
        <w:t>carbon_cost_KRW_per_kWh = emissions_tCO2e_per_MWh * carbon_KRW_per_tCO2e * carbon_recognition_pct / 100 / 1000</w:t>
      </w:r>
    </w:p>
    <w:p>
      <w:pPr>
        <w:keepLines w:val="0"/>
      </w:pPr>
      <w:r>
        <w:rPr>
          <w:rFonts w:ascii="Calibri" w:hAnsi="Calibri"/>
        </w:rPr>
        <w:t>The model now uses MOTIE's Korea-specific power-sector average 2020-2022 emissions factors: coal 0.8384 tCO2e/MWh and LNG 0.3800 tCO2e/MWh. These are more appropriate than generic coal and gas factors for a Korea-focused teaching model. [S8]</w:t>
      </w:r>
    </w:p>
    <w:p>
      <w:pPr>
        <w:pStyle w:val="Heading2"/>
      </w:pPr>
      <w:r>
        <w:t>11th Basic Plan</w:t>
      </w:r>
    </w:p>
    <w:p>
      <w:pPr>
        <w:keepLines w:val="0"/>
      </w:pPr>
      <w:r>
        <w:rPr>
          <w:rFonts w:ascii="Calibri" w:hAnsi="Calibri"/>
        </w:rPr>
        <w:t>The 11th Basic Plan for Long-term Electricity Supply and Demand covers 2024-2038. KDI's policy release states that the plan responds to future electricity demand from advanced industries, data centers, and electrification while considering supply stability, efficiency, and carbon neutrality. It also confirms two new large nuclear units, one SMR, and efforts to add renewable capacity at an average of 7 GW per year through 2030. [S9]</w:t>
      </w:r>
    </w:p>
    <w:p>
      <w:pPr>
        <w:keepLines w:val="0"/>
      </w:pPr>
      <w:r>
        <w:rPr>
          <w:rFonts w:ascii="Calibri" w:hAnsi="Calibri"/>
        </w:rPr>
        <w:t>The plan matters for the model because it changes the long-run fleet and therefore the future cost stack. More nuclear and renewables reduce residual fossil generation in many hours; more storage and flexible resources change the ramping problem; coal retirements and conversions reduce coal's structural role; LNG can remain important as flexibility even if its annual energy declines.</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rPr>
          <w:tblHeader w:val="true"/>
        </w:trPr>
        <w:tc>
          <w:tcPr>
            <w:tcW w:type="dxa" w:w="2232"/>
            <w:vAlign w:val="center"/>
            <w:shd w:fill="E8EEF5"/>
            <w:tcMar>
              <w:top w:w="80" w:type="dxa"/>
              <w:start w:w="120" w:type="dxa"/>
              <w:bottom w:w="80" w:type="dxa"/>
              <w:end w:w="120" w:type="dxa"/>
            </w:tcMar>
          </w:tcPr>
          <w:p>
            <w:pPr>
              <w:jc w:val="center"/>
            </w:pPr>
            <w:r>
              <w:rPr>
                <w:rFonts w:ascii="Calibri" w:hAnsi="Calibri"/>
                <w:b/>
                <w:color w:val="24231F"/>
              </w:rPr>
              <w:t>Policy lever</w:t>
            </w:r>
          </w:p>
        </w:tc>
        <w:tc>
          <w:tcPr>
            <w:tcW w:type="dxa" w:w="2448"/>
            <w:vAlign w:val="center"/>
            <w:shd w:fill="E8EEF5"/>
            <w:tcMar>
              <w:top w:w="80" w:type="dxa"/>
              <w:start w:w="120" w:type="dxa"/>
              <w:bottom w:w="80" w:type="dxa"/>
              <w:end w:w="120" w:type="dxa"/>
            </w:tcMar>
          </w:tcPr>
          <w:p>
            <w:pPr>
              <w:jc w:val="center"/>
            </w:pPr>
            <w:r>
              <w:rPr>
                <w:rFonts w:ascii="Calibri" w:hAnsi="Calibri"/>
                <w:b/>
                <w:color w:val="24231F"/>
              </w:rPr>
              <w:t>Directional effect on coal burn</w:t>
            </w:r>
          </w:p>
        </w:tc>
        <w:tc>
          <w:tcPr>
            <w:tcW w:type="dxa" w:w="2448"/>
            <w:vAlign w:val="center"/>
            <w:shd w:fill="E8EEF5"/>
            <w:tcMar>
              <w:top w:w="80" w:type="dxa"/>
              <w:start w:w="120" w:type="dxa"/>
              <w:bottom w:w="80" w:type="dxa"/>
              <w:end w:w="120" w:type="dxa"/>
            </w:tcMar>
          </w:tcPr>
          <w:p>
            <w:pPr>
              <w:jc w:val="center"/>
            </w:pPr>
            <w:r>
              <w:rPr>
                <w:rFonts w:ascii="Calibri" w:hAnsi="Calibri"/>
                <w:b/>
                <w:color w:val="24231F"/>
              </w:rPr>
              <w:t>Directional effect on LNG burn</w:t>
            </w:r>
          </w:p>
        </w:tc>
        <w:tc>
          <w:tcPr>
            <w:tcW w:type="dxa" w:w="2232"/>
            <w:vAlign w:val="center"/>
            <w:shd w:fill="E8EEF5"/>
            <w:tcMar>
              <w:top w:w="80" w:type="dxa"/>
              <w:start w:w="120" w:type="dxa"/>
              <w:bottom w:w="80" w:type="dxa"/>
              <w:end w:w="120" w:type="dxa"/>
            </w:tcMar>
          </w:tcPr>
          <w:p>
            <w:pPr>
              <w:jc w:val="center"/>
            </w:pPr>
            <w:r>
              <w:rPr>
                <w:rFonts w:ascii="Calibri" w:hAnsi="Calibri"/>
                <w:b/>
                <w:color w:val="24231F"/>
              </w:rPr>
              <w:t>Model control</w:t>
            </w:r>
          </w:p>
        </w:tc>
      </w:tr>
      <w:tr>
        <w:tc>
          <w:tcPr>
            <w:tcW w:type="dxa" w:w="2340"/>
            <w:vAlign w:val="center"/>
            <w:tcMar>
              <w:top w:w="80" w:type="dxa"/>
              <w:start w:w="120" w:type="dxa"/>
              <w:bottom w:w="80" w:type="dxa"/>
              <w:end w:w="120" w:type="dxa"/>
            </w:tcMar>
          </w:tcPr>
          <w:p>
            <w:pPr>
              <w:jc w:val="left"/>
            </w:pPr>
            <w:r>
              <w:rPr>
                <w:rFonts w:ascii="Calibri" w:hAnsi="Calibri"/>
              </w:rPr>
              <w:t>Fine-dust coal cap</w:t>
            </w:r>
          </w:p>
        </w:tc>
        <w:tc>
          <w:tcPr>
            <w:tcW w:type="dxa" w:w="2340"/>
            <w:vAlign w:val="center"/>
            <w:tcMar>
              <w:top w:w="80" w:type="dxa"/>
              <w:start w:w="120" w:type="dxa"/>
              <w:bottom w:w="80" w:type="dxa"/>
              <w:end w:w="120" w:type="dxa"/>
            </w:tcMar>
          </w:tcPr>
          <w:p>
            <w:pPr>
              <w:jc w:val="center"/>
            </w:pPr>
            <w:r>
              <w:rPr>
                <w:rFonts w:ascii="Calibri" w:hAnsi="Calibri"/>
              </w:rPr>
              <w:t>Lower coal output regardless of fuel spread</w:t>
            </w:r>
          </w:p>
        </w:tc>
        <w:tc>
          <w:tcPr>
            <w:tcW w:type="dxa" w:w="2340"/>
            <w:vAlign w:val="center"/>
            <w:tcMar>
              <w:top w:w="80" w:type="dxa"/>
              <w:start w:w="120" w:type="dxa"/>
              <w:bottom w:w="80" w:type="dxa"/>
              <w:end w:w="120" w:type="dxa"/>
            </w:tcMar>
          </w:tcPr>
          <w:p>
            <w:pPr>
              <w:jc w:val="center"/>
            </w:pPr>
            <w:r>
              <w:rPr>
                <w:rFonts w:ascii="Calibri" w:hAnsi="Calibri"/>
              </w:rPr>
              <w:t>Often higher LNG if load must still be met</w:t>
            </w:r>
          </w:p>
        </w:tc>
        <w:tc>
          <w:tcPr>
            <w:tcW w:type="dxa" w:w="2340"/>
            <w:vAlign w:val="center"/>
            <w:tcMar>
              <w:top w:w="80" w:type="dxa"/>
              <w:start w:w="120" w:type="dxa"/>
              <w:bottom w:w="80" w:type="dxa"/>
              <w:end w:w="120" w:type="dxa"/>
            </w:tcMar>
          </w:tcPr>
          <w:p>
            <w:pPr>
              <w:jc w:val="center"/>
            </w:pPr>
            <w:r>
              <w:rPr>
                <w:rFonts w:ascii="Calibri" w:hAnsi="Calibri"/>
              </w:rPr>
              <w:t>Fine-dust toggle; coal cap</w:t>
            </w:r>
          </w:p>
        </w:tc>
      </w:tr>
      <w:tr>
        <w:tc>
          <w:tcPr>
            <w:tcW w:type="dxa" w:w="2340"/>
            <w:vAlign w:val="center"/>
            <w:tcMar>
              <w:top w:w="80" w:type="dxa"/>
              <w:start w:w="120" w:type="dxa"/>
              <w:bottom w:w="80" w:type="dxa"/>
              <w:end w:w="120" w:type="dxa"/>
            </w:tcMar>
          </w:tcPr>
          <w:p>
            <w:pPr>
              <w:jc w:val="left"/>
            </w:pPr>
            <w:r>
              <w:rPr>
                <w:rFonts w:ascii="Calibri" w:hAnsi="Calibri"/>
              </w:rPr>
              <w:t>Carbon recognition</w:t>
            </w:r>
          </w:p>
        </w:tc>
        <w:tc>
          <w:tcPr>
            <w:tcW w:type="dxa" w:w="2340"/>
            <w:vAlign w:val="center"/>
            <w:tcMar>
              <w:top w:w="80" w:type="dxa"/>
              <w:start w:w="120" w:type="dxa"/>
              <w:bottom w:w="80" w:type="dxa"/>
              <w:end w:w="120" w:type="dxa"/>
            </w:tcMar>
          </w:tcPr>
          <w:p>
            <w:pPr>
              <w:jc w:val="center"/>
            </w:pPr>
            <w:r>
              <w:rPr>
                <w:rFonts w:ascii="Calibri" w:hAnsi="Calibri"/>
              </w:rPr>
              <w:t>Raises coal cost more than LNG because coal has higher CO2 intensity</w:t>
            </w:r>
          </w:p>
        </w:tc>
        <w:tc>
          <w:tcPr>
            <w:tcW w:type="dxa" w:w="2340"/>
            <w:vAlign w:val="center"/>
            <w:tcMar>
              <w:top w:w="80" w:type="dxa"/>
              <w:start w:w="120" w:type="dxa"/>
              <w:bottom w:w="80" w:type="dxa"/>
              <w:end w:w="120" w:type="dxa"/>
            </w:tcMar>
          </w:tcPr>
          <w:p>
            <w:pPr>
              <w:jc w:val="center"/>
            </w:pPr>
            <w:r>
              <w:rPr>
                <w:rFonts w:ascii="Calibri" w:hAnsi="Calibri"/>
              </w:rPr>
              <w:t>Can improve LNG relative position</w:t>
            </w:r>
          </w:p>
        </w:tc>
        <w:tc>
          <w:tcPr>
            <w:tcW w:type="dxa" w:w="2340"/>
            <w:vAlign w:val="center"/>
            <w:tcMar>
              <w:top w:w="80" w:type="dxa"/>
              <w:start w:w="120" w:type="dxa"/>
              <w:bottom w:w="80" w:type="dxa"/>
              <w:end w:w="120" w:type="dxa"/>
            </w:tcMar>
          </w:tcPr>
          <w:p>
            <w:pPr>
              <w:jc w:val="center"/>
            </w:pPr>
            <w:r>
              <w:rPr>
                <w:rFonts w:ascii="Calibri" w:hAnsi="Calibri"/>
              </w:rPr>
              <w:t>Carbon cost; carbon recognition</w:t>
            </w:r>
          </w:p>
        </w:tc>
      </w:tr>
      <w:tr>
        <w:tc>
          <w:tcPr>
            <w:tcW w:type="dxa" w:w="2340"/>
            <w:vAlign w:val="center"/>
            <w:tcMar>
              <w:top w:w="80" w:type="dxa"/>
              <w:start w:w="120" w:type="dxa"/>
              <w:bottom w:w="80" w:type="dxa"/>
              <w:end w:w="120" w:type="dxa"/>
            </w:tcMar>
          </w:tcPr>
          <w:p>
            <w:pPr>
              <w:jc w:val="left"/>
            </w:pPr>
            <w:r>
              <w:rPr>
                <w:rFonts w:ascii="Calibri" w:hAnsi="Calibri"/>
              </w:rPr>
              <w:t>Nuclear availability</w:t>
            </w:r>
          </w:p>
        </w:tc>
        <w:tc>
          <w:tcPr>
            <w:tcW w:type="dxa" w:w="2340"/>
            <w:vAlign w:val="center"/>
            <w:tcMar>
              <w:top w:w="80" w:type="dxa"/>
              <w:start w:w="120" w:type="dxa"/>
              <w:bottom w:w="80" w:type="dxa"/>
              <w:end w:w="120" w:type="dxa"/>
            </w:tcMar>
          </w:tcPr>
          <w:p>
            <w:pPr>
              <w:jc w:val="center"/>
            </w:pPr>
            <w:r>
              <w:rPr>
                <w:rFonts w:ascii="Calibri" w:hAnsi="Calibri"/>
              </w:rPr>
              <w:t>High nuclear suppresses fossil residual demand</w:t>
            </w:r>
          </w:p>
        </w:tc>
        <w:tc>
          <w:tcPr>
            <w:tcW w:type="dxa" w:w="2340"/>
            <w:vAlign w:val="center"/>
            <w:tcMar>
              <w:top w:w="80" w:type="dxa"/>
              <w:start w:w="120" w:type="dxa"/>
              <w:bottom w:w="80" w:type="dxa"/>
              <w:end w:w="120" w:type="dxa"/>
            </w:tcMar>
          </w:tcPr>
          <w:p>
            <w:pPr>
              <w:jc w:val="center"/>
            </w:pPr>
            <w:r>
              <w:rPr>
                <w:rFonts w:ascii="Calibri" w:hAnsi="Calibri"/>
              </w:rPr>
              <w:t>Low nuclear raises fossil residual demand</w:t>
            </w:r>
          </w:p>
        </w:tc>
        <w:tc>
          <w:tcPr>
            <w:tcW w:type="dxa" w:w="2340"/>
            <w:vAlign w:val="center"/>
            <w:tcMar>
              <w:top w:w="80" w:type="dxa"/>
              <w:start w:w="120" w:type="dxa"/>
              <w:bottom w:w="80" w:type="dxa"/>
              <w:end w:w="120" w:type="dxa"/>
            </w:tcMar>
          </w:tcPr>
          <w:p>
            <w:pPr>
              <w:jc w:val="center"/>
            </w:pPr>
            <w:r>
              <w:rPr>
                <w:rFonts w:ascii="Calibri" w:hAnsi="Calibri"/>
              </w:rPr>
              <w:t>Nuclear availability</w:t>
            </w:r>
          </w:p>
        </w:tc>
      </w:tr>
      <w:tr>
        <w:tc>
          <w:tcPr>
            <w:tcW w:type="dxa" w:w="2340"/>
            <w:vAlign w:val="center"/>
            <w:tcMar>
              <w:top w:w="80" w:type="dxa"/>
              <w:start w:w="120" w:type="dxa"/>
              <w:bottom w:w="80" w:type="dxa"/>
              <w:end w:w="120" w:type="dxa"/>
            </w:tcMar>
          </w:tcPr>
          <w:p>
            <w:pPr>
              <w:jc w:val="left"/>
            </w:pPr>
            <w:r>
              <w:rPr>
                <w:rFonts w:ascii="Calibri" w:hAnsi="Calibri"/>
              </w:rPr>
              <w:t>Renewables</w:t>
            </w:r>
          </w:p>
        </w:tc>
        <w:tc>
          <w:tcPr>
            <w:tcW w:type="dxa" w:w="2340"/>
            <w:vAlign w:val="center"/>
            <w:tcMar>
              <w:top w:w="80" w:type="dxa"/>
              <w:start w:w="120" w:type="dxa"/>
              <w:bottom w:w="80" w:type="dxa"/>
              <w:end w:w="120" w:type="dxa"/>
            </w:tcMar>
          </w:tcPr>
          <w:p>
            <w:pPr>
              <w:jc w:val="center"/>
            </w:pPr>
            <w:r>
              <w:rPr>
                <w:rFonts w:ascii="Calibri" w:hAnsi="Calibri"/>
              </w:rPr>
              <w:t>Midday solar can displace coal if coal can turn down</w:t>
            </w:r>
          </w:p>
        </w:tc>
        <w:tc>
          <w:tcPr>
            <w:tcW w:type="dxa" w:w="2340"/>
            <w:vAlign w:val="center"/>
            <w:tcMar>
              <w:top w:w="80" w:type="dxa"/>
              <w:start w:w="120" w:type="dxa"/>
              <w:bottom w:w="80" w:type="dxa"/>
              <w:end w:w="120" w:type="dxa"/>
            </w:tcMar>
          </w:tcPr>
          <w:p>
            <w:pPr>
              <w:jc w:val="center"/>
            </w:pPr>
            <w:r>
              <w:rPr>
                <w:rFonts w:ascii="Calibri" w:hAnsi="Calibri"/>
              </w:rPr>
              <w:t>Raises need for flexible ramping in some hours</w:t>
            </w:r>
          </w:p>
        </w:tc>
        <w:tc>
          <w:tcPr>
            <w:tcW w:type="dxa" w:w="2340"/>
            <w:vAlign w:val="center"/>
            <w:tcMar>
              <w:top w:w="80" w:type="dxa"/>
              <w:start w:w="120" w:type="dxa"/>
              <w:bottom w:w="80" w:type="dxa"/>
              <w:end w:w="120" w:type="dxa"/>
            </w:tcMar>
          </w:tcPr>
          <w:p>
            <w:pPr>
              <w:jc w:val="center"/>
            </w:pPr>
            <w:r>
              <w:rPr>
                <w:rFonts w:ascii="Calibri" w:hAnsi="Calibri"/>
              </w:rPr>
              <w:t>Renewable weather; hour</w:t>
            </w:r>
          </w:p>
        </w:tc>
      </w:tr>
      <w:tr>
        <w:tc>
          <w:tcPr>
            <w:tcW w:type="dxa" w:w="2340"/>
            <w:vAlign w:val="center"/>
            <w:tcMar>
              <w:top w:w="80" w:type="dxa"/>
              <w:start w:w="120" w:type="dxa"/>
              <w:bottom w:w="80" w:type="dxa"/>
              <w:end w:w="120" w:type="dxa"/>
            </w:tcMar>
          </w:tcPr>
          <w:p>
            <w:pPr>
              <w:jc w:val="left"/>
            </w:pPr>
            <w:r>
              <w:rPr>
                <w:rFonts w:ascii="Calibri" w:hAnsi="Calibri"/>
              </w:rPr>
              <w:t>Coal retirements/conversions</w:t>
            </w:r>
          </w:p>
        </w:tc>
        <w:tc>
          <w:tcPr>
            <w:tcW w:type="dxa" w:w="2340"/>
            <w:vAlign w:val="center"/>
            <w:tcMar>
              <w:top w:w="80" w:type="dxa"/>
              <w:start w:w="120" w:type="dxa"/>
              <w:bottom w:w="80" w:type="dxa"/>
              <w:end w:w="120" w:type="dxa"/>
            </w:tcMar>
          </w:tcPr>
          <w:p>
            <w:pPr>
              <w:jc w:val="center"/>
            </w:pPr>
            <w:r>
              <w:rPr>
                <w:rFonts w:ascii="Calibri" w:hAnsi="Calibri"/>
              </w:rPr>
              <w:t>Lower structural coal capacity</w:t>
            </w:r>
          </w:p>
        </w:tc>
        <w:tc>
          <w:tcPr>
            <w:tcW w:type="dxa" w:w="2340"/>
            <w:vAlign w:val="center"/>
            <w:tcMar>
              <w:top w:w="80" w:type="dxa"/>
              <w:start w:w="120" w:type="dxa"/>
              <w:bottom w:w="80" w:type="dxa"/>
              <w:end w:w="120" w:type="dxa"/>
            </w:tcMar>
          </w:tcPr>
          <w:p>
            <w:pPr>
              <w:jc w:val="center"/>
            </w:pPr>
            <w:r>
              <w:rPr>
                <w:rFonts w:ascii="Calibri" w:hAnsi="Calibri"/>
              </w:rPr>
              <w:t>May raise LNG flexibility role unless alternatives scale</w:t>
            </w:r>
          </w:p>
        </w:tc>
        <w:tc>
          <w:tcPr>
            <w:tcW w:type="dxa" w:w="2340"/>
            <w:vAlign w:val="center"/>
            <w:tcMar>
              <w:top w:w="80" w:type="dxa"/>
              <w:start w:w="120" w:type="dxa"/>
              <w:bottom w:w="80" w:type="dxa"/>
              <w:end w:w="120" w:type="dxa"/>
            </w:tcMar>
          </w:tcPr>
          <w:p>
            <w:pPr>
              <w:jc w:val="center"/>
            </w:pPr>
            <w:r>
              <w:rPr>
                <w:rFonts w:ascii="Calibri" w:hAnsi="Calibri"/>
              </w:rPr>
              <w:t>Coal availability cap</w:t>
            </w:r>
          </w:p>
        </w:tc>
      </w:tr>
    </w:tbl>
    <w:p>
      <w:pPr>
        <w:pStyle w:val="Heading1"/>
      </w:pPr>
      <w:r>
        <w:t>Module 8 - Walking Through the KPX Cost Stack Lab</w:t>
      </w:r>
    </w:p>
    <w:p>
      <w:pPr>
        <w:keepLines w:val="0"/>
      </w:pPr>
      <w:r>
        <w:rPr>
          <w:rFonts w:ascii="Calibri" w:hAnsi="Calibri"/>
        </w:rPr>
        <w:t>The app is a one-hour dispatch simulator. It is not a forecast engine. It asks a controlled question: given this load, fuel-cost assumption, carbon treatment, availability, and policy state, which representative generation blocks would serve demand and which block would be marginal?</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2088"/>
            <w:vAlign w:val="center"/>
            <w:shd w:fill="E8EEF5"/>
            <w:tcMar>
              <w:top w:w="80" w:type="dxa"/>
              <w:start w:w="120" w:type="dxa"/>
              <w:bottom w:w="80" w:type="dxa"/>
              <w:end w:w="120" w:type="dxa"/>
            </w:tcMar>
          </w:tcPr>
          <w:p>
            <w:pPr>
              <w:jc w:val="center"/>
            </w:pPr>
            <w:r>
              <w:rPr>
                <w:rFonts w:ascii="Calibri" w:hAnsi="Calibri"/>
                <w:b/>
                <w:color w:val="24231F"/>
              </w:rPr>
              <w:t>Control</w:t>
            </w:r>
          </w:p>
        </w:tc>
        <w:tc>
          <w:tcPr>
            <w:tcW w:type="dxa" w:w="3384"/>
            <w:vAlign w:val="center"/>
            <w:shd w:fill="E8EEF5"/>
            <w:tcMar>
              <w:top w:w="80" w:type="dxa"/>
              <w:start w:w="120" w:type="dxa"/>
              <w:bottom w:w="80" w:type="dxa"/>
              <w:end w:w="120" w:type="dxa"/>
            </w:tcMar>
          </w:tcPr>
          <w:p>
            <w:pPr>
              <w:jc w:val="center"/>
            </w:pPr>
            <w:r>
              <w:rPr>
                <w:rFonts w:ascii="Calibri" w:hAnsi="Calibri"/>
                <w:b/>
                <w:color w:val="24231F"/>
              </w:rPr>
              <w:t>Meaning</w:t>
            </w:r>
          </w:p>
        </w:tc>
        <w:tc>
          <w:tcPr>
            <w:tcW w:type="dxa" w:w="3888"/>
            <w:vAlign w:val="center"/>
            <w:shd w:fill="E8EEF5"/>
            <w:tcMar>
              <w:top w:w="80" w:type="dxa"/>
              <w:start w:w="120" w:type="dxa"/>
              <w:bottom w:w="80" w:type="dxa"/>
              <w:end w:w="120" w:type="dxa"/>
            </w:tcMar>
          </w:tcPr>
          <w:p>
            <w:pPr>
              <w:jc w:val="center"/>
            </w:pPr>
            <w:r>
              <w:rPr>
                <w:rFonts w:ascii="Calibri" w:hAnsi="Calibri"/>
                <w:b/>
                <w:color w:val="24231F"/>
              </w:rPr>
              <w:t>Common interpretation mistake</w:t>
            </w:r>
          </w:p>
        </w:tc>
      </w:tr>
      <w:tr>
        <w:tc>
          <w:tcPr>
            <w:tcW w:type="dxa" w:w="3120"/>
            <w:vAlign w:val="center"/>
            <w:tcMar>
              <w:top w:w="80" w:type="dxa"/>
              <w:start w:w="120" w:type="dxa"/>
              <w:bottom w:w="80" w:type="dxa"/>
              <w:end w:w="120" w:type="dxa"/>
            </w:tcMar>
          </w:tcPr>
          <w:p>
            <w:pPr>
              <w:jc w:val="left"/>
            </w:pPr>
            <w:r>
              <w:rPr>
                <w:rFonts w:ascii="Calibri" w:hAnsi="Calibri"/>
              </w:rPr>
              <w:t>Hour</w:t>
            </w:r>
          </w:p>
        </w:tc>
        <w:tc>
          <w:tcPr>
            <w:tcW w:type="dxa" w:w="3120"/>
            <w:vAlign w:val="center"/>
            <w:tcMar>
              <w:top w:w="80" w:type="dxa"/>
              <w:start w:w="120" w:type="dxa"/>
              <w:bottom w:w="80" w:type="dxa"/>
              <w:end w:w="120" w:type="dxa"/>
            </w:tcMar>
          </w:tcPr>
          <w:p>
            <w:pPr>
              <w:jc w:val="center"/>
            </w:pPr>
            <w:r>
              <w:rPr>
                <w:rFonts w:ascii="Calibri" w:hAnsi="Calibri"/>
              </w:rPr>
              <w:t>Selects hourly SMP comparison and renewable profile.</w:t>
            </w:r>
          </w:p>
        </w:tc>
        <w:tc>
          <w:tcPr>
            <w:tcW w:type="dxa" w:w="3120"/>
            <w:vAlign w:val="center"/>
            <w:tcMar>
              <w:top w:w="80" w:type="dxa"/>
              <w:start w:w="120" w:type="dxa"/>
              <w:bottom w:w="80" w:type="dxa"/>
              <w:end w:w="120" w:type="dxa"/>
            </w:tcMar>
          </w:tcPr>
          <w:p>
            <w:pPr>
              <w:jc w:val="center"/>
            </w:pPr>
            <w:r>
              <w:rPr>
                <w:rFonts w:ascii="Calibri" w:hAnsi="Calibri"/>
              </w:rPr>
              <w:t>Assuming all hours have the same renewable and marginal-fuel behavior.</w:t>
            </w:r>
          </w:p>
        </w:tc>
      </w:tr>
      <w:tr>
        <w:tc>
          <w:tcPr>
            <w:tcW w:type="dxa" w:w="3120"/>
            <w:vAlign w:val="center"/>
            <w:tcMar>
              <w:top w:w="80" w:type="dxa"/>
              <w:start w:w="120" w:type="dxa"/>
              <w:bottom w:w="80" w:type="dxa"/>
              <w:end w:w="120" w:type="dxa"/>
            </w:tcMar>
          </w:tcPr>
          <w:p>
            <w:pPr>
              <w:jc w:val="left"/>
            </w:pPr>
            <w:r>
              <w:rPr>
                <w:rFonts w:ascii="Calibri" w:hAnsi="Calibri"/>
              </w:rPr>
              <w:t>Load</w:t>
            </w:r>
          </w:p>
        </w:tc>
        <w:tc>
          <w:tcPr>
            <w:tcW w:type="dxa" w:w="3120"/>
            <w:vAlign w:val="center"/>
            <w:tcMar>
              <w:top w:w="80" w:type="dxa"/>
              <w:start w:w="120" w:type="dxa"/>
              <w:bottom w:w="80" w:type="dxa"/>
              <w:end w:w="120" w:type="dxa"/>
            </w:tcMar>
          </w:tcPr>
          <w:p>
            <w:pPr>
              <w:jc w:val="center"/>
            </w:pPr>
            <w:r>
              <w:rPr>
                <w:rFonts w:ascii="Calibri" w:hAnsi="Calibri"/>
              </w:rPr>
              <w:t>Gross system load for the modeled hour.</w:t>
            </w:r>
          </w:p>
        </w:tc>
        <w:tc>
          <w:tcPr>
            <w:tcW w:type="dxa" w:w="3120"/>
            <w:vAlign w:val="center"/>
            <w:tcMar>
              <w:top w:w="80" w:type="dxa"/>
              <w:start w:w="120" w:type="dxa"/>
              <w:bottom w:w="80" w:type="dxa"/>
              <w:end w:w="120" w:type="dxa"/>
            </w:tcMar>
          </w:tcPr>
          <w:p>
            <w:pPr>
              <w:jc w:val="center"/>
            </w:pPr>
            <w:r>
              <w:rPr>
                <w:rFonts w:ascii="Calibri" w:hAnsi="Calibri"/>
              </w:rPr>
              <w:t>Ignoring that residual load after nuclear/renewables is what coal and LNG compete for.</w:t>
            </w:r>
          </w:p>
        </w:tc>
      </w:tr>
      <w:tr>
        <w:tc>
          <w:tcPr>
            <w:tcW w:type="dxa" w:w="3120"/>
            <w:vAlign w:val="center"/>
            <w:tcMar>
              <w:top w:w="80" w:type="dxa"/>
              <w:start w:w="120" w:type="dxa"/>
              <w:bottom w:w="80" w:type="dxa"/>
              <w:end w:w="120" w:type="dxa"/>
            </w:tcMar>
          </w:tcPr>
          <w:p>
            <w:pPr>
              <w:jc w:val="left"/>
            </w:pPr>
            <w:r>
              <w:rPr>
                <w:rFonts w:ascii="Calibri" w:hAnsi="Calibri"/>
              </w:rPr>
              <w:t>Recognized Coal / LNG</w:t>
            </w:r>
          </w:p>
        </w:tc>
        <w:tc>
          <w:tcPr>
            <w:tcW w:type="dxa" w:w="3120"/>
            <w:vAlign w:val="center"/>
            <w:tcMar>
              <w:top w:w="80" w:type="dxa"/>
              <w:start w:w="120" w:type="dxa"/>
              <w:bottom w:w="80" w:type="dxa"/>
              <w:end w:w="120" w:type="dxa"/>
            </w:tcMar>
          </w:tcPr>
          <w:p>
            <w:pPr>
              <w:jc w:val="center"/>
            </w:pPr>
            <w:r>
              <w:rPr>
                <w:rFonts w:ascii="Calibri" w:hAnsi="Calibri"/>
              </w:rPr>
              <w:t>KPX-style lagged fuel-cost input.</w:t>
            </w:r>
          </w:p>
        </w:tc>
        <w:tc>
          <w:tcPr>
            <w:tcW w:type="dxa" w:w="3120"/>
            <w:vAlign w:val="center"/>
            <w:tcMar>
              <w:top w:w="80" w:type="dxa"/>
              <w:start w:w="120" w:type="dxa"/>
              <w:bottom w:w="80" w:type="dxa"/>
              <w:end w:w="120" w:type="dxa"/>
            </w:tcMar>
          </w:tcPr>
          <w:p>
            <w:pPr>
              <w:jc w:val="center"/>
            </w:pPr>
            <w:r>
              <w:rPr>
                <w:rFonts w:ascii="Calibri" w:hAnsi="Calibri"/>
              </w:rPr>
              <w:t>Treating it as a live market quote.</w:t>
            </w:r>
          </w:p>
        </w:tc>
      </w:tr>
      <w:tr>
        <w:tc>
          <w:tcPr>
            <w:tcW w:type="dxa" w:w="3120"/>
            <w:vAlign w:val="center"/>
            <w:tcMar>
              <w:top w:w="80" w:type="dxa"/>
              <w:start w:w="120" w:type="dxa"/>
              <w:bottom w:w="80" w:type="dxa"/>
              <w:end w:w="120" w:type="dxa"/>
            </w:tcMar>
          </w:tcPr>
          <w:p>
            <w:pPr>
              <w:jc w:val="left"/>
            </w:pPr>
            <w:r>
              <w:rPr>
                <w:rFonts w:ascii="Calibri" w:hAnsi="Calibri"/>
              </w:rPr>
              <w:t>Spot Coal / LNG</w:t>
            </w:r>
          </w:p>
        </w:tc>
        <w:tc>
          <w:tcPr>
            <w:tcW w:type="dxa" w:w="3120"/>
            <w:vAlign w:val="center"/>
            <w:tcMar>
              <w:top w:w="80" w:type="dxa"/>
              <w:start w:w="120" w:type="dxa"/>
              <w:bottom w:w="80" w:type="dxa"/>
              <w:end w:w="120" w:type="dxa"/>
            </w:tcMar>
          </w:tcPr>
          <w:p>
            <w:pPr>
              <w:jc w:val="center"/>
            </w:pPr>
            <w:r>
              <w:rPr>
                <w:rFonts w:ascii="Calibri" w:hAnsi="Calibri"/>
              </w:rPr>
              <w:t>Immediate market-price counterfactual.</w:t>
            </w:r>
          </w:p>
        </w:tc>
        <w:tc>
          <w:tcPr>
            <w:tcW w:type="dxa" w:w="3120"/>
            <w:vAlign w:val="center"/>
            <w:tcMar>
              <w:top w:w="80" w:type="dxa"/>
              <w:start w:w="120" w:type="dxa"/>
              <w:bottom w:w="80" w:type="dxa"/>
              <w:end w:w="120" w:type="dxa"/>
            </w:tcMar>
          </w:tcPr>
          <w:p>
            <w:pPr>
              <w:jc w:val="center"/>
            </w:pPr>
            <w:r>
              <w:rPr>
                <w:rFonts w:ascii="Calibri" w:hAnsi="Calibri"/>
              </w:rPr>
              <w:t>Assuming spot instantly changes dispatch under a cost-based pool.</w:t>
            </w:r>
          </w:p>
        </w:tc>
      </w:tr>
      <w:tr>
        <w:tc>
          <w:tcPr>
            <w:tcW w:type="dxa" w:w="3120"/>
            <w:vAlign w:val="center"/>
            <w:tcMar>
              <w:top w:w="80" w:type="dxa"/>
              <w:start w:w="120" w:type="dxa"/>
              <w:bottom w:w="80" w:type="dxa"/>
              <w:end w:w="120" w:type="dxa"/>
            </w:tcMar>
          </w:tcPr>
          <w:p>
            <w:pPr>
              <w:jc w:val="left"/>
            </w:pPr>
            <w:r>
              <w:rPr>
                <w:rFonts w:ascii="Calibri" w:hAnsi="Calibri"/>
              </w:rPr>
              <w:t>USD/KRW</w:t>
            </w:r>
          </w:p>
        </w:tc>
        <w:tc>
          <w:tcPr>
            <w:tcW w:type="dxa" w:w="3120"/>
            <w:vAlign w:val="center"/>
            <w:tcMar>
              <w:top w:w="80" w:type="dxa"/>
              <w:start w:w="120" w:type="dxa"/>
              <w:bottom w:w="80" w:type="dxa"/>
              <w:end w:w="120" w:type="dxa"/>
            </w:tcMar>
          </w:tcPr>
          <w:p>
            <w:pPr>
              <w:jc w:val="center"/>
            </w:pPr>
            <w:r>
              <w:rPr>
                <w:rFonts w:ascii="Calibri" w:hAnsi="Calibri"/>
              </w:rPr>
              <w:t>FX conversion for imported fuels.</w:t>
            </w:r>
          </w:p>
        </w:tc>
        <w:tc>
          <w:tcPr>
            <w:tcW w:type="dxa" w:w="3120"/>
            <w:vAlign w:val="center"/>
            <w:tcMar>
              <w:top w:w="80" w:type="dxa"/>
              <w:start w:w="120" w:type="dxa"/>
              <w:bottom w:w="80" w:type="dxa"/>
              <w:end w:w="120" w:type="dxa"/>
            </w:tcMar>
          </w:tcPr>
          <w:p>
            <w:pPr>
              <w:jc w:val="center"/>
            </w:pPr>
            <w:r>
              <w:rPr>
                <w:rFonts w:ascii="Calibri" w:hAnsi="Calibri"/>
              </w:rPr>
              <w:t>Forgetting that Korea's imported fuel cost is highly FX-sensitive.</w:t>
            </w:r>
          </w:p>
        </w:tc>
      </w:tr>
      <w:tr>
        <w:tc>
          <w:tcPr>
            <w:tcW w:type="dxa" w:w="3120"/>
            <w:vAlign w:val="center"/>
            <w:tcMar>
              <w:top w:w="80" w:type="dxa"/>
              <w:start w:w="120" w:type="dxa"/>
              <w:bottom w:w="80" w:type="dxa"/>
              <w:end w:w="120" w:type="dxa"/>
            </w:tcMar>
          </w:tcPr>
          <w:p>
            <w:pPr>
              <w:jc w:val="left"/>
            </w:pPr>
            <w:r>
              <w:rPr>
                <w:rFonts w:ascii="Calibri" w:hAnsi="Calibri"/>
              </w:rPr>
              <w:t>Carbon Cost</w:t>
            </w:r>
          </w:p>
        </w:tc>
        <w:tc>
          <w:tcPr>
            <w:tcW w:type="dxa" w:w="3120"/>
            <w:vAlign w:val="center"/>
            <w:tcMar>
              <w:top w:w="80" w:type="dxa"/>
              <w:start w:w="120" w:type="dxa"/>
              <w:bottom w:w="80" w:type="dxa"/>
              <w:end w:w="120" w:type="dxa"/>
            </w:tcMar>
          </w:tcPr>
          <w:p>
            <w:pPr>
              <w:jc w:val="center"/>
            </w:pPr>
            <w:r>
              <w:rPr>
                <w:rFonts w:ascii="Calibri" w:hAnsi="Calibri"/>
              </w:rPr>
              <w:t>Allowance price or shadow carbon value.</w:t>
            </w:r>
          </w:p>
        </w:tc>
        <w:tc>
          <w:tcPr>
            <w:tcW w:type="dxa" w:w="3120"/>
            <w:vAlign w:val="center"/>
            <w:tcMar>
              <w:top w:w="80" w:type="dxa"/>
              <w:start w:w="120" w:type="dxa"/>
              <w:bottom w:w="80" w:type="dxa"/>
              <w:end w:w="120" w:type="dxa"/>
            </w:tcMar>
          </w:tcPr>
          <w:p>
            <w:pPr>
              <w:jc w:val="center"/>
            </w:pPr>
            <w:r>
              <w:rPr>
                <w:rFonts w:ascii="Calibri" w:hAnsi="Calibri"/>
              </w:rPr>
              <w:t>Assuming it is always fully reflected in dispatch.</w:t>
            </w:r>
          </w:p>
        </w:tc>
      </w:tr>
      <w:tr>
        <w:tc>
          <w:tcPr>
            <w:tcW w:type="dxa" w:w="3120"/>
            <w:vAlign w:val="center"/>
            <w:tcMar>
              <w:top w:w="80" w:type="dxa"/>
              <w:start w:w="120" w:type="dxa"/>
              <w:bottom w:w="80" w:type="dxa"/>
              <w:end w:w="120" w:type="dxa"/>
            </w:tcMar>
          </w:tcPr>
          <w:p>
            <w:pPr>
              <w:jc w:val="left"/>
            </w:pPr>
            <w:r>
              <w:rPr>
                <w:rFonts w:ascii="Calibri" w:hAnsi="Calibri"/>
              </w:rPr>
              <w:t>Carbon Recognition</w:t>
            </w:r>
          </w:p>
        </w:tc>
        <w:tc>
          <w:tcPr>
            <w:tcW w:type="dxa" w:w="3120"/>
            <w:vAlign w:val="center"/>
            <w:tcMar>
              <w:top w:w="80" w:type="dxa"/>
              <w:start w:w="120" w:type="dxa"/>
              <w:bottom w:w="80" w:type="dxa"/>
              <w:end w:w="120" w:type="dxa"/>
            </w:tcMar>
          </w:tcPr>
          <w:p>
            <w:pPr>
              <w:jc w:val="center"/>
            </w:pPr>
            <w:r>
              <w:rPr>
                <w:rFonts w:ascii="Calibri" w:hAnsi="Calibri"/>
              </w:rPr>
              <w:t>Percentage of carbon value included in variable cost.</w:t>
            </w:r>
          </w:p>
        </w:tc>
        <w:tc>
          <w:tcPr>
            <w:tcW w:type="dxa" w:w="3120"/>
            <w:vAlign w:val="center"/>
            <w:tcMar>
              <w:top w:w="80" w:type="dxa"/>
              <w:start w:w="120" w:type="dxa"/>
              <w:bottom w:w="80" w:type="dxa"/>
              <w:end w:w="120" w:type="dxa"/>
            </w:tcMar>
          </w:tcPr>
          <w:p>
            <w:pPr>
              <w:jc w:val="center"/>
            </w:pPr>
            <w:r>
              <w:rPr>
                <w:rFonts w:ascii="Calibri" w:hAnsi="Calibri"/>
              </w:rPr>
              <w:t>Ignoring Korea's regulated market-design and pass-through issues.</w:t>
            </w:r>
          </w:p>
        </w:tc>
      </w:tr>
      <w:tr>
        <w:tc>
          <w:tcPr>
            <w:tcW w:type="dxa" w:w="3120"/>
            <w:vAlign w:val="center"/>
            <w:tcMar>
              <w:top w:w="80" w:type="dxa"/>
              <w:start w:w="120" w:type="dxa"/>
              <w:bottom w:w="80" w:type="dxa"/>
              <w:end w:w="120" w:type="dxa"/>
            </w:tcMar>
          </w:tcPr>
          <w:p>
            <w:pPr>
              <w:jc w:val="left"/>
            </w:pPr>
            <w:r>
              <w:rPr>
                <w:rFonts w:ascii="Calibri" w:hAnsi="Calibri"/>
              </w:rPr>
              <w:t>Coal Availability Cap</w:t>
            </w:r>
          </w:p>
        </w:tc>
        <w:tc>
          <w:tcPr>
            <w:tcW w:type="dxa" w:w="3120"/>
            <w:vAlign w:val="center"/>
            <w:tcMar>
              <w:top w:w="80" w:type="dxa"/>
              <w:start w:w="120" w:type="dxa"/>
              <w:bottom w:w="80" w:type="dxa"/>
              <w:end w:w="120" w:type="dxa"/>
            </w:tcMar>
          </w:tcPr>
          <w:p>
            <w:pPr>
              <w:jc w:val="center"/>
            </w:pPr>
            <w:r>
              <w:rPr>
                <w:rFonts w:ascii="Calibri" w:hAnsi="Calibri"/>
              </w:rPr>
              <w:t>Policy/availability derate for coal blocks.</w:t>
            </w:r>
          </w:p>
        </w:tc>
        <w:tc>
          <w:tcPr>
            <w:tcW w:type="dxa" w:w="3120"/>
            <w:vAlign w:val="center"/>
            <w:tcMar>
              <w:top w:w="80" w:type="dxa"/>
              <w:start w:w="120" w:type="dxa"/>
              <w:bottom w:w="80" w:type="dxa"/>
              <w:end w:w="120" w:type="dxa"/>
            </w:tcMar>
          </w:tcPr>
          <w:p>
            <w:pPr>
              <w:jc w:val="center"/>
            </w:pPr>
            <w:r>
              <w:rPr>
                <w:rFonts w:ascii="Calibri" w:hAnsi="Calibri"/>
              </w:rPr>
              <w:t>Reading it as a precise unit-level outage schedule.</w:t>
            </w:r>
          </w:p>
        </w:tc>
      </w:tr>
      <w:tr>
        <w:tc>
          <w:tcPr>
            <w:tcW w:type="dxa" w:w="3120"/>
            <w:vAlign w:val="center"/>
            <w:tcMar>
              <w:top w:w="80" w:type="dxa"/>
              <w:start w:w="120" w:type="dxa"/>
              <w:bottom w:w="80" w:type="dxa"/>
              <w:end w:w="120" w:type="dxa"/>
            </w:tcMar>
          </w:tcPr>
          <w:p>
            <w:pPr>
              <w:jc w:val="left"/>
            </w:pPr>
            <w:r>
              <w:rPr>
                <w:rFonts w:ascii="Calibri" w:hAnsi="Calibri"/>
              </w:rPr>
              <w:t>Nuclear Availability</w:t>
            </w:r>
          </w:p>
        </w:tc>
        <w:tc>
          <w:tcPr>
            <w:tcW w:type="dxa" w:w="3120"/>
            <w:vAlign w:val="center"/>
            <w:tcMar>
              <w:top w:w="80" w:type="dxa"/>
              <w:start w:w="120" w:type="dxa"/>
              <w:bottom w:w="80" w:type="dxa"/>
              <w:end w:w="120" w:type="dxa"/>
            </w:tcMar>
          </w:tcPr>
          <w:p>
            <w:pPr>
              <w:jc w:val="center"/>
            </w:pPr>
            <w:r>
              <w:rPr>
                <w:rFonts w:ascii="Calibri" w:hAnsi="Calibri"/>
              </w:rPr>
              <w:t>Available share of nuclear capacity.</w:t>
            </w:r>
          </w:p>
        </w:tc>
        <w:tc>
          <w:tcPr>
            <w:tcW w:type="dxa" w:w="3120"/>
            <w:vAlign w:val="center"/>
            <w:tcMar>
              <w:top w:w="80" w:type="dxa"/>
              <w:start w:w="120" w:type="dxa"/>
              <w:bottom w:w="80" w:type="dxa"/>
              <w:end w:w="120" w:type="dxa"/>
            </w:tcMar>
          </w:tcPr>
          <w:p>
            <w:pPr>
              <w:jc w:val="center"/>
            </w:pPr>
            <w:r>
              <w:rPr>
                <w:rFonts w:ascii="Calibri" w:hAnsi="Calibri"/>
              </w:rPr>
              <w:t>Underestimating nuclear as a driver of fossil residual demand.</w:t>
            </w:r>
          </w:p>
        </w:tc>
      </w:tr>
      <w:tr>
        <w:tc>
          <w:tcPr>
            <w:tcW w:type="dxa" w:w="3120"/>
            <w:vAlign w:val="center"/>
            <w:tcMar>
              <w:top w:w="80" w:type="dxa"/>
              <w:start w:w="120" w:type="dxa"/>
              <w:bottom w:w="80" w:type="dxa"/>
              <w:end w:w="120" w:type="dxa"/>
            </w:tcMar>
          </w:tcPr>
          <w:p>
            <w:pPr>
              <w:jc w:val="left"/>
            </w:pPr>
            <w:r>
              <w:rPr>
                <w:rFonts w:ascii="Calibri" w:hAnsi="Calibri"/>
              </w:rPr>
              <w:t>Renewable Weather</w:t>
            </w:r>
          </w:p>
        </w:tc>
        <w:tc>
          <w:tcPr>
            <w:tcW w:type="dxa" w:w="3120"/>
            <w:vAlign w:val="center"/>
            <w:tcMar>
              <w:top w:w="80" w:type="dxa"/>
              <w:start w:w="120" w:type="dxa"/>
              <w:bottom w:w="80" w:type="dxa"/>
              <w:end w:w="120" w:type="dxa"/>
            </w:tcMar>
          </w:tcPr>
          <w:p>
            <w:pPr>
              <w:jc w:val="center"/>
            </w:pPr>
            <w:r>
              <w:rPr>
                <w:rFonts w:ascii="Calibri" w:hAnsi="Calibri"/>
              </w:rPr>
              <w:t>Scales the hourly renewable output profile.</w:t>
            </w:r>
          </w:p>
        </w:tc>
        <w:tc>
          <w:tcPr>
            <w:tcW w:type="dxa" w:w="3120"/>
            <w:vAlign w:val="center"/>
            <w:tcMar>
              <w:top w:w="80" w:type="dxa"/>
              <w:start w:w="120" w:type="dxa"/>
              <w:bottom w:w="80" w:type="dxa"/>
              <w:end w:w="120" w:type="dxa"/>
            </w:tcMar>
          </w:tcPr>
          <w:p>
            <w:pPr>
              <w:jc w:val="center"/>
            </w:pPr>
            <w:r>
              <w:rPr>
                <w:rFonts w:ascii="Calibri" w:hAnsi="Calibri"/>
              </w:rPr>
              <w:t>Confusing installed renewable capacity with hourly output.</w:t>
            </w:r>
          </w:p>
        </w:tc>
      </w:tr>
    </w:tbl>
    <w:p>
      <w:pPr>
        <w:pStyle w:val="Heading2"/>
      </w:pPr>
      <w:r>
        <w:t>Default Scenario After the Audit Update</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2088"/>
            <w:vAlign w:val="center"/>
            <w:shd w:fill="E8EEF5"/>
            <w:tcMar>
              <w:top w:w="80" w:type="dxa"/>
              <w:start w:w="120" w:type="dxa"/>
              <w:bottom w:w="80" w:type="dxa"/>
              <w:end w:w="120" w:type="dxa"/>
            </w:tcMar>
          </w:tcPr>
          <w:p>
            <w:pPr>
              <w:jc w:val="center"/>
            </w:pPr>
            <w:r>
              <w:rPr>
                <w:rFonts w:ascii="Calibri" w:hAnsi="Calibri"/>
                <w:b/>
                <w:color w:val="24231F"/>
              </w:rPr>
              <w:t>Output</w:t>
            </w:r>
          </w:p>
        </w:tc>
        <w:tc>
          <w:tcPr>
            <w:tcW w:type="dxa" w:w="2376"/>
            <w:vAlign w:val="center"/>
            <w:shd w:fill="E8EEF5"/>
            <w:tcMar>
              <w:top w:w="80" w:type="dxa"/>
              <w:start w:w="120" w:type="dxa"/>
              <w:bottom w:w="80" w:type="dxa"/>
              <w:end w:w="120" w:type="dxa"/>
            </w:tcMar>
          </w:tcPr>
          <w:p>
            <w:pPr>
              <w:jc w:val="center"/>
            </w:pPr>
            <w:r>
              <w:rPr>
                <w:rFonts w:ascii="Calibri" w:hAnsi="Calibri"/>
                <w:b/>
                <w:color w:val="24231F"/>
              </w:rPr>
              <w:t>Default value</w:t>
            </w:r>
          </w:p>
        </w:tc>
        <w:tc>
          <w:tcPr>
            <w:tcW w:type="dxa" w:w="4896"/>
            <w:vAlign w:val="center"/>
            <w:shd w:fill="E8EEF5"/>
            <w:tcMar>
              <w:top w:w="80" w:type="dxa"/>
              <w:start w:w="120" w:type="dxa"/>
              <w:bottom w:w="80" w:type="dxa"/>
              <w:end w:w="120" w:type="dxa"/>
            </w:tcMar>
          </w:tcPr>
          <w:p>
            <w:pPr>
              <w:jc w:val="center"/>
            </w:pPr>
            <w:r>
              <w:rPr>
                <w:rFonts w:ascii="Calibri" w:hAnsi="Calibri"/>
                <w:b/>
                <w:color w:val="24231F"/>
              </w:rPr>
              <w:t>Interpretation</w:t>
            </w:r>
          </w:p>
        </w:tc>
      </w:tr>
      <w:tr>
        <w:tc>
          <w:tcPr>
            <w:tcW w:type="dxa" w:w="3120"/>
            <w:vAlign w:val="center"/>
            <w:tcMar>
              <w:top w:w="80" w:type="dxa"/>
              <w:start w:w="120" w:type="dxa"/>
              <w:bottom w:w="80" w:type="dxa"/>
              <w:end w:w="120" w:type="dxa"/>
            </w:tcMar>
          </w:tcPr>
          <w:p>
            <w:pPr>
              <w:jc w:val="left"/>
            </w:pPr>
            <w:r>
              <w:rPr>
                <w:rFonts w:ascii="Calibri" w:hAnsi="Calibri"/>
              </w:rPr>
              <w:t>Modeled SMP</w:t>
            </w:r>
          </w:p>
        </w:tc>
        <w:tc>
          <w:tcPr>
            <w:tcW w:type="dxa" w:w="3120"/>
            <w:vAlign w:val="center"/>
            <w:tcMar>
              <w:top w:w="80" w:type="dxa"/>
              <w:start w:w="120" w:type="dxa"/>
              <w:bottom w:w="80" w:type="dxa"/>
              <w:end w:w="120" w:type="dxa"/>
            </w:tcMar>
          </w:tcPr>
          <w:p>
            <w:pPr>
              <w:jc w:val="center"/>
            </w:pPr>
            <w:r>
              <w:rPr>
                <w:rFonts w:ascii="Calibri" w:hAnsi="Calibri"/>
              </w:rPr>
              <w:t>107.8 KRW/kWh</w:t>
            </w:r>
          </w:p>
        </w:tc>
        <w:tc>
          <w:tcPr>
            <w:tcW w:type="dxa" w:w="3120"/>
            <w:vAlign w:val="center"/>
            <w:tcMar>
              <w:top w:w="80" w:type="dxa"/>
              <w:start w:w="120" w:type="dxa"/>
              <w:bottom w:w="80" w:type="dxa"/>
              <w:end w:w="120" w:type="dxa"/>
            </w:tcMar>
          </w:tcPr>
          <w:p>
            <w:pPr>
              <w:jc w:val="center"/>
            </w:pPr>
            <w:r>
              <w:rPr>
                <w:rFonts w:ascii="Calibri" w:hAnsi="Calibri"/>
              </w:rPr>
              <w:t>Marginal block variable cost plus scarcity premium under current defaults.</w:t>
            </w:r>
          </w:p>
        </w:tc>
      </w:tr>
      <w:tr>
        <w:tc>
          <w:tcPr>
            <w:tcW w:type="dxa" w:w="3120"/>
            <w:vAlign w:val="center"/>
            <w:tcMar>
              <w:top w:w="80" w:type="dxa"/>
              <w:start w:w="120" w:type="dxa"/>
              <w:bottom w:w="80" w:type="dxa"/>
              <w:end w:w="120" w:type="dxa"/>
            </w:tcMar>
          </w:tcPr>
          <w:p>
            <w:pPr>
              <w:jc w:val="left"/>
            </w:pPr>
            <w:r>
              <w:rPr>
                <w:rFonts w:ascii="Calibri" w:hAnsi="Calibri"/>
              </w:rPr>
              <w:t>Marginal block</w:t>
            </w:r>
          </w:p>
        </w:tc>
        <w:tc>
          <w:tcPr>
            <w:tcW w:type="dxa" w:w="3120"/>
            <w:vAlign w:val="center"/>
            <w:tcMar>
              <w:top w:w="80" w:type="dxa"/>
              <w:start w:w="120" w:type="dxa"/>
              <w:bottom w:w="80" w:type="dxa"/>
              <w:end w:w="120" w:type="dxa"/>
            </w:tcMar>
          </w:tcPr>
          <w:p>
            <w:pPr>
              <w:jc w:val="center"/>
            </w:pPr>
            <w:r>
              <w:rPr>
                <w:rFonts w:ascii="Calibri" w:hAnsi="Calibri"/>
              </w:rPr>
              <w:t>High-efficiency LNG CCGT</w:t>
            </w:r>
          </w:p>
        </w:tc>
        <w:tc>
          <w:tcPr>
            <w:tcW w:type="dxa" w:w="3120"/>
            <w:vAlign w:val="center"/>
            <w:tcMar>
              <w:top w:w="80" w:type="dxa"/>
              <w:start w:w="120" w:type="dxa"/>
              <w:bottom w:w="80" w:type="dxa"/>
              <w:end w:w="120" w:type="dxa"/>
            </w:tcMar>
          </w:tcPr>
          <w:p>
            <w:pPr>
              <w:jc w:val="center"/>
            </w:pPr>
            <w:r>
              <w:rPr>
                <w:rFonts w:ascii="Calibri" w:hAnsi="Calibri"/>
              </w:rPr>
              <w:t>LNG sets price in the default hour despite coal producing more energy.</w:t>
            </w:r>
          </w:p>
        </w:tc>
      </w:tr>
      <w:tr>
        <w:tc>
          <w:tcPr>
            <w:tcW w:type="dxa" w:w="3120"/>
            <w:vAlign w:val="center"/>
            <w:tcMar>
              <w:top w:w="80" w:type="dxa"/>
              <w:start w:w="120" w:type="dxa"/>
              <w:bottom w:w="80" w:type="dxa"/>
              <w:end w:w="120" w:type="dxa"/>
            </w:tcMar>
          </w:tcPr>
          <w:p>
            <w:pPr>
              <w:jc w:val="left"/>
            </w:pPr>
            <w:r>
              <w:rPr>
                <w:rFonts w:ascii="Calibri" w:hAnsi="Calibri"/>
              </w:rPr>
              <w:t>Coal dispatch</w:t>
            </w:r>
          </w:p>
        </w:tc>
        <w:tc>
          <w:tcPr>
            <w:tcW w:type="dxa" w:w="3120"/>
            <w:vAlign w:val="center"/>
            <w:tcMar>
              <w:top w:w="80" w:type="dxa"/>
              <w:start w:w="120" w:type="dxa"/>
              <w:bottom w:w="80" w:type="dxa"/>
              <w:end w:w="120" w:type="dxa"/>
            </w:tcMar>
          </w:tcPr>
          <w:p>
            <w:pPr>
              <w:jc w:val="center"/>
            </w:pPr>
            <w:r>
              <w:rPr>
                <w:rFonts w:ascii="Calibri" w:hAnsi="Calibri"/>
              </w:rPr>
              <w:t>32,556 MW</w:t>
            </w:r>
          </w:p>
        </w:tc>
        <w:tc>
          <w:tcPr>
            <w:tcW w:type="dxa" w:w="3120"/>
            <w:vAlign w:val="center"/>
            <w:tcMar>
              <w:top w:w="80" w:type="dxa"/>
              <w:start w:w="120" w:type="dxa"/>
              <w:bottom w:w="80" w:type="dxa"/>
              <w:end w:w="120" w:type="dxa"/>
            </w:tcMar>
          </w:tcPr>
          <w:p>
            <w:pPr>
              <w:jc w:val="center"/>
            </w:pPr>
            <w:r>
              <w:rPr>
                <w:rFonts w:ascii="Calibri" w:hAnsi="Calibri"/>
              </w:rPr>
              <w:t>44.6% of modeled dispatched supply.</w:t>
            </w:r>
          </w:p>
        </w:tc>
      </w:tr>
      <w:tr>
        <w:tc>
          <w:tcPr>
            <w:tcW w:type="dxa" w:w="3120"/>
            <w:vAlign w:val="center"/>
            <w:tcMar>
              <w:top w:w="80" w:type="dxa"/>
              <w:start w:w="120" w:type="dxa"/>
              <w:bottom w:w="80" w:type="dxa"/>
              <w:end w:w="120" w:type="dxa"/>
            </w:tcMar>
          </w:tcPr>
          <w:p>
            <w:pPr>
              <w:jc w:val="left"/>
            </w:pPr>
            <w:r>
              <w:rPr>
                <w:rFonts w:ascii="Calibri" w:hAnsi="Calibri"/>
              </w:rPr>
              <w:t>LNG dispatch</w:t>
            </w:r>
          </w:p>
        </w:tc>
        <w:tc>
          <w:tcPr>
            <w:tcW w:type="dxa" w:w="3120"/>
            <w:vAlign w:val="center"/>
            <w:tcMar>
              <w:top w:w="80" w:type="dxa"/>
              <w:start w:w="120" w:type="dxa"/>
              <w:bottom w:w="80" w:type="dxa"/>
              <w:end w:w="120" w:type="dxa"/>
            </w:tcMar>
          </w:tcPr>
          <w:p>
            <w:pPr>
              <w:jc w:val="center"/>
            </w:pPr>
            <w:r>
              <w:rPr>
                <w:rFonts w:ascii="Calibri" w:hAnsi="Calibri"/>
              </w:rPr>
              <w:t>12,225 MW</w:t>
            </w:r>
          </w:p>
        </w:tc>
        <w:tc>
          <w:tcPr>
            <w:tcW w:type="dxa" w:w="3120"/>
            <w:vAlign w:val="center"/>
            <w:tcMar>
              <w:top w:w="80" w:type="dxa"/>
              <w:start w:w="120" w:type="dxa"/>
              <w:bottom w:w="80" w:type="dxa"/>
              <w:end w:w="120" w:type="dxa"/>
            </w:tcMar>
          </w:tcPr>
          <w:p>
            <w:pPr>
              <w:jc w:val="center"/>
            </w:pPr>
            <w:r>
              <w:rPr>
                <w:rFonts w:ascii="Calibri" w:hAnsi="Calibri"/>
              </w:rPr>
              <w:t>16.8% of modeled dispatched supply.</w:t>
            </w:r>
          </w:p>
        </w:tc>
      </w:tr>
      <w:tr>
        <w:tc>
          <w:tcPr>
            <w:tcW w:type="dxa" w:w="3120"/>
            <w:vAlign w:val="center"/>
            <w:tcMar>
              <w:top w:w="80" w:type="dxa"/>
              <w:start w:w="120" w:type="dxa"/>
              <w:bottom w:w="80" w:type="dxa"/>
              <w:end w:w="120" w:type="dxa"/>
            </w:tcMar>
          </w:tcPr>
          <w:p>
            <w:pPr>
              <w:jc w:val="left"/>
            </w:pPr>
            <w:r>
              <w:rPr>
                <w:rFonts w:ascii="Calibri" w:hAnsi="Calibri"/>
              </w:rPr>
              <w:t>Nuclear dispatch</w:t>
            </w:r>
          </w:p>
        </w:tc>
        <w:tc>
          <w:tcPr>
            <w:tcW w:type="dxa" w:w="3120"/>
            <w:vAlign w:val="center"/>
            <w:tcMar>
              <w:top w:w="80" w:type="dxa"/>
              <w:start w:w="120" w:type="dxa"/>
              <w:bottom w:w="80" w:type="dxa"/>
              <w:end w:w="120" w:type="dxa"/>
            </w:tcMar>
          </w:tcPr>
          <w:p>
            <w:pPr>
              <w:jc w:val="center"/>
            </w:pPr>
            <w:r>
              <w:rPr>
                <w:rFonts w:ascii="Calibri" w:hAnsi="Calibri"/>
              </w:rPr>
              <w:t>22,403 MW</w:t>
            </w:r>
          </w:p>
        </w:tc>
        <w:tc>
          <w:tcPr>
            <w:tcW w:type="dxa" w:w="3120"/>
            <w:vAlign w:val="center"/>
            <w:tcMar>
              <w:top w:w="80" w:type="dxa"/>
              <w:start w:w="120" w:type="dxa"/>
              <w:bottom w:w="80" w:type="dxa"/>
              <w:end w:w="120" w:type="dxa"/>
            </w:tcMar>
          </w:tcPr>
          <w:p>
            <w:pPr>
              <w:jc w:val="center"/>
            </w:pPr>
            <w:r>
              <w:rPr>
                <w:rFonts w:ascii="Calibri" w:hAnsi="Calibri"/>
              </w:rPr>
              <w:t>Large low-variable-cost base supply reduces fossil residual load.</w:t>
            </w:r>
          </w:p>
        </w:tc>
      </w:tr>
      <w:tr>
        <w:tc>
          <w:tcPr>
            <w:tcW w:type="dxa" w:w="3120"/>
            <w:vAlign w:val="center"/>
            <w:tcMar>
              <w:top w:w="80" w:type="dxa"/>
              <w:start w:w="120" w:type="dxa"/>
              <w:bottom w:w="80" w:type="dxa"/>
              <w:end w:w="120" w:type="dxa"/>
            </w:tcMar>
          </w:tcPr>
          <w:p>
            <w:pPr>
              <w:jc w:val="left"/>
            </w:pPr>
            <w:r>
              <w:rPr>
                <w:rFonts w:ascii="Calibri" w:hAnsi="Calibri"/>
              </w:rPr>
              <w:t>Policy counterfactual</w:t>
            </w:r>
          </w:p>
        </w:tc>
        <w:tc>
          <w:tcPr>
            <w:tcW w:type="dxa" w:w="3120"/>
            <w:vAlign w:val="center"/>
            <w:tcMar>
              <w:top w:w="80" w:type="dxa"/>
              <w:start w:w="120" w:type="dxa"/>
              <w:bottom w:w="80" w:type="dxa"/>
              <w:end w:w="120" w:type="dxa"/>
            </w:tcMar>
          </w:tcPr>
          <w:p>
            <w:pPr>
              <w:jc w:val="center"/>
            </w:pPr>
            <w:r>
              <w:rPr>
                <w:rFonts w:ascii="Calibri" w:hAnsi="Calibri"/>
              </w:rPr>
              <w:t>Coal cap holds coal about 9,183 MW below unconstrained coal dispatch</w:t>
            </w:r>
          </w:p>
        </w:tc>
        <w:tc>
          <w:tcPr>
            <w:tcW w:type="dxa" w:w="3120"/>
            <w:vAlign w:val="center"/>
            <w:tcMar>
              <w:top w:w="80" w:type="dxa"/>
              <w:start w:w="120" w:type="dxa"/>
              <w:bottom w:w="80" w:type="dxa"/>
              <w:end w:w="120" w:type="dxa"/>
            </w:tcMar>
          </w:tcPr>
          <w:p>
            <w:pPr>
              <w:jc w:val="center"/>
            </w:pPr>
            <w:r>
              <w:rPr>
                <w:rFonts w:ascii="Calibri" w:hAnsi="Calibri"/>
              </w:rPr>
              <w:t>The default coal cap is binding and pushes equivalent MW toward LNG.</w:t>
            </w:r>
          </w:p>
        </w:tc>
      </w:tr>
    </w:tbl>
    <w:p>
      <w:pPr>
        <w:spacing w:before="80" w:after="80"/>
      </w:pPr>
      <w:r>
        <w:rPr>
          <w:rFonts w:ascii="Calibri" w:hAnsi="Calibri"/>
          <w:i/>
          <w:color w:val="5C5C5C"/>
          <w:sz w:val="18"/>
        </w:rPr>
        <w:t>Source: Computed from the updated model on 2026-06-25. [S19]</w:t>
      </w:r>
    </w:p>
    <w:p>
      <w:pPr>
        <w:keepLines w:val="0"/>
      </w:pPr>
      <w:r>
        <w:rPr>
          <w:rFonts w:ascii="Calibri" w:hAnsi="Calibri"/>
        </w:rPr>
        <w:t>The key diagnostic is not whether the modeled SMP exactly equals KPX's latest hourly value. The key diagnostic is which causal lever moves coal and LNG. If toggling spot prices does little but relaxing the coal cap moves thousands of MW, then the scenario is policy-constrained rather than price-constrained.</w:t>
      </w:r>
    </w:p>
    <w:p>
      <w:pPr>
        <w:pStyle w:val="Heading2"/>
      </w:pPr>
      <w:r>
        <w:t>How to Read the Switching Diagnostics</w:t>
      </w:r>
    </w:p>
    <w:p>
      <w:pPr>
        <w:pStyle w:val="ListBullet"/>
      </w:pPr>
      <w:r>
        <w:rPr>
          <w:rFonts w:ascii="Calibri" w:hAnsi="Calibri"/>
        </w:rPr>
        <w:t>Coal policy/cap effect: compares the base case to an unconstrained coal-cap case. Negative coal delta means the cap suppresses coal output.</w:t>
      </w:r>
    </w:p>
    <w:p>
      <w:pPr>
        <w:pStyle w:val="ListBullet"/>
      </w:pPr>
      <w:r>
        <w:rPr>
          <w:rFonts w:ascii="Calibri" w:hAnsi="Calibri"/>
        </w:rPr>
        <w:t>Spot-vs-recognized fuel effect: compares KPX-style lagged fuel inputs to immediate spot fuel inputs. A small effect means the spot spread does not reorder the representative stack under the chosen scenario.</w:t>
      </w:r>
    </w:p>
    <w:p>
      <w:pPr>
        <w:pStyle w:val="ListBullet"/>
      </w:pPr>
      <w:r>
        <w:rPr>
          <w:rFonts w:ascii="Calibri" w:hAnsi="Calibri"/>
        </w:rPr>
        <w:t>Nuclear outage sensitivity: lowers nuclear availability and shows how residual load is reallocated. If coal is capped or fully used, the extra residual load tends to go to LNG.</w:t>
      </w:r>
    </w:p>
    <w:p>
      <w:pPr>
        <w:pStyle w:val="Heading1"/>
      </w:pPr>
      <w:r>
        <w:t>Module 9 - What the Model Does Not Do</w:t>
      </w:r>
    </w:p>
    <w:p>
      <w:pPr>
        <w:keepLines w:val="0"/>
      </w:pPr>
      <w:r>
        <w:rPr>
          <w:rFonts w:ascii="Calibri" w:hAnsi="Calibri"/>
        </w:rPr>
        <w:t>A useful teaching model must be honest about its boundary. The KPX Cost Stack Lab is a representative cost-stack simulator. It is not a confidential KPX production model, a full unit-commitment optimizer, a network model, or a settlement engine.</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2376"/>
            <w:vAlign w:val="center"/>
            <w:shd w:fill="E8EEF5"/>
            <w:tcMar>
              <w:top w:w="80" w:type="dxa"/>
              <w:start w:w="120" w:type="dxa"/>
              <w:bottom w:w="80" w:type="dxa"/>
              <w:end w:w="120" w:type="dxa"/>
            </w:tcMar>
          </w:tcPr>
          <w:p>
            <w:pPr>
              <w:jc w:val="center"/>
            </w:pPr>
            <w:r>
              <w:rPr>
                <w:rFonts w:ascii="Calibri" w:hAnsi="Calibri"/>
                <w:b/>
                <w:color w:val="24231F"/>
              </w:rPr>
              <w:t>Missing production feature</w:t>
            </w:r>
          </w:p>
        </w:tc>
        <w:tc>
          <w:tcPr>
            <w:tcW w:type="dxa" w:w="3311"/>
            <w:vAlign w:val="center"/>
            <w:shd w:fill="E8EEF5"/>
            <w:tcMar>
              <w:top w:w="80" w:type="dxa"/>
              <w:start w:w="120" w:type="dxa"/>
              <w:bottom w:w="80" w:type="dxa"/>
              <w:end w:w="120" w:type="dxa"/>
            </w:tcMar>
          </w:tcPr>
          <w:p>
            <w:pPr>
              <w:jc w:val="center"/>
            </w:pPr>
            <w:r>
              <w:rPr>
                <w:rFonts w:ascii="Calibri" w:hAnsi="Calibri"/>
                <w:b/>
                <w:color w:val="24231F"/>
              </w:rPr>
              <w:t>Why it matters</w:t>
            </w:r>
          </w:p>
        </w:tc>
        <w:tc>
          <w:tcPr>
            <w:tcW w:type="dxa" w:w="3671"/>
            <w:vAlign w:val="center"/>
            <w:shd w:fill="E8EEF5"/>
            <w:tcMar>
              <w:top w:w="80" w:type="dxa"/>
              <w:start w:w="120" w:type="dxa"/>
              <w:bottom w:w="80" w:type="dxa"/>
              <w:end w:w="120" w:type="dxa"/>
            </w:tcMar>
          </w:tcPr>
          <w:p>
            <w:pPr>
              <w:jc w:val="center"/>
            </w:pPr>
            <w:r>
              <w:rPr>
                <w:rFonts w:ascii="Calibri" w:hAnsi="Calibri"/>
                <w:b/>
                <w:color w:val="24231F"/>
              </w:rPr>
              <w:t>How to upgrade</w:t>
            </w:r>
          </w:p>
        </w:tc>
      </w:tr>
      <w:tr>
        <w:tc>
          <w:tcPr>
            <w:tcW w:type="dxa" w:w="3120"/>
            <w:vAlign w:val="center"/>
            <w:tcMar>
              <w:top w:w="80" w:type="dxa"/>
              <w:start w:w="120" w:type="dxa"/>
              <w:bottom w:w="80" w:type="dxa"/>
              <w:end w:w="120" w:type="dxa"/>
            </w:tcMar>
          </w:tcPr>
          <w:p>
            <w:pPr>
              <w:jc w:val="left"/>
            </w:pPr>
            <w:r>
              <w:rPr>
                <w:rFonts w:ascii="Calibri" w:hAnsi="Calibri"/>
              </w:rPr>
              <w:t>Unit-level fleet data</w:t>
            </w:r>
          </w:p>
        </w:tc>
        <w:tc>
          <w:tcPr>
            <w:tcW w:type="dxa" w:w="3120"/>
            <w:vAlign w:val="center"/>
            <w:tcMar>
              <w:top w:w="80" w:type="dxa"/>
              <w:start w:w="120" w:type="dxa"/>
              <w:bottom w:w="80" w:type="dxa"/>
              <w:end w:w="120" w:type="dxa"/>
            </w:tcMar>
          </w:tcPr>
          <w:p>
            <w:pPr>
              <w:jc w:val="center"/>
            </w:pPr>
            <w:r>
              <w:rPr>
                <w:rFonts w:ascii="Calibri" w:hAnsi="Calibri"/>
              </w:rPr>
              <w:t>Actual units have specific heat rates, outage schedules, min loads, ramp rates, and fuel contracts.</w:t>
            </w:r>
          </w:p>
        </w:tc>
        <w:tc>
          <w:tcPr>
            <w:tcW w:type="dxa" w:w="3120"/>
            <w:vAlign w:val="center"/>
            <w:tcMar>
              <w:top w:w="80" w:type="dxa"/>
              <w:start w:w="120" w:type="dxa"/>
              <w:bottom w:w="80" w:type="dxa"/>
              <w:end w:w="120" w:type="dxa"/>
            </w:tcMar>
          </w:tcPr>
          <w:p>
            <w:pPr>
              <w:jc w:val="center"/>
            </w:pPr>
            <w:r>
              <w:rPr>
                <w:rFonts w:ascii="Calibri" w:hAnsi="Calibri"/>
              </w:rPr>
              <w:t>Build a plant/unit table from public capacity lists and outage data where available.</w:t>
            </w:r>
          </w:p>
        </w:tc>
      </w:tr>
      <w:tr>
        <w:tc>
          <w:tcPr>
            <w:tcW w:type="dxa" w:w="3120"/>
            <w:vAlign w:val="center"/>
            <w:tcMar>
              <w:top w:w="80" w:type="dxa"/>
              <w:start w:w="120" w:type="dxa"/>
              <w:bottom w:w="80" w:type="dxa"/>
              <w:end w:w="120" w:type="dxa"/>
            </w:tcMar>
          </w:tcPr>
          <w:p>
            <w:pPr>
              <w:jc w:val="left"/>
            </w:pPr>
            <w:r>
              <w:rPr>
                <w:rFonts w:ascii="Calibri" w:hAnsi="Calibri"/>
              </w:rPr>
              <w:t>Commitment optimization</w:t>
            </w:r>
          </w:p>
        </w:tc>
        <w:tc>
          <w:tcPr>
            <w:tcW w:type="dxa" w:w="3120"/>
            <w:vAlign w:val="center"/>
            <w:tcMar>
              <w:top w:w="80" w:type="dxa"/>
              <w:start w:w="120" w:type="dxa"/>
              <w:bottom w:w="80" w:type="dxa"/>
              <w:end w:w="120" w:type="dxa"/>
            </w:tcMar>
          </w:tcPr>
          <w:p>
            <w:pPr>
              <w:jc w:val="center"/>
            </w:pPr>
            <w:r>
              <w:rPr>
                <w:rFonts w:ascii="Calibri" w:hAnsi="Calibri"/>
              </w:rPr>
              <w:t>Start costs, minimum up/down time, and ramp rates can keep a unit online even when its marginal cost is high.</w:t>
            </w:r>
          </w:p>
        </w:tc>
        <w:tc>
          <w:tcPr>
            <w:tcW w:type="dxa" w:w="3120"/>
            <w:vAlign w:val="center"/>
            <w:tcMar>
              <w:top w:w="80" w:type="dxa"/>
              <w:start w:w="120" w:type="dxa"/>
              <w:bottom w:w="80" w:type="dxa"/>
              <w:end w:w="120" w:type="dxa"/>
            </w:tcMar>
          </w:tcPr>
          <w:p>
            <w:pPr>
              <w:jc w:val="center"/>
            </w:pPr>
            <w:r>
              <w:rPr>
                <w:rFonts w:ascii="Calibri" w:hAnsi="Calibri"/>
              </w:rPr>
              <w:t>Use a mixed-integer unit-commitment library or power-system optimizer.</w:t>
            </w:r>
          </w:p>
        </w:tc>
      </w:tr>
      <w:tr>
        <w:tc>
          <w:tcPr>
            <w:tcW w:type="dxa" w:w="3120"/>
            <w:vAlign w:val="center"/>
            <w:tcMar>
              <w:top w:w="80" w:type="dxa"/>
              <w:start w:w="120" w:type="dxa"/>
              <w:bottom w:w="80" w:type="dxa"/>
              <w:end w:w="120" w:type="dxa"/>
            </w:tcMar>
          </w:tcPr>
          <w:p>
            <w:pPr>
              <w:jc w:val="left"/>
            </w:pPr>
            <w:r>
              <w:rPr>
                <w:rFonts w:ascii="Calibri" w:hAnsi="Calibri"/>
              </w:rPr>
              <w:t>Network constraints</w:t>
            </w:r>
          </w:p>
        </w:tc>
        <w:tc>
          <w:tcPr>
            <w:tcW w:type="dxa" w:w="3120"/>
            <w:vAlign w:val="center"/>
            <w:tcMar>
              <w:top w:w="80" w:type="dxa"/>
              <w:start w:w="120" w:type="dxa"/>
              <w:bottom w:w="80" w:type="dxa"/>
              <w:end w:w="120" w:type="dxa"/>
            </w:tcMar>
          </w:tcPr>
          <w:p>
            <w:pPr>
              <w:jc w:val="center"/>
            </w:pPr>
            <w:r>
              <w:rPr>
                <w:rFonts w:ascii="Calibri" w:hAnsi="Calibri"/>
              </w:rPr>
              <w:t>Transmission can force local generation out of merit order.</w:t>
            </w:r>
          </w:p>
        </w:tc>
        <w:tc>
          <w:tcPr>
            <w:tcW w:type="dxa" w:w="3120"/>
            <w:vAlign w:val="center"/>
            <w:tcMar>
              <w:top w:w="80" w:type="dxa"/>
              <w:start w:w="120" w:type="dxa"/>
              <w:bottom w:w="80" w:type="dxa"/>
              <w:end w:w="120" w:type="dxa"/>
            </w:tcMar>
          </w:tcPr>
          <w:p>
            <w:pPr>
              <w:jc w:val="center"/>
            </w:pPr>
            <w:r>
              <w:rPr>
                <w:rFonts w:ascii="Calibri" w:hAnsi="Calibri"/>
              </w:rPr>
              <w:t>Add zones or nodal approximations; incorporate constraint shadow prices if available.</w:t>
            </w:r>
          </w:p>
        </w:tc>
      </w:tr>
      <w:tr>
        <w:tc>
          <w:tcPr>
            <w:tcW w:type="dxa" w:w="3120"/>
            <w:vAlign w:val="center"/>
            <w:tcMar>
              <w:top w:w="80" w:type="dxa"/>
              <w:start w:w="120" w:type="dxa"/>
              <w:bottom w:w="80" w:type="dxa"/>
              <w:end w:w="120" w:type="dxa"/>
            </w:tcMar>
          </w:tcPr>
          <w:p>
            <w:pPr>
              <w:jc w:val="left"/>
            </w:pPr>
            <w:r>
              <w:rPr>
                <w:rFonts w:ascii="Calibri" w:hAnsi="Calibri"/>
              </w:rPr>
              <w:t>Full settlement logic</w:t>
            </w:r>
          </w:p>
        </w:tc>
        <w:tc>
          <w:tcPr>
            <w:tcW w:type="dxa" w:w="3120"/>
            <w:vAlign w:val="center"/>
            <w:tcMar>
              <w:top w:w="80" w:type="dxa"/>
              <w:start w:w="120" w:type="dxa"/>
              <w:bottom w:w="80" w:type="dxa"/>
              <w:end w:w="120" w:type="dxa"/>
            </w:tcMar>
          </w:tcPr>
          <w:p>
            <w:pPr>
              <w:jc w:val="center"/>
            </w:pPr>
            <w:r>
              <w:rPr>
                <w:rFonts w:ascii="Calibri" w:hAnsi="Calibri"/>
              </w:rPr>
              <w:t>Payments include more than SMP times energy.</w:t>
            </w:r>
          </w:p>
        </w:tc>
        <w:tc>
          <w:tcPr>
            <w:tcW w:type="dxa" w:w="3120"/>
            <w:vAlign w:val="center"/>
            <w:tcMar>
              <w:top w:w="80" w:type="dxa"/>
              <w:start w:w="120" w:type="dxa"/>
              <w:bottom w:w="80" w:type="dxa"/>
              <w:end w:w="120" w:type="dxa"/>
            </w:tcMar>
          </w:tcPr>
          <w:p>
            <w:pPr>
              <w:jc w:val="center"/>
            </w:pPr>
            <w:r>
              <w:rPr>
                <w:rFonts w:ascii="Calibri" w:hAnsi="Calibri"/>
              </w:rPr>
              <w:t>Model capacity payments, make-whole payments, constrained-on/off compensation, and adjustment coefficients if public data permit.</w:t>
            </w:r>
          </w:p>
        </w:tc>
      </w:tr>
      <w:tr>
        <w:tc>
          <w:tcPr>
            <w:tcW w:type="dxa" w:w="3120"/>
            <w:vAlign w:val="center"/>
            <w:tcMar>
              <w:top w:w="80" w:type="dxa"/>
              <w:start w:w="120" w:type="dxa"/>
              <w:bottom w:w="80" w:type="dxa"/>
              <w:end w:w="120" w:type="dxa"/>
            </w:tcMar>
          </w:tcPr>
          <w:p>
            <w:pPr>
              <w:jc w:val="left"/>
            </w:pPr>
            <w:r>
              <w:rPr>
                <w:rFonts w:ascii="Calibri" w:hAnsi="Calibri"/>
              </w:rPr>
              <w:t>Live data ingestion</w:t>
            </w:r>
          </w:p>
        </w:tc>
        <w:tc>
          <w:tcPr>
            <w:tcW w:type="dxa" w:w="3120"/>
            <w:vAlign w:val="center"/>
            <w:tcMar>
              <w:top w:w="80" w:type="dxa"/>
              <w:start w:w="120" w:type="dxa"/>
              <w:bottom w:w="80" w:type="dxa"/>
              <w:end w:w="120" w:type="dxa"/>
            </w:tcMar>
          </w:tcPr>
          <w:p>
            <w:pPr>
              <w:jc w:val="center"/>
            </w:pPr>
            <w:r>
              <w:rPr>
                <w:rFonts w:ascii="Calibri" w:hAnsi="Calibri"/>
              </w:rPr>
              <w:t>KPX live pages and commodity prices change daily.</w:t>
            </w:r>
          </w:p>
        </w:tc>
        <w:tc>
          <w:tcPr>
            <w:tcW w:type="dxa" w:w="3120"/>
            <w:vAlign w:val="center"/>
            <w:tcMar>
              <w:top w:w="80" w:type="dxa"/>
              <w:start w:w="120" w:type="dxa"/>
              <w:bottom w:w="80" w:type="dxa"/>
              <w:end w:w="120" w:type="dxa"/>
            </w:tcMar>
          </w:tcPr>
          <w:p>
            <w:pPr>
              <w:jc w:val="center"/>
            </w:pPr>
            <w:r>
              <w:rPr>
                <w:rFonts w:ascii="Calibri" w:hAnsi="Calibri"/>
              </w:rPr>
              <w:t>Add automated data fetches, versioned snapshots, and validation logs.</w:t>
            </w:r>
          </w:p>
        </w:tc>
      </w:tr>
      <w:tr>
        <w:tc>
          <w:tcPr>
            <w:tcW w:type="dxa" w:w="3120"/>
            <w:vAlign w:val="center"/>
            <w:tcMar>
              <w:top w:w="80" w:type="dxa"/>
              <w:start w:w="120" w:type="dxa"/>
              <w:bottom w:w="80" w:type="dxa"/>
              <w:end w:w="120" w:type="dxa"/>
            </w:tcMar>
          </w:tcPr>
          <w:p>
            <w:pPr>
              <w:jc w:val="left"/>
            </w:pPr>
            <w:r>
              <w:rPr>
                <w:rFonts w:ascii="Calibri" w:hAnsi="Calibri"/>
              </w:rPr>
              <w:t>Fuel-quality economics</w:t>
            </w:r>
          </w:p>
        </w:tc>
        <w:tc>
          <w:tcPr>
            <w:tcW w:type="dxa" w:w="3120"/>
            <w:vAlign w:val="center"/>
            <w:tcMar>
              <w:top w:w="80" w:type="dxa"/>
              <w:start w:w="120" w:type="dxa"/>
              <w:bottom w:w="80" w:type="dxa"/>
              <w:end w:w="120" w:type="dxa"/>
            </w:tcMar>
          </w:tcPr>
          <w:p>
            <w:pPr>
              <w:jc w:val="center"/>
            </w:pPr>
            <w:r>
              <w:rPr>
                <w:rFonts w:ascii="Calibri" w:hAnsi="Calibri"/>
              </w:rPr>
              <w:t>Coal value depends on CV, sulphur, ash, moisture, freight, and plant constraints.</w:t>
            </w:r>
          </w:p>
        </w:tc>
        <w:tc>
          <w:tcPr>
            <w:tcW w:type="dxa" w:w="3120"/>
            <w:vAlign w:val="center"/>
            <w:tcMar>
              <w:top w:w="80" w:type="dxa"/>
              <w:start w:w="120" w:type="dxa"/>
              <w:bottom w:w="80" w:type="dxa"/>
              <w:end w:w="120" w:type="dxa"/>
            </w:tcMar>
          </w:tcPr>
          <w:p>
            <w:pPr>
              <w:jc w:val="center"/>
            </w:pPr>
            <w:r>
              <w:rPr>
                <w:rFonts w:ascii="Calibri" w:hAnsi="Calibri"/>
              </w:rPr>
              <w:t>Add a coal cargo calculator feeding delivered KRW/MMBtu by plant type.</w:t>
            </w:r>
          </w:p>
        </w:tc>
      </w:tr>
    </w:tbl>
    <w:tbl>
      <w:tblPr>
        <w:tblStyle w:val="TableGrid"/>
        <w:tblW w:type="auto" w:w="0"/>
        <w:jc w:val="left"/>
        <w:tblLayout w:type="fixed"/>
        <w:tblLook w:firstColumn="1" w:firstRow="1" w:lastColumn="0" w:lastRow="0" w:noHBand="0" w:noVBand="1" w:val="04A0"/>
      </w:tblPr>
      <w:tblGrid>
        <w:gridCol w:w="9360"/>
      </w:tblGrid>
      <w:tr>
        <w:trPr>
          <w:tblHeader w:val="true"/>
        </w:trPr>
        <w:tc>
          <w:tcPr>
            <w:tcW w:type="dxa" w:w="9360"/>
            <w:shd w:fill="F4F6F9"/>
            <w:tcMar>
              <w:top w:w="120" w:type="dxa"/>
              <w:start w:w="160" w:type="dxa"/>
              <w:bottom w:w="120" w:type="dxa"/>
              <w:end w:w="160" w:type="dxa"/>
            </w:tcMar>
          </w:tcPr>
          <w:p>
            <w:r>
              <w:rPr>
                <w:rFonts w:ascii="Calibri" w:hAnsi="Calibri"/>
                <w:b/>
                <w:color w:val="1F4D78"/>
              </w:rPr>
              <w:t>Proper use</w:t>
            </w:r>
          </w:p>
          <w:p>
            <w:pPr>
              <w:spacing w:after="0"/>
            </w:pPr>
            <w:r>
              <w:rPr>
                <w:rFonts w:ascii="Calibri" w:hAnsi="Calibri"/>
              </w:rPr>
              <w:t>Use the app to teach mechanisms and test scenarios. Do not use it to price real cargoes, forecast KPX dispatch, value a plant, or make financial trading decisions without replacing representative assumptions with verified unit-level and contract-level data.</w:t>
            </w:r>
          </w:p>
        </w:tc>
      </w:tr>
    </w:tbl>
    <w:p>
      <w:pPr>
        <w:pStyle w:val="Heading1"/>
      </w:pPr>
      <w:r>
        <w:t>Model Audit and Updates Made During This Work</w:t>
      </w:r>
    </w:p>
    <w:p>
      <w:pPr>
        <w:keepLines w:val="0"/>
      </w:pPr>
      <w:r>
        <w:rPr>
          <w:rFonts w:ascii="Calibri" w:hAnsi="Calibri"/>
        </w:rPr>
        <w:t>While preparing this course, the model was audited against the referenced sources. Two improvements were made.</w:t>
      </w:r>
    </w:p>
    <w:p>
      <w:pPr>
        <w:pStyle w:val="ListNumber"/>
      </w:pPr>
      <w:r>
        <w:rPr>
          <w:rFonts w:ascii="Calibri" w:hAnsi="Calibri"/>
        </w:rPr>
        <w:t>Emissions factors were changed from generic coal/LNG factors to MOTIE 11th Basic Plan Korea-specific average factors: coal 0.8384 tCO2e/MWh and LNG 0.3800 tCO2e/MWh. [S8]</w:t>
      </w:r>
    </w:p>
    <w:p>
      <w:pPr>
        <w:pStyle w:val="ListNumber"/>
      </w:pPr>
      <w:r>
        <w:rPr>
          <w:rFonts w:ascii="Calibri" w:hAnsi="Calibri"/>
        </w:rPr>
        <w:t>A carbon-recognition percentage control was added so the user can distinguish carbon allowance price from the share reflected in dispatch variable cost. This aligns the app with IEA's warning that carbon-cost reflection in Korea's regulated cost-based electricity market is a market-design question, not automatic pass-through. [S12]</w:t>
      </w:r>
    </w:p>
    <w:p>
      <w:pPr>
        <w:pStyle w:val="ListNumber"/>
      </w:pPr>
      <w:r>
        <w:rPr>
          <w:rFonts w:ascii="Calibri" w:hAnsi="Calibri"/>
        </w:rPr>
        <w:t>The default carbon-price input was updated to KRW 16,700/tCO2e using a public OPIS assessment reported by MarketWatch/Dow Jones. It remains an illustrative scenario input, not a live price feed. [S16]</w:t>
      </w:r>
    </w:p>
    <w:p>
      <w:pPr>
        <w:pStyle w:val="ListNumber"/>
      </w:pPr>
      <w:r>
        <w:rPr>
          <w:rFonts w:ascii="Calibri" w:hAnsi="Calibri"/>
        </w:rPr>
        <w:t>Static asset query versions were bumped so GitHub Pages visitors do not keep the old cached model files.</w:t>
      </w:r>
    </w:p>
    <w:p>
      <w:pPr>
        <w:keepLines w:val="0"/>
      </w:pPr>
      <w:r>
        <w:rPr>
          <w:rFonts w:ascii="Calibri" w:hAnsi="Calibri"/>
        </w:rPr>
        <w:t>No change was made to the app's fundamental scope. It remains a representative teaching model with transparent assumptions. The correct next improvement would be adding unit-level plant blocks and live KPX/commodity data ingestion with a versioned data-quality log.</w:t>
      </w:r>
    </w:p>
    <w:p>
      <w:pPr>
        <w:pStyle w:val="Heading1"/>
      </w:pPr>
      <w:r>
        <w:t>Appendix A - Equations and Units</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5184"/>
            <w:vAlign w:val="center"/>
            <w:shd w:fill="E8EEF5"/>
            <w:tcMar>
              <w:top w:w="80" w:type="dxa"/>
              <w:start w:w="120" w:type="dxa"/>
              <w:bottom w:w="80" w:type="dxa"/>
              <w:end w:w="120" w:type="dxa"/>
            </w:tcMar>
          </w:tcPr>
          <w:p>
            <w:pPr>
              <w:jc w:val="center"/>
            </w:pPr>
            <w:r>
              <w:rPr>
                <w:rFonts w:ascii="Calibri" w:hAnsi="Calibri"/>
                <w:b/>
                <w:color w:val="24231F"/>
              </w:rPr>
              <w:t>Equation</w:t>
            </w:r>
          </w:p>
        </w:tc>
        <w:tc>
          <w:tcPr>
            <w:tcW w:type="dxa" w:w="4176"/>
            <w:vAlign w:val="center"/>
            <w:shd w:fill="E8EEF5"/>
            <w:tcMar>
              <w:top w:w="80" w:type="dxa"/>
              <w:start w:w="120" w:type="dxa"/>
              <w:bottom w:w="80" w:type="dxa"/>
              <w:end w:w="120" w:type="dxa"/>
            </w:tcMar>
          </w:tcPr>
          <w:p>
            <w:pPr>
              <w:jc w:val="center"/>
            </w:pPr>
            <w:r>
              <w:rPr>
                <w:rFonts w:ascii="Calibri" w:hAnsi="Calibri"/>
                <w:b/>
                <w:color w:val="24231F"/>
              </w:rPr>
              <w:t>Use</w:t>
            </w:r>
          </w:p>
        </w:tc>
      </w:tr>
      <w:tr>
        <w:tc>
          <w:tcPr>
            <w:tcW w:type="dxa" w:w="4680"/>
            <w:vAlign w:val="center"/>
            <w:tcMar>
              <w:top w:w="80" w:type="dxa"/>
              <w:start w:w="120" w:type="dxa"/>
              <w:bottom w:w="80" w:type="dxa"/>
              <w:end w:w="120" w:type="dxa"/>
            </w:tcMar>
          </w:tcPr>
          <w:p>
            <w:pPr>
              <w:jc w:val="left"/>
            </w:pPr>
            <w:r>
              <w:rPr>
                <w:rFonts w:ascii="Calibri" w:hAnsi="Calibri"/>
              </w:rPr>
              <w:t>GJ/t = NAR kcal/kg * 1000 kg/t * 4.1868 kJ/kcal / 1,000,000</w:t>
            </w:r>
          </w:p>
        </w:tc>
        <w:tc>
          <w:tcPr>
            <w:tcW w:type="dxa" w:w="4680"/>
            <w:vAlign w:val="center"/>
            <w:tcMar>
              <w:top w:w="80" w:type="dxa"/>
              <w:start w:w="120" w:type="dxa"/>
              <w:bottom w:w="80" w:type="dxa"/>
              <w:end w:w="120" w:type="dxa"/>
            </w:tcMar>
          </w:tcPr>
          <w:p>
            <w:pPr>
              <w:jc w:val="center"/>
            </w:pPr>
            <w:r>
              <w:rPr>
                <w:rFonts w:ascii="Calibri" w:hAnsi="Calibri"/>
              </w:rPr>
              <w:t>Convert coal calorific value to energy per tonne.</w:t>
            </w:r>
          </w:p>
        </w:tc>
      </w:tr>
      <w:tr>
        <w:tc>
          <w:tcPr>
            <w:tcW w:type="dxa" w:w="4680"/>
            <w:vAlign w:val="center"/>
            <w:tcMar>
              <w:top w:w="80" w:type="dxa"/>
              <w:start w:w="120" w:type="dxa"/>
              <w:bottom w:w="80" w:type="dxa"/>
              <w:end w:w="120" w:type="dxa"/>
            </w:tcMar>
          </w:tcPr>
          <w:p>
            <w:pPr>
              <w:jc w:val="left"/>
            </w:pPr>
            <w:r>
              <w:rPr>
                <w:rFonts w:ascii="Calibri" w:hAnsi="Calibri"/>
              </w:rPr>
              <w:t>MMBtu/t = GJ/t / 1.05505585262</w:t>
            </w:r>
          </w:p>
        </w:tc>
        <w:tc>
          <w:tcPr>
            <w:tcW w:type="dxa" w:w="4680"/>
            <w:vAlign w:val="center"/>
            <w:tcMar>
              <w:top w:w="80" w:type="dxa"/>
              <w:start w:w="120" w:type="dxa"/>
              <w:bottom w:w="80" w:type="dxa"/>
              <w:end w:w="120" w:type="dxa"/>
            </w:tcMar>
          </w:tcPr>
          <w:p>
            <w:pPr>
              <w:jc w:val="center"/>
            </w:pPr>
            <w:r>
              <w:rPr>
                <w:rFonts w:ascii="Calibri" w:hAnsi="Calibri"/>
              </w:rPr>
              <w:t>Convert coal energy to MMBtu.</w:t>
            </w:r>
          </w:p>
        </w:tc>
      </w:tr>
      <w:tr>
        <w:tc>
          <w:tcPr>
            <w:tcW w:type="dxa" w:w="4680"/>
            <w:vAlign w:val="center"/>
            <w:tcMar>
              <w:top w:w="80" w:type="dxa"/>
              <w:start w:w="120" w:type="dxa"/>
              <w:bottom w:w="80" w:type="dxa"/>
              <w:end w:w="120" w:type="dxa"/>
            </w:tcMar>
          </w:tcPr>
          <w:p>
            <w:pPr>
              <w:jc w:val="left"/>
            </w:pPr>
            <w:r>
              <w:rPr>
                <w:rFonts w:ascii="Calibri" w:hAnsi="Calibri"/>
              </w:rPr>
              <w:t>Coal USD/MMBtu = USD/t / MMBtu/t</w:t>
            </w:r>
          </w:p>
        </w:tc>
        <w:tc>
          <w:tcPr>
            <w:tcW w:type="dxa" w:w="4680"/>
            <w:vAlign w:val="center"/>
            <w:tcMar>
              <w:top w:w="80" w:type="dxa"/>
              <w:start w:w="120" w:type="dxa"/>
              <w:bottom w:w="80" w:type="dxa"/>
              <w:end w:w="120" w:type="dxa"/>
            </w:tcMar>
          </w:tcPr>
          <w:p>
            <w:pPr>
              <w:jc w:val="center"/>
            </w:pPr>
            <w:r>
              <w:rPr>
                <w:rFonts w:ascii="Calibri" w:hAnsi="Calibri"/>
              </w:rPr>
              <w:t>Compare coal to gas on energy basis.</w:t>
            </w:r>
          </w:p>
        </w:tc>
      </w:tr>
      <w:tr>
        <w:tc>
          <w:tcPr>
            <w:tcW w:type="dxa" w:w="4680"/>
            <w:vAlign w:val="center"/>
            <w:tcMar>
              <w:top w:w="80" w:type="dxa"/>
              <w:start w:w="120" w:type="dxa"/>
              <w:bottom w:w="80" w:type="dxa"/>
              <w:end w:w="120" w:type="dxa"/>
            </w:tcMar>
          </w:tcPr>
          <w:p>
            <w:pPr>
              <w:jc w:val="left"/>
            </w:pPr>
            <w:r>
              <w:rPr>
                <w:rFonts w:ascii="Calibri" w:hAnsi="Calibri"/>
              </w:rPr>
              <w:t>Fuel KRW/kWh = USD/MMBtu * FX * heat rate / 1000</w:t>
            </w:r>
          </w:p>
        </w:tc>
        <w:tc>
          <w:tcPr>
            <w:tcW w:type="dxa" w:w="4680"/>
            <w:vAlign w:val="center"/>
            <w:tcMar>
              <w:top w:w="80" w:type="dxa"/>
              <w:start w:w="120" w:type="dxa"/>
              <w:bottom w:w="80" w:type="dxa"/>
              <w:end w:w="120" w:type="dxa"/>
            </w:tcMar>
          </w:tcPr>
          <w:p>
            <w:pPr>
              <w:jc w:val="center"/>
            </w:pPr>
            <w:r>
              <w:rPr>
                <w:rFonts w:ascii="Calibri" w:hAnsi="Calibri"/>
              </w:rPr>
              <w:t>Translate imported fuel cost into generation cost.</w:t>
            </w:r>
          </w:p>
        </w:tc>
      </w:tr>
      <w:tr>
        <w:tc>
          <w:tcPr>
            <w:tcW w:type="dxa" w:w="4680"/>
            <w:vAlign w:val="center"/>
            <w:tcMar>
              <w:top w:w="80" w:type="dxa"/>
              <w:start w:w="120" w:type="dxa"/>
              <w:bottom w:w="80" w:type="dxa"/>
              <w:end w:w="120" w:type="dxa"/>
            </w:tcMar>
          </w:tcPr>
          <w:p>
            <w:pPr>
              <w:jc w:val="left"/>
            </w:pPr>
            <w:r>
              <w:rPr>
                <w:rFonts w:ascii="Calibri" w:hAnsi="Calibri"/>
              </w:rPr>
              <w:t>Carbon KRW/kWh = emissions tCO2e/MWh * carbon KRW/t * recognition pct / 100 / 1000</w:t>
            </w:r>
          </w:p>
        </w:tc>
        <w:tc>
          <w:tcPr>
            <w:tcW w:type="dxa" w:w="4680"/>
            <w:vAlign w:val="center"/>
            <w:tcMar>
              <w:top w:w="80" w:type="dxa"/>
              <w:start w:w="120" w:type="dxa"/>
              <w:bottom w:w="80" w:type="dxa"/>
              <w:end w:w="120" w:type="dxa"/>
            </w:tcMar>
          </w:tcPr>
          <w:p>
            <w:pPr>
              <w:jc w:val="center"/>
            </w:pPr>
            <w:r>
              <w:rPr>
                <w:rFonts w:ascii="Calibri" w:hAnsi="Calibri"/>
              </w:rPr>
              <w:t>Translate ETS/shadow carbon into variable cost.</w:t>
            </w:r>
          </w:p>
        </w:tc>
      </w:tr>
      <w:tr>
        <w:tc>
          <w:tcPr>
            <w:tcW w:type="dxa" w:w="4680"/>
            <w:vAlign w:val="center"/>
            <w:tcMar>
              <w:top w:w="80" w:type="dxa"/>
              <w:start w:w="120" w:type="dxa"/>
              <w:bottom w:w="80" w:type="dxa"/>
              <w:end w:w="120" w:type="dxa"/>
            </w:tcMar>
          </w:tcPr>
          <w:p>
            <w:pPr>
              <w:jc w:val="left"/>
            </w:pPr>
            <w:r>
              <w:rPr>
                <w:rFonts w:ascii="Calibri" w:hAnsi="Calibri"/>
              </w:rPr>
              <w:t>Variable cost = fuel cost + variable O&amp;M + recognized carbon cost</w:t>
            </w:r>
          </w:p>
        </w:tc>
        <w:tc>
          <w:tcPr>
            <w:tcW w:type="dxa" w:w="4680"/>
            <w:vAlign w:val="center"/>
            <w:tcMar>
              <w:top w:w="80" w:type="dxa"/>
              <w:start w:w="120" w:type="dxa"/>
              <w:bottom w:w="80" w:type="dxa"/>
              <w:end w:w="120" w:type="dxa"/>
            </w:tcMar>
          </w:tcPr>
          <w:p>
            <w:pPr>
              <w:jc w:val="center"/>
            </w:pPr>
            <w:r>
              <w:rPr>
                <w:rFonts w:ascii="Calibri" w:hAnsi="Calibri"/>
              </w:rPr>
              <w:t>Block-level dispatch ranking.</w:t>
            </w:r>
          </w:p>
        </w:tc>
      </w:tr>
      <w:tr>
        <w:tc>
          <w:tcPr>
            <w:tcW w:type="dxa" w:w="4680"/>
            <w:vAlign w:val="center"/>
            <w:tcMar>
              <w:top w:w="80" w:type="dxa"/>
              <w:start w:w="120" w:type="dxa"/>
              <w:bottom w:w="80" w:type="dxa"/>
              <w:end w:w="120" w:type="dxa"/>
            </w:tcMar>
          </w:tcPr>
          <w:p>
            <w:pPr>
              <w:jc w:val="left"/>
            </w:pPr>
            <w:r>
              <w:rPr>
                <w:rFonts w:ascii="Calibri" w:hAnsi="Calibri"/>
              </w:rPr>
              <w:t>Reserve margin = (available capacity - load) / load</w:t>
            </w:r>
          </w:p>
        </w:tc>
        <w:tc>
          <w:tcPr>
            <w:tcW w:type="dxa" w:w="4680"/>
            <w:vAlign w:val="center"/>
            <w:tcMar>
              <w:top w:w="80" w:type="dxa"/>
              <w:start w:w="120" w:type="dxa"/>
              <w:bottom w:w="80" w:type="dxa"/>
              <w:end w:w="120" w:type="dxa"/>
            </w:tcMar>
          </w:tcPr>
          <w:p>
            <w:pPr>
              <w:jc w:val="center"/>
            </w:pPr>
            <w:r>
              <w:rPr>
                <w:rFonts w:ascii="Calibri" w:hAnsi="Calibri"/>
              </w:rPr>
              <w:t>Approximate adequacy pressure in the model.</w:t>
            </w:r>
          </w:p>
        </w:tc>
      </w:tr>
    </w:tbl>
    <w:p>
      <w:pPr>
        <w:pStyle w:val="Heading1"/>
      </w:pPr>
      <w:r>
        <w:t>Appendix B - Data Dictionary for the Static App</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2448"/>
            <w:vAlign w:val="center"/>
            <w:shd w:fill="E8EEF5"/>
            <w:tcMar>
              <w:top w:w="80" w:type="dxa"/>
              <w:start w:w="120" w:type="dxa"/>
              <w:bottom w:w="80" w:type="dxa"/>
              <w:end w:w="120" w:type="dxa"/>
            </w:tcMar>
          </w:tcPr>
          <w:p>
            <w:pPr>
              <w:jc w:val="center"/>
            </w:pPr>
            <w:r>
              <w:rPr>
                <w:rFonts w:ascii="Calibri" w:hAnsi="Calibri"/>
                <w:b/>
                <w:color w:val="24231F"/>
              </w:rPr>
              <w:t>Data item</w:t>
            </w:r>
          </w:p>
        </w:tc>
        <w:tc>
          <w:tcPr>
            <w:tcW w:type="dxa" w:w="3888"/>
            <w:vAlign w:val="center"/>
            <w:shd w:fill="E8EEF5"/>
            <w:tcMar>
              <w:top w:w="80" w:type="dxa"/>
              <w:start w:w="120" w:type="dxa"/>
              <w:bottom w:w="80" w:type="dxa"/>
              <w:end w:w="120" w:type="dxa"/>
            </w:tcMar>
          </w:tcPr>
          <w:p>
            <w:pPr>
              <w:jc w:val="center"/>
            </w:pPr>
            <w:r>
              <w:rPr>
                <w:rFonts w:ascii="Calibri" w:hAnsi="Calibri"/>
                <w:b/>
                <w:color w:val="24231F"/>
              </w:rPr>
              <w:t>Meaning</w:t>
            </w:r>
          </w:p>
        </w:tc>
        <w:tc>
          <w:tcPr>
            <w:tcW w:type="dxa" w:w="3024"/>
            <w:vAlign w:val="center"/>
            <w:shd w:fill="E8EEF5"/>
            <w:tcMar>
              <w:top w:w="80" w:type="dxa"/>
              <w:start w:w="120" w:type="dxa"/>
              <w:bottom w:w="80" w:type="dxa"/>
              <w:end w:w="120" w:type="dxa"/>
            </w:tcMar>
          </w:tcPr>
          <w:p>
            <w:pPr>
              <w:jc w:val="center"/>
            </w:pPr>
            <w:r>
              <w:rPr>
                <w:rFonts w:ascii="Calibri" w:hAnsi="Calibri"/>
                <w:b/>
                <w:color w:val="24231F"/>
              </w:rPr>
              <w:t>Source</w:t>
            </w:r>
          </w:p>
        </w:tc>
      </w:tr>
      <w:tr>
        <w:tc>
          <w:tcPr>
            <w:tcW w:type="dxa" w:w="3120"/>
            <w:vAlign w:val="center"/>
            <w:tcMar>
              <w:top w:w="80" w:type="dxa"/>
              <w:start w:w="120" w:type="dxa"/>
              <w:bottom w:w="80" w:type="dxa"/>
              <w:end w:w="120" w:type="dxa"/>
            </w:tcMar>
          </w:tcPr>
          <w:p>
            <w:pPr>
              <w:jc w:val="left"/>
            </w:pPr>
            <w:r>
              <w:rPr>
                <w:rFonts w:ascii="Calibri" w:hAnsi="Calibri"/>
              </w:rPr>
              <w:t>marketRegisteredCapacityMw</w:t>
            </w:r>
          </w:p>
        </w:tc>
        <w:tc>
          <w:tcPr>
            <w:tcW w:type="dxa" w:w="3120"/>
            <w:vAlign w:val="center"/>
            <w:tcMar>
              <w:top w:w="80" w:type="dxa"/>
              <w:start w:w="120" w:type="dxa"/>
              <w:bottom w:w="80" w:type="dxa"/>
              <w:end w:w="120" w:type="dxa"/>
            </w:tcMar>
          </w:tcPr>
          <w:p>
            <w:pPr>
              <w:jc w:val="center"/>
            </w:pPr>
            <w:r>
              <w:rPr>
                <w:rFonts w:ascii="Calibri" w:hAnsi="Calibri"/>
              </w:rPr>
              <w:t>KPX market-registered capacity by fuel in MW.</w:t>
            </w:r>
          </w:p>
        </w:tc>
        <w:tc>
          <w:tcPr>
            <w:tcW w:type="dxa" w:w="3120"/>
            <w:vAlign w:val="center"/>
            <w:tcMar>
              <w:top w:w="80" w:type="dxa"/>
              <w:start w:w="120" w:type="dxa"/>
              <w:bottom w:w="80" w:type="dxa"/>
              <w:end w:w="120" w:type="dxa"/>
            </w:tcMar>
          </w:tcPr>
          <w:p>
            <w:pPr>
              <w:jc w:val="center"/>
            </w:pPr>
            <w:r>
              <w:rPr>
                <w:rFonts w:ascii="Calibri" w:hAnsi="Calibri"/>
              </w:rPr>
              <w:t>KPX 2025 statistics [S1]</w:t>
            </w:r>
          </w:p>
        </w:tc>
      </w:tr>
      <w:tr>
        <w:tc>
          <w:tcPr>
            <w:tcW w:type="dxa" w:w="3120"/>
            <w:vAlign w:val="center"/>
            <w:tcMar>
              <w:top w:w="80" w:type="dxa"/>
              <w:start w:w="120" w:type="dxa"/>
              <w:bottom w:w="80" w:type="dxa"/>
              <w:end w:w="120" w:type="dxa"/>
            </w:tcMar>
          </w:tcPr>
          <w:p>
            <w:pPr>
              <w:jc w:val="left"/>
            </w:pPr>
            <w:r>
              <w:rPr>
                <w:rFonts w:ascii="Calibri" w:hAnsi="Calibri"/>
              </w:rPr>
              <w:t>tradingVolumeGwh</w:t>
            </w:r>
          </w:p>
        </w:tc>
        <w:tc>
          <w:tcPr>
            <w:tcW w:type="dxa" w:w="3120"/>
            <w:vAlign w:val="center"/>
            <w:tcMar>
              <w:top w:w="80" w:type="dxa"/>
              <w:start w:w="120" w:type="dxa"/>
              <w:bottom w:w="80" w:type="dxa"/>
              <w:end w:w="120" w:type="dxa"/>
            </w:tcMar>
          </w:tcPr>
          <w:p>
            <w:pPr>
              <w:jc w:val="center"/>
            </w:pPr>
            <w:r>
              <w:rPr>
                <w:rFonts w:ascii="Calibri" w:hAnsi="Calibri"/>
              </w:rPr>
              <w:t>KPX market-traded generation by fuel in GWh.</w:t>
            </w:r>
          </w:p>
        </w:tc>
        <w:tc>
          <w:tcPr>
            <w:tcW w:type="dxa" w:w="3120"/>
            <w:vAlign w:val="center"/>
            <w:tcMar>
              <w:top w:w="80" w:type="dxa"/>
              <w:start w:w="120" w:type="dxa"/>
              <w:bottom w:w="80" w:type="dxa"/>
              <w:end w:w="120" w:type="dxa"/>
            </w:tcMar>
          </w:tcPr>
          <w:p>
            <w:pPr>
              <w:jc w:val="center"/>
            </w:pPr>
            <w:r>
              <w:rPr>
                <w:rFonts w:ascii="Calibri" w:hAnsi="Calibri"/>
              </w:rPr>
              <w:t>KPX 2025 statistics [S1]</w:t>
            </w:r>
          </w:p>
        </w:tc>
      </w:tr>
      <w:tr>
        <w:tc>
          <w:tcPr>
            <w:tcW w:type="dxa" w:w="3120"/>
            <w:vAlign w:val="center"/>
            <w:tcMar>
              <w:top w:w="80" w:type="dxa"/>
              <w:start w:w="120" w:type="dxa"/>
              <w:bottom w:w="80" w:type="dxa"/>
              <w:end w:w="120" w:type="dxa"/>
            </w:tcMar>
          </w:tcPr>
          <w:p>
            <w:pPr>
              <w:jc w:val="left"/>
            </w:pPr>
            <w:r>
              <w:rPr>
                <w:rFonts w:ascii="Calibri" w:hAnsi="Calibri"/>
              </w:rPr>
              <w:t>mainlandSmpByHourKrwPerKwh</w:t>
            </w:r>
          </w:p>
        </w:tc>
        <w:tc>
          <w:tcPr>
            <w:tcW w:type="dxa" w:w="3120"/>
            <w:vAlign w:val="center"/>
            <w:tcMar>
              <w:top w:w="80" w:type="dxa"/>
              <w:start w:w="120" w:type="dxa"/>
              <w:bottom w:w="80" w:type="dxa"/>
              <w:end w:w="120" w:type="dxa"/>
            </w:tcMar>
          </w:tcPr>
          <w:p>
            <w:pPr>
              <w:jc w:val="center"/>
            </w:pPr>
            <w:r>
              <w:rPr>
                <w:rFonts w:ascii="Calibri" w:hAnsi="Calibri"/>
              </w:rPr>
              <w:t>2025 mainland hourly weighted-average SMP profile.</w:t>
            </w:r>
          </w:p>
        </w:tc>
        <w:tc>
          <w:tcPr>
            <w:tcW w:type="dxa" w:w="3120"/>
            <w:vAlign w:val="center"/>
            <w:tcMar>
              <w:top w:w="80" w:type="dxa"/>
              <w:start w:w="120" w:type="dxa"/>
              <w:bottom w:w="80" w:type="dxa"/>
              <w:end w:w="120" w:type="dxa"/>
            </w:tcMar>
          </w:tcPr>
          <w:p>
            <w:pPr>
              <w:jc w:val="center"/>
            </w:pPr>
            <w:r>
              <w:rPr>
                <w:rFonts w:ascii="Calibri" w:hAnsi="Calibri"/>
              </w:rPr>
              <w:t>KPX 2025 statistics [S1]</w:t>
            </w:r>
          </w:p>
        </w:tc>
      </w:tr>
      <w:tr>
        <w:tc>
          <w:tcPr>
            <w:tcW w:type="dxa" w:w="3120"/>
            <w:vAlign w:val="center"/>
            <w:tcMar>
              <w:top w:w="80" w:type="dxa"/>
              <w:start w:w="120" w:type="dxa"/>
              <w:bottom w:w="80" w:type="dxa"/>
              <w:end w:w="120" w:type="dxa"/>
            </w:tcMar>
          </w:tcPr>
          <w:p>
            <w:pPr>
              <w:jc w:val="left"/>
            </w:pPr>
            <w:r>
              <w:rPr>
                <w:rFonts w:ascii="Calibri" w:hAnsi="Calibri"/>
              </w:rPr>
              <w:t>marginalPriceSetCountsByFuel</w:t>
            </w:r>
          </w:p>
        </w:tc>
        <w:tc>
          <w:tcPr>
            <w:tcW w:type="dxa" w:w="3120"/>
            <w:vAlign w:val="center"/>
            <w:tcMar>
              <w:top w:w="80" w:type="dxa"/>
              <w:start w:w="120" w:type="dxa"/>
              <w:bottom w:w="80" w:type="dxa"/>
              <w:end w:w="120" w:type="dxa"/>
            </w:tcMar>
          </w:tcPr>
          <w:p>
            <w:pPr>
              <w:jc w:val="center"/>
            </w:pPr>
            <w:r>
              <w:rPr>
                <w:rFonts w:ascii="Calibri" w:hAnsi="Calibri"/>
              </w:rPr>
              <w:t>Counts of intervals in which each fuel set SMP.</w:t>
            </w:r>
          </w:p>
        </w:tc>
        <w:tc>
          <w:tcPr>
            <w:tcW w:type="dxa" w:w="3120"/>
            <w:vAlign w:val="center"/>
            <w:tcMar>
              <w:top w:w="80" w:type="dxa"/>
              <w:start w:w="120" w:type="dxa"/>
              <w:bottom w:w="80" w:type="dxa"/>
              <w:end w:w="120" w:type="dxa"/>
            </w:tcMar>
          </w:tcPr>
          <w:p>
            <w:pPr>
              <w:jc w:val="center"/>
            </w:pPr>
            <w:r>
              <w:rPr>
                <w:rFonts w:ascii="Calibri" w:hAnsi="Calibri"/>
              </w:rPr>
              <w:t>KPX 2025 statistics [S1]</w:t>
            </w:r>
          </w:p>
        </w:tc>
      </w:tr>
      <w:tr>
        <w:tc>
          <w:tcPr>
            <w:tcW w:type="dxa" w:w="3120"/>
            <w:vAlign w:val="center"/>
            <w:tcMar>
              <w:top w:w="80" w:type="dxa"/>
              <w:start w:w="120" w:type="dxa"/>
              <w:bottom w:w="80" w:type="dxa"/>
              <w:end w:w="120" w:type="dxa"/>
            </w:tcMar>
          </w:tcPr>
          <w:p>
            <w:pPr>
              <w:jc w:val="left"/>
            </w:pPr>
            <w:r>
              <w:rPr>
                <w:rFonts w:ascii="Calibri" w:hAnsi="Calibri"/>
              </w:rPr>
              <w:t>latestKpxSnapshot</w:t>
            </w:r>
          </w:p>
        </w:tc>
        <w:tc>
          <w:tcPr>
            <w:tcW w:type="dxa" w:w="3120"/>
            <w:vAlign w:val="center"/>
            <w:tcMar>
              <w:top w:w="80" w:type="dxa"/>
              <w:start w:w="120" w:type="dxa"/>
              <w:bottom w:w="80" w:type="dxa"/>
              <w:end w:w="120" w:type="dxa"/>
            </w:tcMar>
          </w:tcPr>
          <w:p>
            <w:pPr>
              <w:jc w:val="center"/>
            </w:pPr>
            <w:r>
              <w:rPr>
                <w:rFonts w:ascii="Calibri" w:hAnsi="Calibri"/>
              </w:rPr>
              <w:t>Static snapshot of KPX SMP and supply-demand pages used when the app was built.</w:t>
            </w:r>
          </w:p>
        </w:tc>
        <w:tc>
          <w:tcPr>
            <w:tcW w:type="dxa" w:w="3120"/>
            <w:vAlign w:val="center"/>
            <w:tcMar>
              <w:top w:w="80" w:type="dxa"/>
              <w:start w:w="120" w:type="dxa"/>
              <w:bottom w:w="80" w:type="dxa"/>
              <w:end w:w="120" w:type="dxa"/>
            </w:tcMar>
          </w:tcPr>
          <w:p>
            <w:pPr>
              <w:jc w:val="center"/>
            </w:pPr>
            <w:r>
              <w:rPr>
                <w:rFonts w:ascii="Calibri" w:hAnsi="Calibri"/>
              </w:rPr>
              <w:t>KPX live pages [S17], [S18]</w:t>
            </w:r>
          </w:p>
        </w:tc>
      </w:tr>
      <w:tr>
        <w:tc>
          <w:tcPr>
            <w:tcW w:type="dxa" w:w="3120"/>
            <w:vAlign w:val="center"/>
            <w:tcMar>
              <w:top w:w="80" w:type="dxa"/>
              <w:start w:w="120" w:type="dxa"/>
              <w:bottom w:w="80" w:type="dxa"/>
              <w:end w:w="120" w:type="dxa"/>
            </w:tcMar>
          </w:tcPr>
          <w:p>
            <w:pPr>
              <w:jc w:val="left"/>
            </w:pPr>
            <w:r>
              <w:rPr>
                <w:rFonts w:ascii="Calibri" w:hAnsi="Calibri"/>
              </w:rPr>
              <w:t>representativeBlocks</w:t>
            </w:r>
          </w:p>
        </w:tc>
        <w:tc>
          <w:tcPr>
            <w:tcW w:type="dxa" w:w="3120"/>
            <w:vAlign w:val="center"/>
            <w:tcMar>
              <w:top w:w="80" w:type="dxa"/>
              <w:start w:w="120" w:type="dxa"/>
              <w:bottom w:w="80" w:type="dxa"/>
              <w:end w:w="120" w:type="dxa"/>
            </w:tcMar>
          </w:tcPr>
          <w:p>
            <w:pPr>
              <w:jc w:val="center"/>
            </w:pPr>
            <w:r>
              <w:rPr>
                <w:rFonts w:ascii="Calibri" w:hAnsi="Calibri"/>
              </w:rPr>
              <w:t>Teaching approximation of Korean generation fleet blocks.</w:t>
            </w:r>
          </w:p>
        </w:tc>
        <w:tc>
          <w:tcPr>
            <w:tcW w:type="dxa" w:w="3120"/>
            <w:vAlign w:val="center"/>
            <w:tcMar>
              <w:top w:w="80" w:type="dxa"/>
              <w:start w:w="120" w:type="dxa"/>
              <w:bottom w:w="80" w:type="dxa"/>
              <w:end w:w="120" w:type="dxa"/>
            </w:tcMar>
          </w:tcPr>
          <w:p>
            <w:pPr>
              <w:jc w:val="center"/>
            </w:pPr>
            <w:r>
              <w:rPr>
                <w:rFonts w:ascii="Calibri" w:hAnsi="Calibri"/>
              </w:rPr>
              <w:t>Calibrated to KPX capacity/energy structure; not confidential unit data.</w:t>
            </w:r>
          </w:p>
        </w:tc>
      </w:tr>
      <w:tr>
        <w:tc>
          <w:tcPr>
            <w:tcW w:type="dxa" w:w="3120"/>
            <w:vAlign w:val="center"/>
            <w:tcMar>
              <w:top w:w="80" w:type="dxa"/>
              <w:start w:w="120" w:type="dxa"/>
              <w:bottom w:w="80" w:type="dxa"/>
              <w:end w:w="120" w:type="dxa"/>
            </w:tcMar>
          </w:tcPr>
          <w:p>
            <w:pPr>
              <w:jc w:val="left"/>
            </w:pPr>
            <w:r>
              <w:rPr>
                <w:rFonts w:ascii="Calibri" w:hAnsi="Calibri"/>
              </w:rPr>
              <w:t>emissionsTonnePerMwh</w:t>
            </w:r>
          </w:p>
        </w:tc>
        <w:tc>
          <w:tcPr>
            <w:tcW w:type="dxa" w:w="3120"/>
            <w:vAlign w:val="center"/>
            <w:tcMar>
              <w:top w:w="80" w:type="dxa"/>
              <w:start w:w="120" w:type="dxa"/>
              <w:bottom w:w="80" w:type="dxa"/>
              <w:end w:w="120" w:type="dxa"/>
            </w:tcMar>
          </w:tcPr>
          <w:p>
            <w:pPr>
              <w:jc w:val="center"/>
            </w:pPr>
            <w:r>
              <w:rPr>
                <w:rFonts w:ascii="Calibri" w:hAnsi="Calibri"/>
              </w:rPr>
              <w:t>CO2e factors by fuel used for carbon cost.</w:t>
            </w:r>
          </w:p>
        </w:tc>
        <w:tc>
          <w:tcPr>
            <w:tcW w:type="dxa" w:w="3120"/>
            <w:vAlign w:val="center"/>
            <w:tcMar>
              <w:top w:w="80" w:type="dxa"/>
              <w:start w:w="120" w:type="dxa"/>
              <w:bottom w:w="80" w:type="dxa"/>
              <w:end w:w="120" w:type="dxa"/>
            </w:tcMar>
          </w:tcPr>
          <w:p>
            <w:pPr>
              <w:jc w:val="center"/>
            </w:pPr>
            <w:r>
              <w:rPr>
                <w:rFonts w:ascii="Calibri" w:hAnsi="Calibri"/>
              </w:rPr>
              <w:t>MOTIE for coal/LNG; representative for oil/other [S8]</w:t>
            </w:r>
          </w:p>
        </w:tc>
      </w:tr>
    </w:tbl>
    <w:p>
      <w:pPr>
        <w:pStyle w:val="Heading1"/>
      </w:pPr>
      <w:r>
        <w:t>Appendix C - Suggested Exercises</w:t>
      </w:r>
    </w:p>
    <w:p>
      <w:pPr>
        <w:pStyle w:val="ListNumber"/>
      </w:pPr>
      <w:r>
        <w:rPr>
          <w:rFonts w:ascii="Calibri" w:hAnsi="Calibri"/>
        </w:rPr>
        <w:t>Set carbon recognition to 0%. Record coal dispatch, LNG dispatch, and modeled SMP. Then set it to 100%. Explain which fuel moves and why.</w:t>
      </w:r>
    </w:p>
    <w:p>
      <w:pPr>
        <w:pStyle w:val="ListNumber"/>
      </w:pPr>
      <w:r>
        <w:rPr>
          <w:rFonts w:ascii="Calibri" w:hAnsi="Calibri"/>
        </w:rPr>
        <w:t>Reduce nuclear availability by 15 percentage points. If coal does not increase much, identify which constraint prevents coal from absorbing residual load.</w:t>
      </w:r>
    </w:p>
    <w:p>
      <w:pPr>
        <w:pStyle w:val="ListNumber"/>
      </w:pPr>
      <w:r>
        <w:rPr>
          <w:rFonts w:ascii="Calibri" w:hAnsi="Calibri"/>
        </w:rPr>
        <w:t>Turn on fine-dust season and lower the coal cap. Explain why LNG may run even when coal remains cheaper on fuel cost.</w:t>
      </w:r>
    </w:p>
    <w:p>
      <w:pPr>
        <w:pStyle w:val="ListNumber"/>
      </w:pPr>
      <w:r>
        <w:rPr>
          <w:rFonts w:ascii="Calibri" w:hAnsi="Calibri"/>
        </w:rPr>
        <w:t>Switch from recognized to spot fuel mode. If dispatch barely changes, explain why the representative stack order did not cross.</w:t>
      </w:r>
    </w:p>
    <w:p>
      <w:pPr>
        <w:pStyle w:val="ListNumber"/>
      </w:pPr>
      <w:r>
        <w:rPr>
          <w:rFonts w:ascii="Calibri" w:hAnsi="Calibri"/>
        </w:rPr>
        <w:t>Raise LNG price and lower coal price. Then relax coal cap to 100%. Explain the difference between price-driven and policy-driven switching.</w:t>
      </w:r>
    </w:p>
    <w:p>
      <w:pPr>
        <w:pStyle w:val="ListNumber"/>
      </w:pPr>
      <w:r>
        <w:rPr>
          <w:rFonts w:ascii="Calibri" w:hAnsi="Calibri"/>
        </w:rPr>
        <w:t>Write a short analyst note decomposing a change in coal burn into demand, nuclear, renewables, fuel spread, carbon, and policy-cap effects.</w:t>
      </w:r>
    </w:p>
    <w:p>
      <w:pPr>
        <w:pStyle w:val="Heading1"/>
      </w:pPr>
      <w:r>
        <w:t>References</w:t>
      </w:r>
    </w:p>
    <w:p>
      <w:pPr>
        <w:spacing w:after="80"/>
      </w:pPr>
      <w:r>
        <w:rPr>
          <w:rFonts w:ascii="Calibri" w:hAnsi="Calibri"/>
          <w:b/>
        </w:rPr>
        <w:t xml:space="preserve">[S1] Korea Power Exchange (KPX), 2025 Power Market Statistics, published 2026-03-31. </w:t>
      </w:r>
      <w:r>
        <w:rPr>
          <w:rFonts w:ascii="Calibri" w:hAnsi="Calibri"/>
          <w:color w:val="0066CC"/>
        </w:rPr>
        <w:t>https://www.kpx.or.kr/boardDownload.es?bid=0045&amp;list_no=77084&amp;seq=4</w:t>
      </w:r>
    </w:p>
    <w:p>
      <w:pPr>
        <w:spacing w:after="80"/>
      </w:pPr>
      <w:r>
        <w:rPr>
          <w:rFonts w:ascii="Calibri" w:hAnsi="Calibri"/>
          <w:b/>
        </w:rPr>
        <w:t xml:space="preserve">[S2] KPX, Electricity Market Trading Process. </w:t>
      </w:r>
      <w:r>
        <w:rPr>
          <w:rFonts w:ascii="Calibri" w:hAnsi="Calibri"/>
          <w:color w:val="0066CC"/>
        </w:rPr>
        <w:t>https://www.kpx.or.kr/menu.es?mid=a20201000000</w:t>
      </w:r>
    </w:p>
    <w:p>
      <w:pPr>
        <w:spacing w:after="80"/>
      </w:pPr>
      <w:r>
        <w:rPr>
          <w:rFonts w:ascii="Calibri" w:hAnsi="Calibri"/>
          <w:b/>
        </w:rPr>
        <w:t xml:space="preserve">[S3] KPX, Market Price Determination. </w:t>
      </w:r>
      <w:r>
        <w:rPr>
          <w:rFonts w:ascii="Calibri" w:hAnsi="Calibri"/>
          <w:color w:val="0066CC"/>
        </w:rPr>
        <w:t>https://www.kpx.or.kr/menu.es?mid=a20203000000</w:t>
      </w:r>
    </w:p>
    <w:p>
      <w:pPr>
        <w:spacing w:after="80"/>
      </w:pPr>
      <w:r>
        <w:rPr>
          <w:rFonts w:ascii="Calibri" w:hAnsi="Calibri"/>
          <w:b/>
        </w:rPr>
        <w:t xml:space="preserve">[S4] KPX, Electricity Market Trading System. </w:t>
      </w:r>
      <w:r>
        <w:rPr>
          <w:rFonts w:ascii="Calibri" w:hAnsi="Calibri"/>
          <w:color w:val="0066CC"/>
        </w:rPr>
        <w:t>https://www.kpx.or.kr/menu.es?mid=a20202000000</w:t>
      </w:r>
    </w:p>
    <w:p>
      <w:pPr>
        <w:spacing w:after="80"/>
      </w:pPr>
      <w:r>
        <w:rPr>
          <w:rFonts w:ascii="Calibri" w:hAnsi="Calibri"/>
          <w:b/>
        </w:rPr>
        <w:t xml:space="preserve">[S5] KPX, Electricity Market Operation Council / Cost Evaluation Committee. </w:t>
      </w:r>
      <w:r>
        <w:rPr>
          <w:rFonts w:ascii="Calibri" w:hAnsi="Calibri"/>
          <w:color w:val="0066CC"/>
        </w:rPr>
        <w:t>https://new.kpx.or.kr/menu.es?mid=a20205000000</w:t>
      </w:r>
    </w:p>
    <w:p>
      <w:pPr>
        <w:spacing w:after="80"/>
      </w:pPr>
      <w:r>
        <w:rPr>
          <w:rFonts w:ascii="Calibri" w:hAnsi="Calibri"/>
          <w:b/>
        </w:rPr>
        <w:t xml:space="preserve">[S6] KPX, Settlement Process. </w:t>
      </w:r>
      <w:r>
        <w:rPr>
          <w:rFonts w:ascii="Calibri" w:hAnsi="Calibri"/>
          <w:color w:val="0066CC"/>
        </w:rPr>
        <w:t>https://new.kpx.or.kr/menu.es?mid=a20204000000</w:t>
      </w:r>
    </w:p>
    <w:p>
      <w:pPr>
        <w:spacing w:after="80"/>
      </w:pPr>
      <w:r>
        <w:rPr>
          <w:rFonts w:ascii="Calibri" w:hAnsi="Calibri"/>
          <w:b/>
        </w:rPr>
        <w:t xml:space="preserve">[S7] International Energy Agency (IEA), Korea Electricity Security Review. </w:t>
      </w:r>
      <w:r>
        <w:rPr>
          <w:rFonts w:ascii="Calibri" w:hAnsi="Calibri"/>
          <w:color w:val="0066CC"/>
        </w:rPr>
        <w:t>https://www.iea.org/reports/korea-electricity-security-review</w:t>
      </w:r>
    </w:p>
    <w:p>
      <w:pPr>
        <w:spacing w:after="80"/>
      </w:pPr>
      <w:r>
        <w:rPr>
          <w:rFonts w:ascii="Calibri" w:hAnsi="Calibri"/>
          <w:b/>
        </w:rPr>
        <w:t xml:space="preserve">[S8] MOTIE, 11th Basic Plan for Long-term Electricity Supply and Demand (2024-2038) announcement. </w:t>
      </w:r>
      <w:r>
        <w:rPr>
          <w:rFonts w:ascii="Calibri" w:hAnsi="Calibri"/>
          <w:color w:val="0066CC"/>
        </w:rPr>
        <w:t>https://www.motir.go.kr/kor/article/ATCLc01b2801b/70083/view</w:t>
      </w:r>
    </w:p>
    <w:p>
      <w:pPr>
        <w:spacing w:after="80"/>
      </w:pPr>
      <w:r>
        <w:rPr>
          <w:rFonts w:ascii="Calibri" w:hAnsi="Calibri"/>
          <w:b/>
        </w:rPr>
        <w:t xml:space="preserve">[S9] KDI Economic Information and Education Center, MOTIE 11th Basic Plan confirmation release. </w:t>
      </w:r>
      <w:r>
        <w:rPr>
          <w:rFonts w:ascii="Calibri" w:hAnsi="Calibri"/>
          <w:color w:val="0066CC"/>
        </w:rPr>
        <w:t>https://eiec.kdi.re.kr/policy/materialView.do?num=263534</w:t>
      </w:r>
    </w:p>
    <w:p>
      <w:pPr>
        <w:spacing w:after="80"/>
      </w:pPr>
      <w:r>
        <w:rPr>
          <w:rFonts w:ascii="Calibri" w:hAnsi="Calibri"/>
          <w:b/>
        </w:rPr>
        <w:t xml:space="preserve">[S10] Ministry of Climate, Energy and Environment, Fine Dust Seasonal Management press release. </w:t>
      </w:r>
      <w:r>
        <w:rPr>
          <w:rFonts w:ascii="Calibri" w:hAnsi="Calibri"/>
          <w:color w:val="0066CC"/>
        </w:rPr>
        <w:t>https://mcee.go.kr/eng/web/board/read.do?boardId=1640870&amp;boardMasterId=522&amp;menuId=461</w:t>
      </w:r>
    </w:p>
    <w:p>
      <w:pPr>
        <w:spacing w:after="80"/>
      </w:pPr>
      <w:r>
        <w:rPr>
          <w:rFonts w:ascii="Calibri" w:hAnsi="Calibri"/>
          <w:b/>
        </w:rPr>
        <w:t xml:space="preserve">[S11] ICAP, Korea Emissions Trading System factsheet. </w:t>
      </w:r>
      <w:r>
        <w:rPr>
          <w:rFonts w:ascii="Calibri" w:hAnsi="Calibri"/>
          <w:color w:val="0066CC"/>
        </w:rPr>
        <w:t>https://icapcarbonaction.com/en/ets/korea-emissions-trading-system-k-ets</w:t>
      </w:r>
    </w:p>
    <w:p>
      <w:pPr>
        <w:spacing w:after="80"/>
      </w:pPr>
      <w:r>
        <w:rPr>
          <w:rFonts w:ascii="Calibri" w:hAnsi="Calibri"/>
          <w:b/>
        </w:rPr>
        <w:t xml:space="preserve">[S12] IEA, ETS in the power sector, Korea case discussion. </w:t>
      </w:r>
      <w:r>
        <w:rPr>
          <w:rFonts w:ascii="Calibri" w:hAnsi="Calibri"/>
          <w:color w:val="0066CC"/>
        </w:rPr>
        <w:t>https://www.iea.org/reports/implementing-effective-emissions-trading-systems/ets-in-power-sector</w:t>
      </w:r>
    </w:p>
    <w:p>
      <w:pPr>
        <w:spacing w:after="80"/>
      </w:pPr>
      <w:r>
        <w:rPr>
          <w:rFonts w:ascii="Calibri" w:hAnsi="Calibri"/>
          <w:b/>
        </w:rPr>
        <w:t xml:space="preserve">[S13] IEA, Natural Gas Supply Security in Korea. </w:t>
      </w:r>
      <w:r>
        <w:rPr>
          <w:rFonts w:ascii="Calibri" w:hAnsi="Calibri"/>
          <w:color w:val="0066CC"/>
        </w:rPr>
        <w:t>https://iea.blob.core.windows.net/assets/4240647e-42f1-4791-8b12-59a09ca8fff9/NaturalGasSupplySecurityinKorea.pdf</w:t>
      </w:r>
    </w:p>
    <w:p>
      <w:pPr>
        <w:spacing w:after="80"/>
      </w:pPr>
      <w:r>
        <w:rPr>
          <w:rFonts w:ascii="Calibri" w:hAnsi="Calibri"/>
          <w:b/>
        </w:rPr>
        <w:t xml:space="preserve">[S14] IEA, Korea 2025 Energy Policy Review, executive summary. </w:t>
      </w:r>
      <w:r>
        <w:rPr>
          <w:rFonts w:ascii="Calibri" w:hAnsi="Calibri"/>
          <w:color w:val="0066CC"/>
        </w:rPr>
        <w:t>https://www.iea.org/reports/korea-2025/executive-summary</w:t>
      </w:r>
    </w:p>
    <w:p>
      <w:pPr>
        <w:spacing w:after="80"/>
      </w:pPr>
      <w:r>
        <w:rPr>
          <w:rFonts w:ascii="Calibri" w:hAnsi="Calibri"/>
          <w:b/>
        </w:rPr>
        <w:t xml:space="preserve">[S15] IEA, Coal 2024. </w:t>
      </w:r>
      <w:r>
        <w:rPr>
          <w:rFonts w:ascii="Calibri" w:hAnsi="Calibri"/>
          <w:color w:val="0066CC"/>
        </w:rPr>
        <w:t>https://iea.blob.core.windows.net/assets/a1ee7b75-d555-49b6-b580-17d64ccc8365/Coal2024.pdf</w:t>
      </w:r>
    </w:p>
    <w:p>
      <w:pPr>
        <w:spacing w:after="80"/>
      </w:pPr>
      <w:r>
        <w:rPr>
          <w:rFonts w:ascii="Calibri" w:hAnsi="Calibri"/>
          <w:b/>
        </w:rPr>
        <w:t xml:space="preserve">[S16] MarketWatch / Dow Jones OPIS, South Korea Approves Market Stability Reserve for K-ETS. </w:t>
      </w:r>
      <w:r>
        <w:rPr>
          <w:rFonts w:ascii="Calibri" w:hAnsi="Calibri"/>
          <w:color w:val="0066CC"/>
        </w:rPr>
        <w:t>https://www.marketwatch.com/story/south-korea-approves-market-stability-reserve-for-k-ets-opis-31412180</w:t>
      </w:r>
    </w:p>
    <w:p>
      <w:pPr>
        <w:spacing w:after="80"/>
      </w:pPr>
      <w:r>
        <w:rPr>
          <w:rFonts w:ascii="Calibri" w:hAnsi="Calibri"/>
          <w:b/>
        </w:rPr>
        <w:t xml:space="preserve">[S17] KPX mainland SMP live table. </w:t>
      </w:r>
      <w:r>
        <w:rPr>
          <w:rFonts w:ascii="Calibri" w:hAnsi="Calibri"/>
          <w:color w:val="0066CC"/>
        </w:rPr>
        <w:t>https://www.kpx.or.kr/smpInland.es?mid=a10404080100&amp;device=pc</w:t>
      </w:r>
    </w:p>
    <w:p>
      <w:pPr>
        <w:spacing w:after="80"/>
      </w:pPr>
      <w:r>
        <w:rPr>
          <w:rFonts w:ascii="Calibri" w:hAnsi="Calibri"/>
          <w:b/>
        </w:rPr>
        <w:t xml:space="preserve">[S18] KPX daily power supply-demand performance page. </w:t>
      </w:r>
      <w:r>
        <w:rPr>
          <w:rFonts w:ascii="Calibri" w:hAnsi="Calibri"/>
          <w:color w:val="0066CC"/>
        </w:rPr>
        <w:t>https://www.kpx.or.kr/powerDemandPerform.es?mid=a10404060000</w:t>
      </w:r>
    </w:p>
    <w:p>
      <w:pPr>
        <w:spacing w:after="80"/>
      </w:pPr>
      <w:r>
        <w:rPr>
          <w:rFonts w:ascii="Calibri" w:hAnsi="Calibri"/>
          <w:b/>
        </w:rPr>
        <w:t xml:space="preserve">[S19] GitHub repository for the KPX Cost Stack Lab model. </w:t>
      </w:r>
      <w:r>
        <w:rPr>
          <w:rFonts w:ascii="Calibri" w:hAnsi="Calibri"/>
          <w:color w:val="0066CC"/>
        </w:rPr>
        <w:t>https://github.com/qrlow/kpx-cost-stack-lab</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C5C5C"/>
        <w:sz w:val="18"/>
      </w:rPr>
      <w:t>Generated for Korean thermal coal market learning | 2026-06-25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5C5C5C"/>
        <w:sz w:val="18"/>
      </w:rPr>
      <w:t>KPX Cost Stack Lab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Understanding Korea's KPX Cost Stack and Thermal Coal-to-LNG Switching</dc:title>
  <dc:subject>Korea power-market course and KPX Cost Stack Lab guide</dc:subject>
  <dc:creator>OpenAI Codex</dc:creator>
  <cp:keywords/>
  <dc:description>Generated with compact_reference_guide preset; sources listed in document.</dc:description>
  <cp:lastModifiedBy/>
  <cp:revision>1</cp:revision>
  <dcterms:created xsi:type="dcterms:W3CDTF">2013-12-23T23:15:00Z</dcterms:created>
  <dcterms:modified xsi:type="dcterms:W3CDTF">2013-12-23T23:15:00Z</dcterms:modified>
  <cp:category/>
</cp:coreProperties>
</file>