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646464"/>
          <w:sz w:val="20"/>
        </w:rPr>
        <w:t>КУРС: АВТОМАТИЧЕСКАЯ ОБРАБОТКА ТЕКСТОВ</w:t>
        <w:br/>
      </w:r>
      <w:r>
        <w:rPr>
          <w:b/>
          <w:color w:val="14325A"/>
          <w:sz w:val="36"/>
        </w:rPr>
        <w:t>ОТЧЕТ ПО ЛАБОРАТОРНОЙ РАБОТЕ № 6</w:t>
        <w:br/>
        <w:t>«AI-ДЕТЕКТИВ: ИССЛЕДОВАНИЕ RAG И p-АДИЧЕСКОГО КОНТЕКСТА»</w:t>
      </w:r>
    </w:p>
    <w:p>
      <w:pPr>
        <w:spacing w:after="280"/>
      </w:pPr>
      <w:r>
        <w:rPr>
          <w:i/>
          <w:color w:val="505050"/>
          <w:sz w:val="19"/>
        </w:rPr>
        <w:t>Сценарий: Каскадный сбой в социальной сети «Сфера» (SphereNet) | Модель: GigaChat</w:t>
        <w:br/>
        <w:t>Объем досье: 12 документов (5 749 слов), 36 атомарных утверждений, 12 контрольных вопросов</w:t>
      </w:r>
    </w:p>
    <w:p>
      <w:pPr>
        <w:spacing w:after="240"/>
        <w:pBdr>
          <w:bottom w:val="single" w:sz="12" w:space="1" w:color="14325A"/>
        </w:pBdr>
      </w:pPr>
    </w:p>
    <w:p>
      <w:pPr>
        <w:pStyle w:val="Heading1"/>
        <w:spacing w:before="160" w:after="80"/>
      </w:pPr>
      <w:r>
        <w:t>1. Цель и архитектура исследования</w:t>
      </w:r>
    </w:p>
    <w:p>
      <w:pPr>
        <w:spacing w:line="276" w:lineRule="auto" w:after="160"/>
      </w:pPr>
      <w:r>
        <w:t>Цель работы — исследование поведения современной большой языковой модели (GigaChat) при ответах на сложные аналитические вопросы по длинному контексту со скрытыми логическими зависимостями. В фокусе исследования: разрешение противоречий источников, разделение доказанного факта и правдоподобной догадки, работа с условными нормами и исключениями, а также сравнительный анализ трех стратегий формирования контекста: полного документального окна, плоского BM25-поиска и ультраметрической p-адической иерархии (p=3).</w:t>
      </w:r>
    </w:p>
    <w:p>
      <w:pPr>
        <w:pStyle w:val="Heading1"/>
        <w:spacing w:before="160" w:after="80"/>
      </w:pPr>
      <w:r>
        <w:t>2. Структура цифрового досье и контрольные эталоны</w:t>
      </w:r>
    </w:p>
    <w:p>
      <w:pPr>
        <w:spacing w:line="276" w:lineRule="auto" w:after="120"/>
      </w:pPr>
      <w:r>
        <w:t>Цифровое досье моделирует технический инцидент INC-2026-0314-P0 в вымышленной социальной сети «Сфера» (45 млн пользователей), в ходе которого из-за синтаксической ошибки в hotfix-патче антиспам-фильтра произошло ошибочное наложение санкций на 12.45 миллиона реальных профилей, а дежурный SRE-инженер применил аварийный мастер-ключ RED_OVERRIDE.</w:t>
      </w:r>
    </w:p>
    <w:p>
      <w:pPr>
        <w:pStyle w:val="ListBullet"/>
        <w:spacing w:after="60" w:line="276" w:lineRule="auto"/>
      </w:pPr>
      <w:r>
        <w:rPr>
          <w:b/>
        </w:rPr>
        <w:t xml:space="preserve">Документальный массив: </w:t>
      </w:r>
      <w:r>
        <w:t>12 связанных документов общим объемом 5 749 слов (включает технический Post-mortem, детальную шкалу времени NOC, показания трех участников смены, выгрузку экстренного чата, журнал аудита и СКУД, регламент SecOps Policy 4.2, протокол исключений Addendum 4.2-B, независимый отчет CyberAudit и два тематически похожих нерелевантных документа).</w:t>
      </w:r>
    </w:p>
    <w:p>
      <w:pPr>
        <w:pStyle w:val="ListBullet"/>
        <w:spacing w:after="60" w:line="276" w:lineRule="auto"/>
      </w:pPr>
      <w:r>
        <w:rPr>
          <w:b/>
        </w:rPr>
        <w:t xml:space="preserve">Атомарные утверждения (36 claims): </w:t>
      </w:r>
      <w:r>
        <w:t>Каждое утверждение содержит атомарный факт с обязательной дословной верификацией цитаты evidence в исходном документе и разделением статусов: direct (документальный факт), reported (свидетельское показание), inferred (логический вывод), disputed (оспариваемый факт).</w:t>
      </w:r>
    </w:p>
    <w:p>
      <w:pPr>
        <w:pStyle w:val="ListBullet"/>
        <w:spacing w:after="60" w:line="276" w:lineRule="auto"/>
      </w:pPr>
      <w:r>
        <w:rPr>
          <w:b/>
        </w:rPr>
        <w:t xml:space="preserve">Контрольная выборка вопросов (12 questions): </w:t>
      </w:r>
      <w:r>
        <w:t>Ровно по 2 вопроса на каждый из 6 обязательных типов: прямой факт (Q01, Q02), multi-hop вывод (Q03, Q04), временная последовательность (Q05, Q06), правило и исключение (Q07, Q08), конфликт источников (Q09, Q10), граница между выводом и догадкой (Q11, Q12).</w:t>
      </w:r>
    </w:p>
    <w:p>
      <w:pPr>
        <w:pStyle w:val="Heading1"/>
        <w:spacing w:before="160" w:after="80"/>
      </w:pPr>
      <w:r>
        <w:t>3. p-Адическая модель организации контекста (p=3)</w:t>
      </w:r>
    </w:p>
    <w:p>
      <w:pPr>
        <w:spacing w:after="80"/>
      </w:pPr>
      <w:r>
        <w:t>Для устранения эффекта хаотического набора фактов в RAG-контексте применена математическая схема p-адической кластеризации при p=3. Каждое извлеченное утверждение кодируется путем в 3-дереве: x = (a0, a1, a2), где:</w:t>
      </w:r>
    </w:p>
    <w:p>
      <w:pPr>
        <w:pStyle w:val="ListBullet"/>
        <w:spacing w:after="60"/>
      </w:pPr>
      <w:r>
        <w:rPr>
          <w:b/>
        </w:rPr>
        <w:t xml:space="preserve">Уровень a0 (Тип источника): </w:t>
      </w:r>
      <w:r>
        <w:t>0 — системный/документальный (лог, post-mortem); 1 — свидетельство (показания, чат); 2 — правило/интерпретация (регламент, аудит).</w:t>
      </w:r>
    </w:p>
    <w:p>
      <w:pPr>
        <w:pStyle w:val="ListBullet"/>
        <w:spacing w:after="60"/>
      </w:pPr>
      <w:r>
        <w:rPr>
          <w:b/>
        </w:rPr>
        <w:t xml:space="preserve">Уровень a1 (Эпистемический статус): </w:t>
      </w:r>
      <w:r>
        <w:t>0 — установленный факт; 1 — сообщение/гипотеза; 2 — спорное/исключение.</w:t>
      </w:r>
    </w:p>
    <w:p>
      <w:pPr>
        <w:pStyle w:val="ListBullet"/>
        <w:spacing w:after="60"/>
      </w:pPr>
      <w:r>
        <w:rPr>
          <w:b/>
        </w:rPr>
        <w:t xml:space="preserve">Уровень a2 (Временной срез): </w:t>
      </w:r>
      <w:r>
        <w:t>0 — до события (до 14:28); 1 — во время инцидента; 2 — после стабилизации/неизвестно.</w:t>
      </w:r>
    </w:p>
    <w:p>
      <w:pPr>
        <w:spacing w:line="276" w:lineRule="auto" w:after="160"/>
      </w:pPr>
      <w:r>
        <w:t>Код утверждения рассчитывается как x = a0 + a1*3 + a2*9. Расстояние между утверждениями задается строгой ультраметрической формулой: d3(x, y) = 3^(-k), где k — длина совпадающего начального префикса путей (при k=3 расстояние принимается равным 0). Если утверждения происходят из принципиально разных источников (различие на уровне a0), расстояние максимально и равно 1. Если совпадают источник и статус, но различается время, расстояние составляет 1/9. Такая метрика удовлетворяет строгому ультраметрическому неравенству d(x, z) &lt;= max(d(x, y), d(y, z)).</w:t>
      </w:r>
    </w:p>
    <w:p>
      <w:pPr>
        <w:pStyle w:val="Heading1"/>
        <w:spacing w:before="160" w:after="80"/>
      </w:pPr>
      <w:r>
        <w:t>4. Сравнительные эксперименты и анализ результатов</w:t>
      </w:r>
    </w:p>
    <w:p>
      <w:pPr>
        <w:spacing w:after="120"/>
      </w:pPr>
      <w:r>
        <w:t>В исследовании сравнивались три режима организации одного и того же информационного поля при фиксированных параметрах модели GigaChat (temperature=0.01, единый системный промпт со строгой JSON-валидацией):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E3C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Режим контекста</w:t>
            </w:r>
          </w:p>
        </w:tc>
        <w:tc>
          <w:tcPr>
            <w:tcW w:type="dxa" w:w="1419"/>
            <w:shd w:fill="1E3C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 Acc</w:t>
            </w:r>
          </w:p>
        </w:tc>
        <w:tc>
          <w:tcPr>
            <w:tcW w:type="dxa" w:w="1419"/>
            <w:shd w:fill="1E3C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Evidence F1</w:t>
            </w:r>
          </w:p>
        </w:tc>
        <w:tc>
          <w:tcPr>
            <w:tcW w:type="dxa" w:w="1419"/>
            <w:shd w:fill="1E3C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Токены</w:t>
            </w:r>
          </w:p>
        </w:tc>
        <w:tc>
          <w:tcPr>
            <w:tcW w:type="dxa" w:w="1419"/>
            <w:shd w:fill="1E3C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Время (с)</w:t>
            </w:r>
          </w:p>
        </w:tc>
        <w:tc>
          <w:tcPr>
            <w:tcW w:type="dxa" w:w="1419"/>
            <w:shd w:fill="1E3C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Both Acc</w:t>
            </w:r>
          </w:p>
        </w:tc>
        <w:tc>
          <w:tcPr>
            <w:tcW w:type="dxa" w:w="1419"/>
            <w:shd w:fill="1E3C6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Insuff Acc</w:t>
            </w:r>
          </w:p>
        </w:tc>
      </w:tr>
      <w:tr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Режим A (Полный контекст)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0.75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0.58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7 450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4.8 с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0.50</w:t>
            </w:r>
          </w:p>
        </w:tc>
      </w:tr>
      <w:tr>
        <w:tc>
          <w:tcPr>
            <w:tcW w:type="dxa" w:w="1419"/>
            <w:shd w:fill="F6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Режим B (Плоский BM25 top-15)</w:t>
            </w:r>
          </w:p>
        </w:tc>
        <w:tc>
          <w:tcPr>
            <w:tcW w:type="dxa" w:w="1419"/>
            <w:shd w:fill="F6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0.67</w:t>
            </w:r>
          </w:p>
        </w:tc>
        <w:tc>
          <w:tcPr>
            <w:tcW w:type="dxa" w:w="1419"/>
            <w:shd w:fill="F6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0.62</w:t>
            </w:r>
          </w:p>
        </w:tc>
        <w:tc>
          <w:tcPr>
            <w:tcW w:type="dxa" w:w="1419"/>
            <w:shd w:fill="F6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1 850</w:t>
            </w:r>
          </w:p>
        </w:tc>
        <w:tc>
          <w:tcPr>
            <w:tcW w:type="dxa" w:w="1419"/>
            <w:shd w:fill="F6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1.9 с</w:t>
            </w:r>
          </w:p>
        </w:tc>
        <w:tc>
          <w:tcPr>
            <w:tcW w:type="dxa" w:w="1419"/>
            <w:shd w:fill="F6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type="dxa" w:w="1419"/>
            <w:shd w:fill="F6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0.50</w:t>
            </w:r>
          </w:p>
        </w:tc>
      </w:tr>
      <w:tr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Режим C (p-adic Context top-15)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0.83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0.79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2 100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2.1 с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type="dxa" w:w="1419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1.00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t>5. Ответы на обязательные аналитические вопросы</w:t>
      </w:r>
    </w:p>
    <w:p>
      <w:pPr>
        <w:spacing w:before="80" w:after="40" w:line="276" w:lineRule="auto"/>
      </w:pPr>
      <w:r>
        <w:rPr>
          <w:b/>
          <w:color w:val="14325A"/>
        </w:rPr>
        <w:t>1. Улучшает ли retrieval результат по сравнению с полным текстом?</w:t>
        <w:br/>
      </w:r>
      <w:r>
        <w:t>Да. Хотя в Режиме A точность статуса составила 0.75, полнота извлечения точных доказательств была невысокой (Evidence F1 = 0.58) из-за эффекта 'Lost in the Middle' в тексте объемом 5 749 слов. BM25-retrieval сократил объем контекста в 3.5 раза (с 7 450 до 1 850 токенов) и ускорил генерацию с 4.8 с до 1.9 с. Плотность информации в retrieval-контексте позволила модели точнее локализовать ключевые факты.</w:t>
      </w:r>
    </w:p>
    <w:p>
      <w:pPr>
        <w:spacing w:before="80" w:after="40" w:line="276" w:lineRule="auto"/>
      </w:pPr>
      <w:r>
        <w:rPr>
          <w:b/>
          <w:color w:val="14325A"/>
        </w:rPr>
        <w:t>2. Улучшает ли p-adic группировка распознавание противоречий?</w:t>
        <w:br/>
      </w:r>
      <w:r>
        <w:t>Да, это ключевое преимущество Режима C. В плоском списке BM25 противоречащие факты смешиваются, и модель склонна выбирать первое попавшееся утверждение, ошибочно выставляя статус 'entailed' (точность Both Acc в Режиме B всего 0.50). В Режиме C конфликтующие источники распределяются по разным ветвям (например, ВЕТВЬ [0,0,1] — системные факты против ВЕТВЬ [2,2,1] — спорные данные аудита). Структурный контраст позволил достичь 100% точности распознавания конфликта (Both Acc = 1.00).</w:t>
      </w:r>
    </w:p>
    <w:p>
      <w:pPr>
        <w:spacing w:before="80" w:after="40" w:line="276" w:lineRule="auto"/>
      </w:pPr>
      <w:r>
        <w:rPr>
          <w:b/>
          <w:color w:val="14325A"/>
        </w:rPr>
        <w:t>3. Отличает ли модель insufficient от правдоподобной догадки?</w:t>
        <w:br/>
      </w:r>
      <w:r>
        <w:t>В Режимах A и B модель склонна доверять субъективным утверждениям свидетелей (например, объяснению инженера об отсутствии злого умысла) и выставлять вердикт 'contradicted' вместо признания нехватки данных (Insufficient Acc = 0.50). В Режиме C наличие выделенной ветви со статусом a1=1 ('сообщения/гипотезы') явно сигнализирует модели о недоказанности посылки, повышая точность распознавания нехватки информации до 1.00.</w:t>
      </w:r>
    </w:p>
    <w:p>
      <w:pPr>
        <w:spacing w:before="80" w:after="40" w:line="276" w:lineRule="auto"/>
      </w:pPr>
      <w:r>
        <w:rPr>
          <w:b/>
          <w:color w:val="14325A"/>
        </w:rPr>
        <w:t>4. Меняется ли ответ после перестановки документов?</w:t>
        <w:br/>
      </w:r>
      <w:r>
        <w:t>В Режиме A при случайном изменении порядка документов (random_state=42) ответ модели изменялся в 16.7% случаев (2 вопроса из 12) из-за изменения позиционных смещений эмбеддингов в окне внимания. В Режиме C результат абсолютно инвариантен к перестановке исходных документов, поскольку порядок утверждений детерминирован p-адическим ключом (a0, a1, a2).</w:t>
      </w:r>
    </w:p>
    <w:p>
      <w:pPr>
        <w:spacing w:before="80" w:after="40" w:line="276" w:lineRule="auto"/>
      </w:pPr>
      <w:r>
        <w:rPr>
          <w:b/>
          <w:color w:val="14325A"/>
        </w:rPr>
        <w:t>5. Как модель реагирует на удаление необходимой посылки?</w:t>
        <w:br/>
      </w:r>
      <w:r>
        <w:t>При удалении критической посылки (например, утверждения C34 об условиях протокола Addendum 4.2-B для multi-hop вопроса Q07) модель в Режимах B и C корректно изменяет статус с 'entailed' на 'insufficient', явно указывая в поле explanation, какой именно нормативной предпосылки не хватает для вывода.</w:t>
      </w:r>
    </w:p>
    <w:p>
      <w:pPr>
        <w:spacing w:before="80" w:after="40" w:line="276" w:lineRule="auto"/>
      </w:pPr>
      <w:r>
        <w:rPr>
          <w:b/>
          <w:color w:val="14325A"/>
        </w:rPr>
        <w:t>6. Соответствует ли confidence фактической точности?</w:t>
        <w:br/>
      </w:r>
      <w:r>
        <w:t>Калибровка уверенности модели носит нелинейный характер. На прямых вопросах уверенность высока (0.90–0.98) и соответствует истине. Однако при отсутствии структурированного контекста (Режим B) на вопросах типа insufficient модель часто демонстрирует необоснованную сверхуверенность (confidence &gt; 0.75), строя правдоподобную, но бездоказательную гипотезу.</w:t>
      </w:r>
    </w:p>
    <w:p>
      <w:pPr>
        <w:spacing w:before="80" w:after="40" w:line="276" w:lineRule="auto"/>
      </w:pPr>
      <w:r>
        <w:rPr>
          <w:b/>
          <w:color w:val="14325A"/>
        </w:rPr>
        <w:t>7. В каких случаях p-adic структура помогает, а в каких мешает?</w:t>
        <w:br/>
      </w:r>
      <w:r>
        <w:t>Помогает: при анализе конфликтов источников, проверке сложных иерархических правил с исключениями и сепарации аппаратных логов от субъективных показаний. Мешает / нейтральна: на простых прямых фактологических вопросах (Direct), где достаточно единственного ключевого слова, а мета-разметка ветвей лишь добавляет ~200-250 избыточных токенов.</w:t>
      </w:r>
    </w:p>
    <w:p>
      <w:pPr>
        <w:pStyle w:val="Heading1"/>
        <w:spacing w:before="160" w:after="80"/>
      </w:pPr>
      <w:r>
        <w:t>6. Заключение и вклад</w:t>
      </w:r>
    </w:p>
    <w:p>
      <w:pPr>
        <w:spacing w:line="276" w:lineRule="auto" w:after="120"/>
      </w:pPr>
      <w:r>
        <w:t>Итог работы подтвердил, что качество ответов LLM в RAG-системах определяется не просто объемом подаваемого контекста, а его внутренней эпистемической организацией. p-Адическое дерево позволило эффективно разделить поиск доказательств, структурирование оснований и верификацию логического статуса.</w:t>
      </w:r>
    </w:p>
    <w:p>
      <w:pPr>
        <w:pStyle w:val="ListBullet"/>
        <w:spacing w:after="60"/>
      </w:pPr>
      <w:r>
        <w:rPr>
          <w:b/>
        </w:rPr>
        <w:t xml:space="preserve">Участник 1: </w:t>
      </w:r>
      <w:r>
        <w:t>Генерация цифрового досье (5 749 слов), выделение 36 атомарных утверждений со строгой дословной привязкой evidence, проектирование 12 контрольных вопросов и эталонов.</w:t>
      </w:r>
    </w:p>
    <w:p>
      <w:pPr>
        <w:pStyle w:val="ListBullet"/>
        <w:spacing w:after="60"/>
      </w:pPr>
      <w:r>
        <w:rPr>
          <w:b/>
        </w:rPr>
        <w:t xml:space="preserve">Участник 2: </w:t>
      </w:r>
      <w:r>
        <w:t>Реализация BM25-ранжирования, математического модуля p-адической ультраметрики при p=3, построение контекстов для режимов A, B, C и реализация 3 стресс-тестов.</w:t>
      </w:r>
    </w:p>
    <w:p>
      <w:pPr>
        <w:pStyle w:val="ListBullet"/>
        <w:spacing w:after="60"/>
      </w:pPr>
      <w:r>
        <w:rPr>
          <w:b/>
        </w:rPr>
        <w:t xml:space="preserve">Участник 3: </w:t>
      </w:r>
      <w:r>
        <w:t>Интеграция с API GigaChat, разработка интерактивного Streamlit-стенда (app.py), расчет метрик точности/F1, написание набора из 10 автотестов pytest и ведение AI_LOG.md.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