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xld3u5gn2eo" w:id="0"/>
      <w:bookmarkEnd w:id="0"/>
      <w:r w:rsidDel="00000000" w:rsidR="00000000" w:rsidRPr="00000000">
        <w:rPr>
          <w:rtl w:val="0"/>
        </w:rPr>
        <w:t xml:space="preserve">Аналитическая записка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qgsbtvr5cjp" w:id="1"/>
      <w:bookmarkEnd w:id="1"/>
      <w:r w:rsidDel="00000000" w:rsidR="00000000" w:rsidRPr="00000000">
        <w:rPr>
          <w:rtl w:val="0"/>
        </w:rPr>
        <w:t xml:space="preserve">к проекту по дисциплине «Налогообложение предпринимательской деятельности»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fnrsyobj045" w:id="2"/>
      <w:bookmarkEnd w:id="2"/>
      <w:r w:rsidDel="00000000" w:rsidR="00000000" w:rsidRPr="00000000">
        <w:rPr>
          <w:rtl w:val="0"/>
        </w:rPr>
        <w:t xml:space="preserve">AgentFlow AI: развитие SaaS-бизнеса от ИП до ООО с международным контуром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t0o30xnxo4q" w:id="3"/>
      <w:bookmarkEnd w:id="3"/>
      <w:r w:rsidDel="00000000" w:rsidR="00000000" w:rsidRPr="00000000">
        <w:rPr>
          <w:rtl w:val="0"/>
        </w:rPr>
        <w:t xml:space="preserve">1. Краткий управленческий вывод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Проект AgentFlow AI моделирует развитие российской SaaS-платформы AI-агентов в 2026-2030 годах. Бизнес начинается как небольшой предпринимательский проект в Москве, затем расширяется в Казань и Екатеринбург, переходит от ИП к ООО и в 2030 году создает международный сервисно-продажный контур через ТОО в Казахстане.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Главный вывод модели: оптимальная траектория развития не сводится к выбору самой низкой налоговой ставки. Более устойчивой оказывается последовательная модель, разложенная по этапам: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Этап 1, расширение в регионах России: подэтап 2026 - стартовая московская модель ИП; подэтап 2027 - фактическое расширение ИП в Казань и Екатеринбург без ошибочного оформления «филиалов ИП».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Этап 2, переход к более сложной российской структуре: подэтап 2028 - переход к ООО из-за роста штата, B2B-контрактов, SLA, интеллектуальной собственности и ответственности; подэтап 2029 - зрелая российская региональная структура.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Этап 3, международный блок: подэтап 2030 - создание ТОО в Казахстане как отдельного локального контура для продаж, внедрений и поддержки.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Финансовая модель подтверждает жизнеспособность этой траектории. Выручка растет с 13,7 млн руб. в 2026 году до 262,7 млн руб. в 2030 году. Чистая прибыль увеличивается с 6,7 млн руб. до 124,1 млн руб., а денежные средства на конец декабря 2030 года достигают 216,3 млн руб. При этом эффективная налоговая ставка по модели остается контролируемой: 25,5% в 2026 году, пик 43,1% в 2028 году и снижение до 30,1% в 2030 году за счет масштаба выручки и сохранения выбранного налогового режима.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Модель показывает, что проект не «перепрыгивает» сразу в международную структуру. Международный блок появляется только после того, как российская модель стала зрелой: есть продуктовая линейка, региональная клиентская база, штат, регулярная выручка и управленческая необходимость обслуживать клиентов за пределами России.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ni807085k8nr" w:id="4"/>
      <w:bookmarkEnd w:id="4"/>
      <w:r w:rsidDel="00000000" w:rsidR="00000000" w:rsidRPr="00000000">
        <w:rPr>
          <w:rtl w:val="0"/>
        </w:rPr>
        <w:t xml:space="preserve">2. Методическая логика проекта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Комплексное методическое задание требует показать бизнес как последовательную цепочку решений: стартовая форма, расширение внутри России, усложнение российской структуры и только затем международный блок. Поэтому записка построена не как абстрактное сравнение налоговых режимов, а как анализ управленческого развития AgentFlow AI.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отдельно раскрыт региональный этап;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объяснено, почему для ИП нельзя использовать конструкцию филиала;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после перехода к ООО рассмотрены признаки обособленного подразделения;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Excel разделены выручка, ФОТ, операционные расходы, налоги, ДДС, ЭНС и риски;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международный блок введен не формально, а как продолжение зрелой SaaS-модели;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выводы опираются на расчетные листы Excel, а не на ручной подбор результата.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Помимо базового сценария развития AgentFlow AI, в проекте также рассматривались альтернативные варианты структуры бизнеса. Они не были выбраны в качестве основной модели, однако использовались для сравнения организационных и налоговых последствий.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Рассматривались следующие альтернативы: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отказа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ООО уже в 2026 году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MVP-этапа и первых внедрений такая структура создает избыточную административную и бухгалтерскую сложность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Сохранение ИП после 2028 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росте штата, региональной сети и B2B-контрактов модель ИП становится менее удобной с точки зрения управления рисками и документооборота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 на ОСНО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Несмотря на потенциальную привлекательность НДС для части B2B-клиентов, совокупная налоговая нагрузка по модели существенно выше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Использование филиалов ООО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выбранной структуры бизнеса полноценные филиалы оказались организационно тяжелее, чем модель иных обособленных подразделений или распределенной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Международная структура через ОАЭ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текущем масштабе бизнеса отсутствует достаточная экономическая обоснованность и substance для полноценного использования такой юрисдикции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Таким образом, выбранная модель развития является не случайным набором решений, а результатом сравнения нескольких реалистичных вариантов организации бизнеса.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Правовая рамка регионального блока основана на различии между филиалом, представительством и иным обособленным подразделением. По смыслу ст. 55 ГК РФ филиал и представительство являются подразделениями юридического лица. Статья 5 Закона об ООО также описывает филиалы и представительства именно общества. Налоговое понятие обособленного подразделения в ст. 11 НК РФ связано с территориально обособленным подразделением организации со стационарными рабочими местами. Поэтому на этапе ИП корректно говорить о фактическом расширении через работников, рабочие места, договоры, коворкинги и локальную поддержку, а не о филиальной сети.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azp89uq69zow" w:id="5"/>
      <w:bookmarkEnd w:id="5"/>
      <w:r w:rsidDel="00000000" w:rsidR="00000000" w:rsidRPr="00000000">
        <w:rPr>
          <w:rtl w:val="0"/>
        </w:rPr>
        <w:t xml:space="preserve">3. Описание бизнеса AgentFlow AI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AgentFlow AI - SaaS-платформа для малого и среднего бизнеса, которая автоматизирует клиентские, документные и операционные процессы с помощью AI-агентов.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Основные функции продукта: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обработка заявок клиентов;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AI-агент первой линии поддержки;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генерация и проверка типовых документов;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интеграции с CRM, ЭДО, телефонией и мессенджерами;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настройка бизнес-сценариев и автоматических напоминаний;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аналитика продаж, обращений и узких мест процессов;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внедрение, обучение сотрудников клиента и сопровождение.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Модель выручки смешанная. В ней есть регулярная подписка, разовые внедрения, поддержка и обучение, usage-based оплата за AI/API, аналитические услуги и международные внедрения. Такая структура реалистична для SaaS-компании ранней стадии: сначала значимую долю дают внедрения и кастомизация, а затем растет доля регулярной подписки и сервисной поддержки.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В 2030 году структура выручки по продуктам выглядит так: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Выручка 2030, руб.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в модели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64 893 000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регулярная база, повышает устойчивость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Внедрение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171 500 000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основной драйвер роста B2B-контрактов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Поддержка/обучение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16 145 000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удержание клиентов и сопровождение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Использование/API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5 154 000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переменная выручка от нагрузки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Аналитика процессов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3 175 000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продуктовая зрелость 2029-2030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Международные услуги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1 820 000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внешние контракты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ael4bda3fx36" w:id="6"/>
      <w:bookmarkEnd w:id="6"/>
      <w:r w:rsidDel="00000000" w:rsidR="00000000" w:rsidRPr="00000000">
        <w:rPr>
          <w:rtl w:val="0"/>
        </w:rPr>
        <w:t xml:space="preserve">4. Этап 1. Расширение бизнеса в регионах России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Первый этап посвящен внутреннему развитию бизнеса в России. В проекте он включает два подэтапа. В 2026 году формируется стартовая московская модель ИП, а в 2027 году эта модель расширяется в Казань и Екатеринбург. Такое построение важно: региональное расширение не появляется из пустоты, оно вытекает из первоначальной бизнес-модели и роста клиентского спроса.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mtr977f2i8ca" w:id="7"/>
      <w:bookmarkEnd w:id="7"/>
      <w:r w:rsidDel="00000000" w:rsidR="00000000" w:rsidRPr="00000000">
        <w:rPr>
          <w:rtl w:val="0"/>
        </w:rPr>
        <w:t xml:space="preserve">4.1 Подэтап 2026: старт как ИП в Москве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В 2026 году AgentFlow AI работает как ИП в Москве. Такая форма выбрана потому, что бизнес находится на стадии MVP и первых платных внедрений. На этом этапе нет необходимости создавать сложную корпоративную структуру: один основатель управляет продуктом, клиентами и первыми сотрудниками, а объем операций еще позволяет использовать упрощенную модель учета.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Ключевые показатели 2026 года: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13 691 000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3 580 000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Операционные расходы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1 711 910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Взносы работодателя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1 074 000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НДФЛ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469 600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Налог выбранного режима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1 676 030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Чистая прибыль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6 723 060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ЭНС по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25,5%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По налогам Excel сравнивает УСН 6%, УСН 15% и ОСНО. Для 2026 года выбранным режимом является УСН 6%, поскольку совокупная нагрузка по этому варианту составляет 1,68 млн руб. против 2,34 млн руб. при УСН 15% и 5,61 млн руб. при ОСНО.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Вывод по этапу: ИП на УСН является разумной стартовой формой. Она дает низкую административную сложность и достаточную налоговую предсказуемость. При этом уже в 2026 году модель учитывает не только налог по УСН, но и зарплатные обязательства: страховые взносы работодателя и НДФЛ сотрудников.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9c60imbvocp" w:id="8"/>
      <w:bookmarkEnd w:id="8"/>
      <w:r w:rsidDel="00000000" w:rsidR="00000000" w:rsidRPr="00000000">
        <w:rPr>
          <w:rtl w:val="0"/>
        </w:rPr>
        <w:t xml:space="preserve">4.2 Подэтап 2027: региональное расширение ИП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В 2027 году AgentFlow AI расширяется из Москвы в Казань и Екатеринбург. Причина расширения не налоговая, а операционная: появляются клиенты за пределами Москвы, которым нужны внедрение, обучение, локальная поддержка и регулярные встречи.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Выбор регионов обоснован бизнес-логикой: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Казань - крупный IT-центр с университетской базой, предпринимательской средой и спросом на цифровизацию.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Екатеринбург - промышленный и B2B-центр, где автоматизация клиентских, документных и операционных процессов имеет прикладной спрос.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Региональная выручка в 2027 году: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Регион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Выручка 2027,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23 834 000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3 778 000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14 210 000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41 822 000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На этом этапе принципиально важно не называть региональные точки «филиалами ИП». Филиалы и представительства - конструкции для юридических лиц. Поэтому для ИП модель описывает фактическое расширение: сотрудники в регионах, локальная поддержка, коворкинги, договоры с клиентами, командировки и распределение расходов.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Финансовый эффект расширения существенный: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13 691 000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41 822 000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3 580 000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13 387 912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Операционные расходы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1 711 910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7 563 181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Взносы работодателя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1 074 000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4 016 374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НДФЛ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469 600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1 744 629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Налог выбранного режима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1 676 030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6 932 461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Рост выручки почти в 3,1 раза сопровождается более быстрым ростом ФОТ и payroll taxes. Это показывает ключевой методический вывод: региональное расширение - это не просто новая выручка, а появление кадровой, налоговой и административной сложности.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В 2027 году УСН 6% по-прежнему выбран как лучший режим: 6,93 млн руб. против 7,96 млн руб. при УСН 15% и 16,07 млн руб. при ОСНО. Однако разрыв между режимами сокращается, а налоговая нагрузка растет.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Вывод по этапу: ИП еще возможен, но становится управленчески неудобным. Рост штата, региональной поддержки, B2B-договоров и ответственности подготавливает переход к ООО.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svgmfifkl873" w:id="9"/>
      <w:bookmarkEnd w:id="9"/>
      <w:r w:rsidDel="00000000" w:rsidR="00000000" w:rsidRPr="00000000">
        <w:rPr>
          <w:rtl w:val="0"/>
        </w:rPr>
        <w:t xml:space="preserve">5. Этап 2. Переход от простой модели к более сложной российской структуре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Второй этап требует оценить, остается ли стартовая форма бизнеса оптимальной после роста выручки, штата и региональной сети. В проекте этот этап включает два подэтапа: переход к ООО в 2028 году и формирование зрелой российской структуры в 2029 году.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1vip3hdn7k0b" w:id="10"/>
      <w:bookmarkEnd w:id="10"/>
      <w:r w:rsidDel="00000000" w:rsidR="00000000" w:rsidRPr="00000000">
        <w:rPr>
          <w:rtl w:val="0"/>
        </w:rPr>
        <w:t xml:space="preserve">5.1 Подэтап 2028: переход к ООО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В 2028 году проект переходит к ООО. Это решение вызвано не только ростом выручки, но и изменением характера бизнеса.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Причины перехода: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появляются крупные B2B-контракты;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клиенты требуют SLA и более формальный документооборот;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 продукта появляется интеллектуальная собственность;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растет команда разработки, продаж, поддержки и внедрения;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увеличиваются риски обработки данных и ответственности перед клиентами;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региональная структура становится постоянной, а не экспериментальной.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Ключевые показатели 2028 года: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110 298 000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37 349 161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Операционные расходы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15 103 704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Взносы работодателя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11 183 739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НДФЛ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4 880 591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Налог выбранного режима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20 007 579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Чистая прибыль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37 782 031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ЭНС по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43,1%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Региональная структура 2028 года: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Регион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Выручка 2028,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41 985 000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14 273 000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54 040 000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110 298 000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После перехода к ООО появляется вопрос обособленных подразделений.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Для оценки региональной структуры использовались следующие критерии: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Признак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Наличие в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Последствие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Стационарные рабочие места более месяца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Возможность признания ОП по НК РФ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Отдельный баланс подразделения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формируется филиал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Полный набор функций юридического лица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Региональные точки не рассматриваются как филиалы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Самостоятельное представление интересов общества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требует оформления представительства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Поэтому в проекте выбран более реалистичный подход: региональные команды рассматриваются как фактические рабочие точки и потенциальные иные обособленные подразделения, а не как полноценные филиалы общества. В модели выбран осторожный подход: региональные офисы не оформляются как филиалы, потому что они не выполняют весь комплекс функций общества и не требуют отдельной филиальной структуры. Более реалистичный вариант - иные обособленные подразделения при наличии стационарных рабочих мест более месяца либо удаленная/договорная модель, если таких признаков нет.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Налоговое сравнение в 2028 году показывает: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Режим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Налоговая нагрузка,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20 007 579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22 870 614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44 391 029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Вывод по этапу: переход к ООО оправдан организационно и юридически. При этом налоговая модель показывает, что сохранение УСН 6% пока эффективнее ОСНО, несмотря на рост НДС на УСН и зарплатных обязательств.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1qkoxzzehqfh" w:id="11"/>
      <w:bookmarkEnd w:id="11"/>
      <w:r w:rsidDel="00000000" w:rsidR="00000000" w:rsidRPr="00000000">
        <w:rPr>
          <w:rtl w:val="0"/>
        </w:rPr>
        <w:t xml:space="preserve">5.2 Подэтап 2029: зрелая российская структура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В 2029 году AgentFlow AI становится зрелой российской компанией. Основной рост связан не только с количеством клиентов, но и с расширением продуктовой линейки: support agent, sales agent, document workflow и аналитика процессов.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Ключевые показатели 2029 года: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161 106 000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88 551 258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Налог выбранного режима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28 644 467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Чистая прибыль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59 906 791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Денежные средства на конец 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110 808 787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ЭНС по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40,1%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Региональная выручка в 2029 году: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Регион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Выручка 2029,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53 818 000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19 578 000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87 710 000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161 106 000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На этом этапе Екатеринбург становится крупнейшим региональным источником выручки. Это важно: региональный блок не является декоративным. Он реально меняет экономику модели, распределение сотрудников, операционные расходы и налоговые последствия.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По налоговым режимам в 2029 году: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Режим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Налоговая нагрузка,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28 644 467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33 530 612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65 821 817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Вывод по этапу: ООО на УСН 6% остается рациональным вариантом. ОСНО дает существенно более высокую налоговую нагрузку, а коммерческая необходимость НДС для B2B-клиентов в модели не перевешивает разницу по налогам.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sz5qpqj6s0gb" w:id="12"/>
      <w:bookmarkEnd w:id="12"/>
      <w:r w:rsidDel="00000000" w:rsidR="00000000" w:rsidRPr="00000000">
        <w:rPr>
          <w:rtl w:val="0"/>
        </w:rPr>
        <w:t xml:space="preserve">6. Этап 3. Международный блок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В модели международный блок появляется только после того, как российская структура стала устойчивой: бизнес прошел старт ИП, региональное расширение и переход к ООО. Поэтому 2030 год рассматривается как отдельный подэтап международного развития.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o9qmot85o6bh" w:id="13"/>
      <w:bookmarkEnd w:id="13"/>
      <w:r w:rsidDel="00000000" w:rsidR="00000000" w:rsidRPr="00000000">
        <w:rPr>
          <w:rtl w:val="0"/>
        </w:rPr>
        <w:t xml:space="preserve">6.1 Подэтап 2030: международный контур через ТОО в Казахстане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В 2030 году проект выходит на международный уровень через ТОО в Казахстане. Это решение появляется после зрелости российской модели, а не до нее.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Несмотря на то, что доля Казахстана в выручке 2030 года составляет только 3,5%, создание ТОО рассматривается как стратегический элемент дальнейшего роста, а не как инструмент формального снижения налогов.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Международный блок вводится по следующим причинам: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локальные договоры и расчеты с клиентами СНГ;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наличие локальной команды внедрения и поддержки;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снижение операционных и валютных рисков;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подготовка инфраструктуры для дальнейшего международного расширения;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более реалистичная модель присутствия по сравнению с формальной структурой без economic substance.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Таким образом, ТОО в Казахстане используется как сервисно-продажный контур с реальными функциями, а не как искусственная налоговая конструкция.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Причины выбора Казахстана: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близость рынка и языка;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понятная логика продаж SaaS и внедрений для клиентов СНГ;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возможность локальных договоров и поддержки;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более реалистичный substance по сравнению с формальным открытием компании в ОАЭ;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отсутствие необходимости сразу переносить IP или строить холдинговую структуру.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Казахстанское ТОО используется как отдельный сервисно-продажный контур. Оно не является филиалом российского ООО. Это позволяет разделить российские и международные операции и не смешивать локальную деятельность Казахстана с российской налоговой базой.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Ключевые показатели 2030 года: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Общая выручка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262 687 000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Выручка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253 592 000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Выручка KZ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9 095 000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164 224 308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Налоги РФ выбранного режима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37 105 347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Международные налоги KZ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3 043 003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Чистая прибыль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124 075 958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Денежные средства на конец 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216 273 351 руб.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ЭНС по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30,1%</w:t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Региональная выручка в 2030 году: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Регион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Выручка 2030, руб.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Доля в общей выручке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81 321 000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31,0%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29 111 000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11,1%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143 160 000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54,5%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9 095 000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3,5%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Казахстанский блок в первый год убыточен до КПН: прибыль до КПН составляет -1,78 млн руб. Поэтому КПН в модели равен нулю, а международные налоги формируются прежде всего за счет НДС KZ и payroll taxes. Это реалистичный результат: локальный контур в первый год требует штата, поддержки, продаж и администрирования, поэтому не должен автоматически давать высокую прибыль.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Вывод по международному этапу: ТОО в Казахстане является более обоснованным базовым вариантом, чем немедленное открытие компании в ОАЭ. ОАЭ можно рассматривать как будущую альтернативу для нерезидентных контрактов, но только при наличии substance, банковской инфраструктуры и клиентов, для которых такая юрисдикция действительно нужна.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ne9lpxvxfth1" w:id="14"/>
      <w:bookmarkEnd w:id="14"/>
      <w:r w:rsidDel="00000000" w:rsidR="00000000" w:rsidRPr="00000000">
        <w:rPr>
          <w:rtl w:val="0"/>
        </w:rPr>
        <w:t xml:space="preserve">7. Налоговый анализ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Excel-модель разделяет несколько налоговых блоков: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УСН 6% и УСН 15%;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НДС на УСН при превышении лимитов;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НДС и налог на прибыль при ОСНО;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страховые взносы работодателя;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фиксированные и дополнительные взносы ИП за себя;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НДФЛ сотрудников РФ по прогрессивной шкале;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налоги и payroll по Казахстану;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эффективную налоговую ставку.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Годовое сравнение налоговых режимов РФ: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УСН 6%, руб.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УСН 15%, руб.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ОСНО, руб.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Выбранный режим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1 676 030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2 335 369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5 608 587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6 932 461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7 956 767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16 066 995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20 007 579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22 870 614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44 391 029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28 644 467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33 530 612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65 821 817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37 105 347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49 725 379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103 520 011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6%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Сравнение показывает, что УСН 6% остается лучшим расчетным вариантом во все годы. Однако это не означает, что ОСНО «плохой» режим вообще. Для части B2B-клиентов НДС может быть коммерчески важен. В модели этот риск зафиксирован отдельно: если крупные корпоративные клиенты начнут требовать входной НДС, налоговая оптимальность УСН должна быть сопоставлена с коммерческой выгодой контрактов.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Отдельный вывод касается зарплатных налогов. НДФЛ и страховые взносы растут вместе со штатом и становятся значимой частью налоговой нагрузки: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Взносы работодателя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НДФЛ РФ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1 074 000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469 600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4 016 374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1 744 629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11 183 739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4 880 591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15 755 987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6 873 298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16 817 987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7 337 698</w:t>
            </w:r>
          </w:p>
        </w:tc>
      </w:tr>
    </w:tbl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Это подтверждает, что налоговая нагрузка проекта формируется не только налогом с прибыли или дохода. Для SaaS-бизнеса с растущей командой существенную роль играют payroll taxes.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bookmarkStart w:colFirst="0" w:colLast="0" w:name="_w2yweeh6td3x" w:id="15"/>
      <w:bookmarkEnd w:id="15"/>
      <w:r w:rsidDel="00000000" w:rsidR="00000000" w:rsidRPr="00000000">
        <w:rPr>
          <w:rtl w:val="0"/>
        </w:rPr>
        <w:t xml:space="preserve">8. Финансовый анализ и денежный поток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Консолидированная финансовая модель показывает устойчивый рост бизнеса: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Выручка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Чистая прибыль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Чистая рентабельность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13 691 000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8 399 090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6 723 060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49,1%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41 822 000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20 815 384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13 882 923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33,2%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110 298 000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57 789 611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37 782 031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34,3%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161 106 000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88 551 258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59 906 791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37,2%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262 687 000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164 224 308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124 075 958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47,2%</w:t>
            </w:r>
          </w:p>
        </w:tc>
      </w:tr>
    </w:tbl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Падение чистой рентабельности в 2027-2028 годах объясняется масштабированием: компания нанимает сотрудников, усиливает поддержку, продажи и внедрение, несет расходы на региональное присутствие и усложнение налогового учета. К 2030 году рентабельность восстанавливается благодаря масштабу выручки и более зрелой продуктовой линейке.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ДДС показывает отсутствие кассовых разрывов. Все месяцы имеют статус «ОК», а денежные средства на конец периода растут: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Денежные средства на конец периода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Декабрь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8 223 060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Декабрь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22 105 983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Декабрь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59 888 014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Декабрь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110 808 787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Декабрь 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216 273 351</w:t>
            </w:r>
          </w:p>
        </w:tc>
      </w:tr>
    </w:tbl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Вывод по ДДС: модель выдерживает рост налогов и ФОТ, потому что выручка масштабируется быстрее постоянных административных расходов. Однако этот вывод чувствителен к темпам продаж, ARPU, стоимости AI/API и скорости найма.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/>
      </w:pPr>
      <w:bookmarkStart w:colFirst="0" w:colLast="0" w:name="_9z2va7ka52y3" w:id="16"/>
      <w:bookmarkEnd w:id="16"/>
      <w:r w:rsidDel="00000000" w:rsidR="00000000" w:rsidRPr="00000000">
        <w:rPr>
          <w:rtl w:val="0"/>
        </w:rPr>
        <w:t xml:space="preserve">9. Эффективная налоговая ставка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В проекте используется показатель эффективной налоговой ставки (ЭНС), который позволяет оценить совокупную налоговую нагрузку бизнеса с учетом не только налога по режиму, но и payroll taxes.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Формула расчета: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ЭНС = (все налоги и обязательные платежи) / (прибыль до налогообложения)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В расчет включаются: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налоги выбранного режима;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НДС;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налог на прибыль;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страховые взносы работодателя;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международные налоги;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иные обязательные платежи, связанные с деятельностью бизнеса.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Показатель используется не как самостоятельный критерий выбора структуры, а как инструмент сравнения устойчивости разных моделей развития бизнеса.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ЭНС в модели рассчитывается как отношение всех налогов к прибыли до налогообложения. Отдельно учитываются налоги РФ, международные налоги и зарплатные удержания.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Прибыль до налогообложения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 налоги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ЭНС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8 399 090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2 145 630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25,5%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20 815 384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8 677 089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41,7%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57 789 611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24 888 170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43,1%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88 551 258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35 517 766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40,1%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164 224 308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49 404 449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30,1%</w:t>
            </w:r>
          </w:p>
        </w:tc>
      </w:tr>
    </w:tbl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ЭНС растет в 2027-2028 годах, потому что бизнес активно нанимает команду, выходит в регионы и несет расходы переходного периода. В 2030 году ЭНС снижается, поскольку прибыль до налогообложения растет быстрее, чем налоговая нагрузка, а международный контур пока занимает небольшую долю выручки.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Важно: ЭНС не является единственным критерием выбора структуры. Она должна анализироваться вместе с юридическими рисками, требованиями клиентов, устойчивостью ДДС и возможностью масштабирования.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rPr/>
      </w:pPr>
      <w:bookmarkStart w:colFirst="0" w:colLast="0" w:name="_e8yxx9i26c0e" w:id="17"/>
      <w:bookmarkEnd w:id="17"/>
      <w:r w:rsidDel="00000000" w:rsidR="00000000" w:rsidRPr="00000000">
        <w:rPr>
          <w:rtl w:val="0"/>
        </w:rPr>
        <w:t xml:space="preserve">10. Риски и меры контроля</w:t>
      </w:r>
    </w:p>
    <w:p w:rsidR="00000000" w:rsidDel="00000000" w:rsidP="00000000" w:rsidRDefault="00000000" w:rsidRPr="00000000" w14:paraId="00000235">
      <w:pPr>
        <w:pStyle w:val="Heading2"/>
        <w:rPr/>
      </w:pPr>
      <w:bookmarkStart w:colFirst="0" w:colLast="0" w:name="_xph9fhb1fa20" w:id="18"/>
      <w:bookmarkEnd w:id="18"/>
      <w:r w:rsidDel="00000000" w:rsidR="00000000" w:rsidRPr="00000000">
        <w:rPr>
          <w:rtl w:val="0"/>
        </w:rPr>
        <w:t xml:space="preserve">10.1 Правовые риски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Первый риск - неправильное описание регионального этапа. Если назвать региональные точки ИП филиалами, это будет юридически некорректно. В проекте риск устранен: для 2027 года используется формулировка «фактическое региональное расширение ИП», а анализ филиалов и обособленных подразделений появляется после перехода к ООО.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Второй риск - непостановка на учет обособленного подразделения после перехода к ООО. Если в регионе появляются стационарные рабочие места более месяца, нужно оценивать признаки ОП и налоговые последствия.</w:t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g48dmwpob46z" w:id="19"/>
      <w:bookmarkEnd w:id="19"/>
      <w:r w:rsidDel="00000000" w:rsidR="00000000" w:rsidRPr="00000000">
        <w:rPr>
          <w:rtl w:val="0"/>
        </w:rPr>
        <w:t xml:space="preserve">10.2 Налоговые риски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Ключевые налоговые риски: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превышение лимитов УСН;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рост НДС на УСН;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возможная коммерческая необходимость ОСНО для крупных B2B-клиентов;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ошибки в расчете НДФЛ и страховых взносов;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некорректное распределение российской и казахстанской выручки;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риск искусственного дробления при наличии нескольких юридических лиц.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Модель снижает эти риски за счет отдельных расчетных листов: НДФЛ РФ, взносы РФ, НДС УСН, УСН расчет, НДС ОСНО, НП РФ, KZ КПН/НДС и ЭНС.</w:t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g0dtxs256200" w:id="20"/>
      <w:bookmarkEnd w:id="20"/>
      <w:r w:rsidDel="00000000" w:rsidR="00000000" w:rsidRPr="00000000">
        <w:rPr>
          <w:rtl w:val="0"/>
        </w:rPr>
        <w:t xml:space="preserve">10.3 Международные риски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Для Казахстана основные риски: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постоянное представительство;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withholding tax при отдельных видах выплат;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валютный контроль;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корректность договоров между российским ООО и ТОО;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экономическая обоснованность функций ТОО;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локальный payroll и налоговый комплаенс.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Для ОАЭ основной риск состоит в отсутствии substance. Поэтому ОАЭ не выбран как базовый вариант. Его можно рассматривать только как будущий сценарий для нерезидентных контрактов при наличии реального офиса, функций, банковской инфраструктуры и клиентов.</w:t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7hth16660hjg" w:id="21"/>
      <w:bookmarkEnd w:id="21"/>
      <w:r w:rsidDel="00000000" w:rsidR="00000000" w:rsidRPr="00000000">
        <w:rPr>
          <w:rtl w:val="0"/>
        </w:rPr>
        <w:t xml:space="preserve">10.4 Операционные риски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Ключевые операционные риски: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рост стоимости AI/API;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отток клиентов;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сложный онбординг сотрудников;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кассовые разрывы при слишком быстром найме;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блокировки или недоступность AI/API-провайдеров;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риск утечки исходного кода, промптов и данных клиентов.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В модели эти риски отражены на листах «Риски» и «Чувствительность». Основные меры: поэтапный найм, контроль ДДС, тарифы с учетом usage-based нагрузки, резервирование инфраструктуры, стандартизация внедрения, разграничение доступов и договорная защита IP.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rPr/>
      </w:pPr>
      <w:bookmarkStart w:colFirst="0" w:colLast="0" w:name="_p1myejff8bfc" w:id="22"/>
      <w:bookmarkEnd w:id="22"/>
      <w:r w:rsidDel="00000000" w:rsidR="00000000" w:rsidRPr="00000000">
        <w:rPr>
          <w:rtl w:val="0"/>
        </w:rPr>
        <w:t xml:space="preserve">11. Итоговая рекомендация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На основании Excel-модели и правового анализа рекомендуется следующая структура развития AgentFlow AI: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Рекомендуемая модель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 на УСН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низкая сложность, запуск MVP, первые клиенты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 + фактическое региональное расширение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рост продаж и поддержки без филиалов ИП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 на УСН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B2B-контракты, SLA, IP, снижение личных рисков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 с региональной структурой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зрелая российская модель, управленческий учет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 РФ + ТОО KZ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локальные договоры, поддержка и продажи в Казахстане</w:t>
            </w:r>
          </w:p>
        </w:tc>
      </w:tr>
    </w:tbl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Выбранная модель является сбалансированной по четырем критериям.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Во-первых, она реалистична. Бизнес не создает международную структуру раньше, чем у него появляется экономическая причина для этого.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Во-вторых, она юридически корректна. На этапе ИП не используются филиалы, а после перехода к ООО региональные офисы анализируются через признаки обособленного подразделения.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В-третьих, она налогово эффективна. По расчетам Excel УСН 6% во все годы дает меньшую совокупную налоговую нагрузку, чем УСН 15% и ОСНО, при этом модель отдельно учитывает НДС, payroll taxes и международные налоги.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В-четвертых, она финансово устойчива. Денежный поток остается положительным, чистая прибыль к 2030 году достигает 124,1 млн руб., а конечный денежный остаток - 216,3 млн руб.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Итоговый вывод: AgentFlow AI целесообразно развивать поэтапно: от ИП в Москве через фактическое региональное расширение к ООО с российской региональной структурой и затем к ТОО в Казахстане.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rPr/>
      </w:pPr>
      <w:bookmarkStart w:colFirst="0" w:colLast="0" w:name="_4utd94qhps0e" w:id="23"/>
      <w:bookmarkEnd w:id="23"/>
      <w:r w:rsidDel="00000000" w:rsidR="00000000" w:rsidRPr="00000000">
        <w:rPr>
          <w:rtl w:val="0"/>
        </w:rPr>
        <w:t xml:space="preserve">12. Использованные материалы и источники модели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Правовая рамка: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ст. 55 ГК РФ - филиалы и представительства юридического лица;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ст. 5 Федерального закона «Об обществах с ограниченной ответственностью» - филиалы и представительства ООО;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ст. 11 НК РФ - понятие обособленного подразделения;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ст. 23 и 83 НК РФ - обязанности налогоплательщика и постановка на учет организаций по месту нахождения обособленных подразделений;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Электронные справочные источники для проверки правовой рамки: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ГК РФ, ст. 55: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https://base.garant.ru/10164072/0dacf58504c4847f1a1635db72279562/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НК РФ, ст. 83: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https://www.consultant.ru/document/cons_doc_LAW_19671/cf14aac552765259ef6fe0a598958cd19d3b4268/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Федеральный закон «Об ООО», ст. 5: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https://rulaws.ru/laws/Federalnyy-zakon-ot-08.02.1998-N-14-FZ/Statya-5/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se.garant.ru/10164072/0dacf58504c4847f1a1635db72279562/" TargetMode="External"/><Relationship Id="rId7" Type="http://schemas.openxmlformats.org/officeDocument/2006/relationships/hyperlink" Target="https://www.consultant.ru/document/cons_doc_LAW_19671/cf14aac552765259ef6fe0a598958cd19d3b4268/" TargetMode="External"/><Relationship Id="rId8" Type="http://schemas.openxmlformats.org/officeDocument/2006/relationships/hyperlink" Target="https://rulaws.ru/laws/Federalnyy-zakon-ot-08.02.1998-N-14-FZ/Statya-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